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17CAF">
      <w:pPr>
        <w:adjustRightInd w:val="0"/>
        <w:snapToGrid w:val="0"/>
        <w:rPr>
          <w:rFonts w:eastAsia="方正小标宋_GBK"/>
          <w:bCs/>
          <w:sz w:val="72"/>
          <w:szCs w:val="72"/>
        </w:rPr>
      </w:pPr>
    </w:p>
    <w:p w14:paraId="2B27080A">
      <w:pPr>
        <w:adjustRightInd w:val="0"/>
        <w:snapToGrid w:val="0"/>
        <w:jc w:val="center"/>
        <w:rPr>
          <w:rFonts w:eastAsia="方正小标宋_GBK"/>
          <w:bCs/>
          <w:sz w:val="72"/>
          <w:szCs w:val="72"/>
        </w:rPr>
      </w:pPr>
    </w:p>
    <w:p w14:paraId="3AA30919">
      <w:pPr>
        <w:adjustRightInd w:val="0"/>
        <w:snapToGrid w:val="0"/>
        <w:jc w:val="center"/>
        <w:rPr>
          <w:rFonts w:ascii="方正小标宋简体" w:hAnsi="方正小标宋简体" w:eastAsia="方正小标宋简体" w:cs="方正小标宋简体"/>
          <w:bCs/>
          <w:sz w:val="72"/>
          <w:szCs w:val="72"/>
        </w:rPr>
      </w:pPr>
      <w:bookmarkStart w:id="0" w:name="_Hlk57884087"/>
    </w:p>
    <w:p w14:paraId="7EECC6E5">
      <w:pPr>
        <w:adjustRightInd w:val="0"/>
        <w:snapToGrid w:val="0"/>
        <w:jc w:val="center"/>
        <w:rPr>
          <w:rFonts w:eastAsia="楷体_GB2312"/>
          <w:bCs/>
          <w:sz w:val="48"/>
          <w:szCs w:val="48"/>
        </w:rPr>
      </w:pPr>
      <w:r>
        <w:rPr>
          <w:rFonts w:hint="eastAsia" w:ascii="方正小标宋_GBK" w:hAnsi="方正小标宋_GBK" w:eastAsia="方正小标宋_GBK" w:cs="方正小标宋_GBK"/>
          <w:bCs/>
          <w:sz w:val="72"/>
          <w:szCs w:val="72"/>
        </w:rPr>
        <w:t>建设项目环境影响报告表</w:t>
      </w:r>
    </w:p>
    <w:p w14:paraId="4426F1E9">
      <w:pPr>
        <w:adjustRightInd w:val="0"/>
        <w:snapToGrid w:val="0"/>
        <w:spacing w:before="249" w:beforeLines="80"/>
        <w:jc w:val="center"/>
        <w:rPr>
          <w:rFonts w:eastAsia="楷体_GB2312"/>
          <w:bCs/>
          <w:sz w:val="48"/>
          <w:szCs w:val="48"/>
        </w:rPr>
      </w:pPr>
    </w:p>
    <w:p w14:paraId="7B58F770">
      <w:pPr>
        <w:adjustRightInd w:val="0"/>
        <w:snapToGrid w:val="0"/>
        <w:spacing w:before="249" w:beforeLines="80"/>
        <w:jc w:val="center"/>
        <w:rPr>
          <w:rFonts w:eastAsia="楷体_GB2312"/>
          <w:bCs/>
          <w:sz w:val="48"/>
          <w:szCs w:val="48"/>
        </w:rPr>
      </w:pPr>
      <w:r>
        <w:rPr>
          <w:rFonts w:eastAsia="楷体_GB2312"/>
          <w:bCs/>
          <w:sz w:val="48"/>
          <w:szCs w:val="48"/>
        </w:rPr>
        <w:t>（污染影响类）</w:t>
      </w:r>
    </w:p>
    <w:p w14:paraId="745BDEFA">
      <w:pPr>
        <w:adjustRightInd w:val="0"/>
        <w:snapToGrid w:val="0"/>
        <w:spacing w:line="288" w:lineRule="auto"/>
        <w:jc w:val="center"/>
        <w:rPr>
          <w:rFonts w:eastAsia="华文仿宋"/>
          <w:kern w:val="44"/>
          <w:sz w:val="44"/>
          <w:szCs w:val="44"/>
        </w:rPr>
      </w:pPr>
    </w:p>
    <w:p w14:paraId="54E97ADF">
      <w:pPr>
        <w:jc w:val="center"/>
        <w:rPr>
          <w:rFonts w:eastAsia="仿宋"/>
          <w:sz w:val="52"/>
          <w:szCs w:val="52"/>
        </w:rPr>
      </w:pPr>
    </w:p>
    <w:p w14:paraId="618A4128">
      <w:pPr>
        <w:ind w:firstLine="1040"/>
        <w:rPr>
          <w:rFonts w:eastAsia="仿宋"/>
          <w:sz w:val="44"/>
          <w:szCs w:val="44"/>
        </w:rPr>
      </w:pPr>
    </w:p>
    <w:p w14:paraId="638533D8">
      <w:pPr>
        <w:ind w:firstLine="1040"/>
        <w:rPr>
          <w:rFonts w:eastAsia="仿宋"/>
          <w:sz w:val="44"/>
          <w:szCs w:val="44"/>
        </w:rPr>
      </w:pPr>
    </w:p>
    <w:p w14:paraId="40F2FFDF">
      <w:pPr>
        <w:adjustRightInd w:val="0"/>
        <w:snapToGrid w:val="0"/>
        <w:spacing w:line="288" w:lineRule="auto"/>
        <w:ind w:left="1959" w:leftChars="171" w:hanging="1600" w:hangingChars="500"/>
        <w:rPr>
          <w:sz w:val="32"/>
          <w:szCs w:val="32"/>
        </w:rPr>
      </w:pPr>
    </w:p>
    <w:p w14:paraId="729883ED">
      <w:pPr>
        <w:adjustRightInd w:val="0"/>
        <w:snapToGrid w:val="0"/>
        <w:spacing w:line="360" w:lineRule="auto"/>
        <w:ind w:left="1959" w:leftChars="171" w:hanging="1600" w:hangingChars="500"/>
        <w:rPr>
          <w:rFonts w:eastAsia="仿宋_GB2312"/>
          <w:sz w:val="32"/>
          <w:szCs w:val="32"/>
          <w:u w:val="single"/>
        </w:rPr>
      </w:pPr>
      <w:r>
        <w:rPr>
          <w:sz w:val="32"/>
          <w:szCs w:val="32"/>
        </w:rPr>
        <w:t>项目名称：</w:t>
      </w:r>
      <w:r>
        <w:rPr>
          <w:rFonts w:hint="eastAsia"/>
          <w:sz w:val="32"/>
          <w:szCs w:val="32"/>
          <w:u w:val="single"/>
          <w:lang w:val="en-US" w:eastAsia="zh-CN"/>
        </w:rPr>
        <w:t xml:space="preserve">        </w:t>
      </w:r>
      <w:r>
        <w:rPr>
          <w:rFonts w:hint="eastAsia"/>
          <w:sz w:val="32"/>
          <w:szCs w:val="32"/>
          <w:u w:val="single"/>
          <w:lang w:eastAsia="zh-CN"/>
        </w:rPr>
        <w:t>垃圾渣处置和综合利用项目</w:t>
      </w:r>
      <w:r>
        <w:rPr>
          <w:sz w:val="32"/>
          <w:szCs w:val="32"/>
          <w:u w:val="single"/>
        </w:rPr>
        <w:t xml:space="preserve">  </w:t>
      </w:r>
      <w:r>
        <w:rPr>
          <w:rFonts w:hint="eastAsia"/>
          <w:sz w:val="32"/>
          <w:szCs w:val="32"/>
          <w:u w:val="single"/>
        </w:rPr>
        <w:t xml:space="preserve">  </w:t>
      </w:r>
      <w:r>
        <w:rPr>
          <w:sz w:val="32"/>
          <w:szCs w:val="32"/>
          <w:u w:val="single"/>
        </w:rPr>
        <w:t xml:space="preserve"> </w:t>
      </w:r>
      <w:r>
        <w:rPr>
          <w:rFonts w:hint="eastAsia"/>
          <w:sz w:val="32"/>
          <w:szCs w:val="32"/>
          <w:u w:val="single"/>
          <w:lang w:val="en-US" w:eastAsia="zh-CN"/>
        </w:rPr>
        <w:t xml:space="preserve">  </w:t>
      </w:r>
      <w:r>
        <w:rPr>
          <w:sz w:val="32"/>
          <w:szCs w:val="32"/>
          <w:u w:val="single"/>
        </w:rPr>
        <w:t xml:space="preserve">    </w:t>
      </w:r>
    </w:p>
    <w:p w14:paraId="3EA3AC15">
      <w:pPr>
        <w:adjustRightInd w:val="0"/>
        <w:snapToGrid w:val="0"/>
        <w:spacing w:line="360" w:lineRule="auto"/>
        <w:ind w:left="1959" w:leftChars="171" w:hanging="1600" w:hangingChars="500"/>
        <w:rPr>
          <w:rFonts w:ascii="Times New Roman" w:hAnsi="Times New Roman" w:eastAsia="宋体" w:cs="Times New Roman"/>
          <w:sz w:val="32"/>
          <w:szCs w:val="32"/>
        </w:rPr>
      </w:pPr>
      <w:r>
        <w:rPr>
          <w:rFonts w:ascii="Times New Roman" w:hAnsi="Times New Roman" w:eastAsia="宋体" w:cs="Times New Roman"/>
          <w:sz w:val="32"/>
          <w:szCs w:val="32"/>
        </w:rPr>
        <w:t>建设单位（盖章）：</w:t>
      </w:r>
      <w:r>
        <w:rPr>
          <w:rFonts w:hint="eastAsia" w:cs="Times New Roman"/>
          <w:sz w:val="32"/>
          <w:szCs w:val="32"/>
          <w:u w:val="single"/>
          <w:lang w:val="en-US" w:eastAsia="zh-CN"/>
        </w:rPr>
        <w:t xml:space="preserve">  </w:t>
      </w:r>
      <w:r>
        <w:rPr>
          <w:rFonts w:hint="eastAsia" w:ascii="Times New Roman" w:hAnsi="Times New Roman" w:eastAsia="宋体" w:cs="Times New Roman"/>
          <w:sz w:val="32"/>
          <w:szCs w:val="32"/>
          <w:u w:val="single"/>
        </w:rPr>
        <w:t>启东真诚环保科技有限公司</w:t>
      </w:r>
      <w:r>
        <w:rPr>
          <w:rFonts w:hint="eastAsia" w:cs="Times New Roman"/>
          <w:sz w:val="32"/>
          <w:szCs w:val="32"/>
          <w:u w:val="single"/>
          <w:lang w:val="en-US" w:eastAsia="zh-CN"/>
        </w:rPr>
        <w:t xml:space="preserve">      </w:t>
      </w:r>
      <w:r>
        <w:rPr>
          <w:rFonts w:ascii="Times New Roman" w:hAnsi="Times New Roman" w:eastAsia="宋体" w:cs="Times New Roman"/>
          <w:sz w:val="32"/>
          <w:szCs w:val="32"/>
        </w:rPr>
        <w:t xml:space="preserve">   </w:t>
      </w:r>
    </w:p>
    <w:p w14:paraId="5A89684D">
      <w:pPr>
        <w:adjustRightInd w:val="0"/>
        <w:snapToGrid w:val="0"/>
        <w:spacing w:line="360" w:lineRule="auto"/>
        <w:ind w:left="1959" w:leftChars="171" w:hanging="1600" w:hangingChars="500"/>
        <w:rPr>
          <w:rFonts w:eastAsia="仿宋_GB2312"/>
          <w:sz w:val="32"/>
          <w:szCs w:val="32"/>
          <w:u w:val="single"/>
        </w:rPr>
      </w:pPr>
      <w:r>
        <w:rPr>
          <w:rFonts w:ascii="Times New Roman" w:hAnsi="Times New Roman" w:eastAsia="宋体" w:cs="Times New Roman"/>
          <w:sz w:val="32"/>
          <w:szCs w:val="32"/>
        </w:rPr>
        <w:t>编制日期：</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hint="eastAsia" w:ascii="宋体" w:hAnsi="宋体" w:eastAsia="宋体" w:cs="宋体"/>
          <w:sz w:val="32"/>
          <w:szCs w:val="32"/>
          <w:u w:val="single"/>
        </w:rPr>
        <w:t>202</w:t>
      </w:r>
      <w:r>
        <w:rPr>
          <w:rFonts w:hint="eastAsia" w:ascii="宋体" w:hAnsi="宋体" w:cs="宋体"/>
          <w:sz w:val="32"/>
          <w:szCs w:val="32"/>
          <w:u w:val="single"/>
          <w:lang w:val="en-US" w:eastAsia="zh-CN"/>
        </w:rPr>
        <w:t>4</w:t>
      </w:r>
      <w:r>
        <w:rPr>
          <w:rFonts w:hint="eastAsia" w:ascii="宋体" w:hAnsi="宋体" w:eastAsia="宋体" w:cs="宋体"/>
          <w:sz w:val="32"/>
          <w:szCs w:val="32"/>
          <w:u w:val="single"/>
        </w:rPr>
        <w:t>年</w:t>
      </w:r>
      <w:r>
        <w:rPr>
          <w:rFonts w:hint="eastAsia" w:ascii="宋体" w:hAnsi="宋体" w:cs="宋体"/>
          <w:sz w:val="32"/>
          <w:szCs w:val="32"/>
          <w:u w:val="single"/>
          <w:lang w:val="en-US" w:eastAsia="zh-CN"/>
        </w:rPr>
        <w:t>10</w:t>
      </w:r>
      <w:r>
        <w:rPr>
          <w:rFonts w:hint="eastAsia" w:ascii="宋体" w:hAnsi="宋体" w:eastAsia="宋体" w:cs="宋体"/>
          <w:sz w:val="32"/>
          <w:szCs w:val="32"/>
          <w:u w:val="single"/>
        </w:rPr>
        <w:t>月</w:t>
      </w:r>
      <w:r>
        <w:rPr>
          <w:rFonts w:eastAsia="仿宋_GB2312"/>
          <w:sz w:val="32"/>
          <w:szCs w:val="32"/>
          <w:u w:val="single"/>
        </w:rPr>
        <w:t xml:space="preserve">     </w:t>
      </w:r>
      <w:r>
        <w:rPr>
          <w:rFonts w:eastAsia="仿宋_GB2312"/>
          <w:spacing w:val="16"/>
          <w:sz w:val="32"/>
          <w:szCs w:val="32"/>
          <w:u w:val="single"/>
        </w:rPr>
        <w:t xml:space="preserve">      </w:t>
      </w:r>
    </w:p>
    <w:p w14:paraId="3B049BDA">
      <w:pPr>
        <w:adjustRightInd w:val="0"/>
        <w:snapToGrid w:val="0"/>
        <w:spacing w:line="288" w:lineRule="auto"/>
        <w:ind w:firstLine="1040"/>
        <w:rPr>
          <w:rFonts w:eastAsia="仿宋_GB2312"/>
          <w:sz w:val="36"/>
          <w:szCs w:val="36"/>
        </w:rPr>
      </w:pPr>
    </w:p>
    <w:p w14:paraId="316F8B23">
      <w:pPr>
        <w:adjustRightInd w:val="0"/>
        <w:snapToGrid w:val="0"/>
        <w:spacing w:line="288" w:lineRule="auto"/>
        <w:ind w:firstLine="1040"/>
        <w:rPr>
          <w:rFonts w:eastAsia="仿宋_GB2312"/>
          <w:sz w:val="36"/>
          <w:szCs w:val="36"/>
        </w:rPr>
      </w:pPr>
    </w:p>
    <w:p w14:paraId="22D084E0">
      <w:pPr>
        <w:adjustRightInd w:val="0"/>
        <w:snapToGrid w:val="0"/>
        <w:spacing w:line="288" w:lineRule="auto"/>
        <w:ind w:firstLine="1040"/>
        <w:rPr>
          <w:rFonts w:eastAsia="仿宋_GB2312"/>
          <w:sz w:val="36"/>
          <w:szCs w:val="36"/>
        </w:rPr>
      </w:pPr>
    </w:p>
    <w:p w14:paraId="0FA75E9D">
      <w:pPr>
        <w:adjustRightInd w:val="0"/>
        <w:snapToGrid w:val="0"/>
        <w:spacing w:line="288" w:lineRule="auto"/>
        <w:rPr>
          <w:rFonts w:eastAsia="仿宋_GB2312"/>
          <w:sz w:val="36"/>
          <w:szCs w:val="36"/>
        </w:rPr>
      </w:pPr>
    </w:p>
    <w:p w14:paraId="1BEB0C0F">
      <w:pPr>
        <w:adjustRightInd w:val="0"/>
        <w:snapToGrid w:val="0"/>
        <w:spacing w:line="288" w:lineRule="auto"/>
        <w:ind w:firstLine="1040"/>
        <w:rPr>
          <w:rFonts w:eastAsia="仿宋_GB2312"/>
          <w:sz w:val="36"/>
          <w:szCs w:val="36"/>
        </w:rPr>
      </w:pPr>
    </w:p>
    <w:bookmarkEnd w:id="0"/>
    <w:p w14:paraId="3A2D2998">
      <w:pPr>
        <w:adjustRightInd w:val="0"/>
        <w:snapToGrid w:val="0"/>
        <w:spacing w:line="288" w:lineRule="auto"/>
        <w:jc w:val="center"/>
        <w:rPr>
          <w:rFonts w:eastAsia="楷体_GB2312"/>
          <w:sz w:val="36"/>
          <w:szCs w:val="36"/>
        </w:rPr>
      </w:pPr>
      <w:r>
        <w:rPr>
          <w:rFonts w:eastAsia="楷体_GB2312"/>
          <w:sz w:val="36"/>
          <w:szCs w:val="36"/>
        </w:rPr>
        <w:t>中华人民共和国生态环境部制</w:t>
      </w:r>
    </w:p>
    <w:p w14:paraId="74829D27">
      <w:pPr>
        <w:spacing w:before="156" w:beforeLines="50" w:after="156" w:afterLines="50"/>
        <w:jc w:val="center"/>
        <w:outlineLvl w:val="0"/>
        <w:rPr>
          <w:rFonts w:eastAsia="黑体"/>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9FA69FC">
      <w:pPr>
        <w:spacing w:before="156" w:beforeLines="50" w:after="156" w:afterLines="50"/>
        <w:jc w:val="center"/>
        <w:outlineLvl w:val="0"/>
        <w:rPr>
          <w:rFonts w:eastAsia="黑体"/>
          <w:sz w:val="30"/>
          <w:szCs w:val="30"/>
        </w:rPr>
      </w:pPr>
    </w:p>
    <w:p w14:paraId="40BA805D">
      <w:pPr>
        <w:spacing w:before="156" w:beforeLines="50" w:after="156" w:afterLines="50"/>
        <w:jc w:val="center"/>
        <w:outlineLvl w:val="0"/>
        <w:rPr>
          <w:rFonts w:eastAsia="黑体"/>
          <w:sz w:val="30"/>
          <w:szCs w:val="30"/>
        </w:rPr>
      </w:pPr>
    </w:p>
    <w:p w14:paraId="2A7C4078">
      <w:pPr>
        <w:spacing w:before="156" w:beforeLines="50" w:after="156" w:afterLines="50"/>
        <w:jc w:val="center"/>
        <w:outlineLvl w:val="0"/>
        <w:rPr>
          <w:rFonts w:eastAsia="黑体"/>
          <w:sz w:val="30"/>
          <w:szCs w:val="30"/>
        </w:rPr>
      </w:pPr>
    </w:p>
    <w:p w14:paraId="46088CF6">
      <w:pPr>
        <w:spacing w:before="156" w:beforeLines="50" w:after="156" w:afterLines="50"/>
        <w:jc w:val="center"/>
        <w:outlineLvl w:val="0"/>
        <w:rPr>
          <w:rFonts w:eastAsia="黑体"/>
          <w:sz w:val="30"/>
          <w:szCs w:val="30"/>
        </w:rPr>
      </w:pPr>
    </w:p>
    <w:p w14:paraId="2F2C0384">
      <w:pPr>
        <w:spacing w:before="156" w:beforeLines="50" w:after="156" w:afterLines="50"/>
        <w:jc w:val="center"/>
        <w:outlineLvl w:val="0"/>
        <w:rPr>
          <w:rFonts w:eastAsia="黑体"/>
          <w:sz w:val="30"/>
          <w:szCs w:val="30"/>
        </w:rPr>
      </w:pPr>
    </w:p>
    <w:p w14:paraId="480E408E">
      <w:pPr>
        <w:spacing w:before="156" w:beforeLines="50" w:after="156" w:afterLines="50"/>
        <w:jc w:val="center"/>
        <w:outlineLvl w:val="0"/>
        <w:rPr>
          <w:rFonts w:eastAsia="黑体"/>
          <w:sz w:val="30"/>
          <w:szCs w:val="30"/>
        </w:rPr>
      </w:pPr>
    </w:p>
    <w:p w14:paraId="1678B759">
      <w:pPr>
        <w:spacing w:before="156" w:beforeLines="50" w:after="156" w:afterLines="50"/>
        <w:jc w:val="center"/>
        <w:outlineLvl w:val="0"/>
        <w:rPr>
          <w:rFonts w:eastAsia="黑体"/>
          <w:sz w:val="30"/>
          <w:szCs w:val="30"/>
        </w:rPr>
      </w:pPr>
    </w:p>
    <w:p w14:paraId="0D552FA9">
      <w:pPr>
        <w:spacing w:before="156" w:beforeLines="50" w:after="156" w:afterLines="50"/>
        <w:jc w:val="center"/>
        <w:outlineLvl w:val="0"/>
        <w:rPr>
          <w:rFonts w:eastAsia="黑体"/>
          <w:sz w:val="30"/>
          <w:szCs w:val="30"/>
        </w:rPr>
      </w:pPr>
    </w:p>
    <w:p w14:paraId="5DFA5F6A">
      <w:pPr>
        <w:spacing w:before="156" w:beforeLines="50" w:after="156" w:afterLines="50"/>
        <w:jc w:val="center"/>
        <w:outlineLvl w:val="0"/>
        <w:rPr>
          <w:rFonts w:eastAsia="黑体"/>
          <w:sz w:val="30"/>
          <w:szCs w:val="30"/>
        </w:rPr>
      </w:pPr>
    </w:p>
    <w:p w14:paraId="6E12FDC5">
      <w:pPr>
        <w:spacing w:before="156" w:beforeLines="50" w:after="156" w:afterLines="50"/>
        <w:jc w:val="center"/>
        <w:outlineLvl w:val="0"/>
        <w:rPr>
          <w:rFonts w:eastAsia="黑体"/>
          <w:sz w:val="30"/>
          <w:szCs w:val="30"/>
        </w:rPr>
      </w:pPr>
    </w:p>
    <w:p w14:paraId="1EA3CCF5">
      <w:pPr>
        <w:spacing w:before="156" w:beforeLines="50" w:after="156" w:afterLines="50"/>
        <w:jc w:val="center"/>
        <w:outlineLvl w:val="0"/>
        <w:rPr>
          <w:rFonts w:eastAsia="黑体"/>
          <w:sz w:val="30"/>
          <w:szCs w:val="30"/>
        </w:rPr>
      </w:pPr>
    </w:p>
    <w:p w14:paraId="76ACC54A">
      <w:pPr>
        <w:spacing w:before="156" w:beforeLines="50" w:after="156" w:afterLines="50"/>
        <w:jc w:val="center"/>
        <w:outlineLvl w:val="0"/>
        <w:rPr>
          <w:rFonts w:eastAsia="黑体"/>
          <w:sz w:val="30"/>
          <w:szCs w:val="30"/>
        </w:rPr>
      </w:pPr>
    </w:p>
    <w:p w14:paraId="4FCE3008">
      <w:pPr>
        <w:spacing w:before="156" w:beforeLines="50" w:after="156" w:afterLines="50"/>
        <w:jc w:val="center"/>
        <w:outlineLvl w:val="0"/>
        <w:rPr>
          <w:rFonts w:eastAsia="黑体"/>
          <w:sz w:val="30"/>
          <w:szCs w:val="30"/>
        </w:rPr>
      </w:pPr>
    </w:p>
    <w:p w14:paraId="309E1E52">
      <w:pPr>
        <w:spacing w:before="156" w:beforeLines="50" w:after="156" w:afterLines="50"/>
        <w:jc w:val="center"/>
        <w:outlineLvl w:val="0"/>
        <w:rPr>
          <w:rFonts w:eastAsia="黑体"/>
          <w:sz w:val="30"/>
          <w:szCs w:val="30"/>
        </w:rPr>
      </w:pPr>
    </w:p>
    <w:p w14:paraId="2421E4DB">
      <w:pPr>
        <w:spacing w:before="156" w:beforeLines="50" w:after="156" w:afterLines="50"/>
        <w:jc w:val="center"/>
        <w:outlineLvl w:val="0"/>
        <w:rPr>
          <w:rFonts w:eastAsia="黑体"/>
          <w:sz w:val="30"/>
          <w:szCs w:val="30"/>
        </w:rPr>
      </w:pPr>
    </w:p>
    <w:p w14:paraId="00302A7F">
      <w:pPr>
        <w:spacing w:before="156" w:beforeLines="50" w:after="156" w:afterLines="50"/>
        <w:jc w:val="center"/>
        <w:outlineLvl w:val="0"/>
        <w:rPr>
          <w:rFonts w:eastAsia="黑体"/>
          <w:sz w:val="30"/>
          <w:szCs w:val="30"/>
        </w:rPr>
      </w:pPr>
    </w:p>
    <w:p w14:paraId="1AE33484">
      <w:pPr>
        <w:spacing w:before="156" w:beforeLines="50" w:after="156" w:afterLines="50"/>
        <w:jc w:val="center"/>
        <w:outlineLvl w:val="0"/>
        <w:rPr>
          <w:rFonts w:eastAsia="黑体"/>
          <w:sz w:val="30"/>
          <w:szCs w:val="30"/>
        </w:rPr>
      </w:pPr>
    </w:p>
    <w:p w14:paraId="0DDA2F5E">
      <w:pPr>
        <w:spacing w:before="156" w:beforeLines="50" w:after="156" w:afterLines="50"/>
        <w:jc w:val="center"/>
        <w:outlineLvl w:val="0"/>
        <w:rPr>
          <w:rFonts w:eastAsia="黑体"/>
          <w:sz w:val="30"/>
          <w:szCs w:val="30"/>
        </w:rPr>
        <w:sectPr>
          <w:footerReference r:id="rId5" w:type="default"/>
          <w:pgSz w:w="11906" w:h="16838"/>
          <w:pgMar w:top="1587" w:right="1531" w:bottom="1587" w:left="1531"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37793DB">
      <w:pPr>
        <w:spacing w:before="156" w:beforeLines="50" w:after="156" w:afterLines="50"/>
        <w:jc w:val="center"/>
        <w:outlineLvl w:val="0"/>
        <w:rPr>
          <w:rFonts w:eastAsia="黑体"/>
          <w:sz w:val="30"/>
          <w:szCs w:val="30"/>
        </w:rPr>
      </w:pPr>
      <w:r>
        <w:rPr>
          <w:rFonts w:eastAsia="黑体"/>
          <w:sz w:val="30"/>
          <w:szCs w:val="30"/>
        </w:rPr>
        <w:t>一、建设项目基本情况</w:t>
      </w:r>
    </w:p>
    <w:tbl>
      <w:tblPr>
        <w:tblStyle w:val="19"/>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398"/>
        <w:gridCol w:w="2402"/>
        <w:gridCol w:w="225"/>
        <w:gridCol w:w="1824"/>
        <w:gridCol w:w="3021"/>
      </w:tblGrid>
      <w:tr w14:paraId="2AB354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398" w:type="dxa"/>
            <w:tcMar>
              <w:top w:w="16" w:type="dxa"/>
              <w:left w:w="16" w:type="dxa"/>
              <w:right w:w="16" w:type="dxa"/>
            </w:tcMar>
            <w:vAlign w:val="center"/>
          </w:tcPr>
          <w:p w14:paraId="744EA9C9">
            <w:pPr>
              <w:adjustRightInd w:val="0"/>
              <w:snapToGrid w:val="0"/>
              <w:jc w:val="center"/>
              <w:rPr>
                <w:szCs w:val="21"/>
              </w:rPr>
            </w:pPr>
            <w:r>
              <w:rPr>
                <w:szCs w:val="21"/>
              </w:rPr>
              <w:t>建设项目名称</w:t>
            </w:r>
          </w:p>
        </w:tc>
        <w:tc>
          <w:tcPr>
            <w:tcW w:w="7472" w:type="dxa"/>
            <w:gridSpan w:val="4"/>
            <w:vAlign w:val="center"/>
          </w:tcPr>
          <w:p w14:paraId="1B900F88">
            <w:pPr>
              <w:adjustRightInd w:val="0"/>
              <w:snapToGrid w:val="0"/>
              <w:jc w:val="center"/>
              <w:rPr>
                <w:rFonts w:hint="eastAsia" w:eastAsia="宋体"/>
                <w:szCs w:val="21"/>
                <w:lang w:eastAsia="zh-CN"/>
              </w:rPr>
            </w:pPr>
            <w:r>
              <w:rPr>
                <w:rFonts w:hint="eastAsia"/>
                <w:szCs w:val="21"/>
                <w:lang w:eastAsia="zh-CN"/>
              </w:rPr>
              <w:t>垃圾渣处置和综合利用项目</w:t>
            </w:r>
          </w:p>
        </w:tc>
      </w:tr>
      <w:tr w14:paraId="611AE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98" w:type="dxa"/>
            <w:tcMar>
              <w:top w:w="16" w:type="dxa"/>
              <w:left w:w="16" w:type="dxa"/>
              <w:right w:w="16" w:type="dxa"/>
            </w:tcMar>
            <w:vAlign w:val="center"/>
          </w:tcPr>
          <w:p w14:paraId="27B41EAC">
            <w:pPr>
              <w:adjustRightInd w:val="0"/>
              <w:snapToGrid w:val="0"/>
              <w:jc w:val="center"/>
              <w:rPr>
                <w:szCs w:val="21"/>
              </w:rPr>
            </w:pPr>
            <w:r>
              <w:rPr>
                <w:szCs w:val="21"/>
              </w:rPr>
              <w:t>项目代码</w:t>
            </w:r>
          </w:p>
        </w:tc>
        <w:tc>
          <w:tcPr>
            <w:tcW w:w="7472" w:type="dxa"/>
            <w:gridSpan w:val="4"/>
            <w:vAlign w:val="center"/>
          </w:tcPr>
          <w:p w14:paraId="77F0F313">
            <w:pPr>
              <w:adjustRightInd w:val="0"/>
              <w:snapToGrid w:val="0"/>
              <w:jc w:val="center"/>
              <w:rPr>
                <w:rFonts w:hint="default" w:eastAsia="宋体"/>
                <w:szCs w:val="21"/>
                <w:lang w:val="en-US" w:eastAsia="zh-CN"/>
              </w:rPr>
            </w:pPr>
            <w:r>
              <w:rPr>
                <w:rFonts w:hint="eastAsia"/>
                <w:color w:val="auto"/>
                <w:szCs w:val="21"/>
                <w:lang w:val="en-US" w:eastAsia="zh-CN"/>
              </w:rPr>
              <w:t>2407-320681-89-01-156637</w:t>
            </w:r>
          </w:p>
        </w:tc>
      </w:tr>
      <w:tr w14:paraId="6C8D4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398" w:type="dxa"/>
            <w:tcMar>
              <w:top w:w="16" w:type="dxa"/>
              <w:left w:w="16" w:type="dxa"/>
              <w:right w:w="16" w:type="dxa"/>
            </w:tcMar>
            <w:vAlign w:val="center"/>
          </w:tcPr>
          <w:p w14:paraId="3C62DCB8">
            <w:pPr>
              <w:adjustRightInd w:val="0"/>
              <w:snapToGrid w:val="0"/>
              <w:jc w:val="center"/>
              <w:rPr>
                <w:szCs w:val="21"/>
              </w:rPr>
            </w:pPr>
            <w:r>
              <w:rPr>
                <w:szCs w:val="21"/>
              </w:rPr>
              <w:t>建设单位联系人</w:t>
            </w:r>
          </w:p>
        </w:tc>
        <w:tc>
          <w:tcPr>
            <w:tcW w:w="2627" w:type="dxa"/>
            <w:gridSpan w:val="2"/>
            <w:vAlign w:val="center"/>
          </w:tcPr>
          <w:p w14:paraId="281FD3A8">
            <w:pPr>
              <w:adjustRightInd w:val="0"/>
              <w:snapToGrid w:val="0"/>
              <w:jc w:val="center"/>
              <w:rPr>
                <w:rFonts w:hint="eastAsia" w:eastAsia="宋体"/>
                <w:szCs w:val="21"/>
                <w:lang w:eastAsia="zh-CN"/>
              </w:rPr>
            </w:pPr>
            <w:r>
              <w:rPr>
                <w:rFonts w:hint="eastAsia"/>
                <w:szCs w:val="21"/>
                <w:lang w:eastAsia="zh-CN"/>
              </w:rPr>
              <w:t>姚开林</w:t>
            </w:r>
          </w:p>
        </w:tc>
        <w:tc>
          <w:tcPr>
            <w:tcW w:w="1824" w:type="dxa"/>
            <w:vAlign w:val="center"/>
          </w:tcPr>
          <w:p w14:paraId="77E41704">
            <w:pPr>
              <w:adjustRightInd w:val="0"/>
              <w:snapToGrid w:val="0"/>
              <w:jc w:val="center"/>
              <w:rPr>
                <w:szCs w:val="21"/>
              </w:rPr>
            </w:pPr>
            <w:r>
              <w:rPr>
                <w:szCs w:val="21"/>
              </w:rPr>
              <w:t>联系方式</w:t>
            </w:r>
          </w:p>
        </w:tc>
        <w:tc>
          <w:tcPr>
            <w:tcW w:w="3021" w:type="dxa"/>
            <w:vAlign w:val="center"/>
          </w:tcPr>
          <w:p w14:paraId="407E4E58">
            <w:pPr>
              <w:adjustRightInd w:val="0"/>
              <w:snapToGrid w:val="0"/>
              <w:jc w:val="center"/>
              <w:rPr>
                <w:szCs w:val="21"/>
              </w:rPr>
            </w:pPr>
            <w:r>
              <w:rPr>
                <w:rFonts w:hint="eastAsia"/>
                <w:szCs w:val="21"/>
              </w:rPr>
              <w:t>13813783552</w:t>
            </w:r>
          </w:p>
        </w:tc>
      </w:tr>
      <w:tr w14:paraId="1DC45D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1398" w:type="dxa"/>
            <w:tcMar>
              <w:top w:w="16" w:type="dxa"/>
              <w:left w:w="16" w:type="dxa"/>
              <w:right w:w="16" w:type="dxa"/>
            </w:tcMar>
            <w:vAlign w:val="center"/>
          </w:tcPr>
          <w:p w14:paraId="7DE70A18">
            <w:pPr>
              <w:adjustRightInd w:val="0"/>
              <w:snapToGrid w:val="0"/>
              <w:jc w:val="center"/>
              <w:rPr>
                <w:szCs w:val="21"/>
              </w:rPr>
            </w:pPr>
            <w:r>
              <w:rPr>
                <w:szCs w:val="21"/>
              </w:rPr>
              <w:t>建设地点</w:t>
            </w:r>
          </w:p>
        </w:tc>
        <w:tc>
          <w:tcPr>
            <w:tcW w:w="7472" w:type="dxa"/>
            <w:gridSpan w:val="4"/>
            <w:vAlign w:val="center"/>
          </w:tcPr>
          <w:p w14:paraId="2550BD99">
            <w:pPr>
              <w:adjustRightInd w:val="0"/>
              <w:snapToGrid w:val="0"/>
              <w:jc w:val="center"/>
              <w:rPr>
                <w:rFonts w:hint="default" w:eastAsia="宋体"/>
                <w:szCs w:val="21"/>
                <w:lang w:val="en-US" w:eastAsia="zh-CN"/>
              </w:rPr>
            </w:pPr>
            <w:r>
              <w:rPr>
                <w:rFonts w:hint="eastAsia"/>
                <w:szCs w:val="21"/>
                <w:lang w:eastAsia="zh-CN"/>
              </w:rPr>
              <w:t>江苏省南通市启东市启东生命健康产业园常州路</w:t>
            </w:r>
            <w:r>
              <w:rPr>
                <w:rFonts w:hint="eastAsia"/>
                <w:szCs w:val="21"/>
                <w:lang w:val="en-US" w:eastAsia="zh-CN"/>
              </w:rPr>
              <w:t>38号</w:t>
            </w:r>
          </w:p>
        </w:tc>
      </w:tr>
      <w:tr w14:paraId="2DF2A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398" w:type="dxa"/>
            <w:tcMar>
              <w:top w:w="16" w:type="dxa"/>
              <w:left w:w="16" w:type="dxa"/>
              <w:right w:w="16" w:type="dxa"/>
            </w:tcMar>
            <w:vAlign w:val="center"/>
          </w:tcPr>
          <w:p w14:paraId="37893342">
            <w:pPr>
              <w:adjustRightInd w:val="0"/>
              <w:snapToGrid w:val="0"/>
              <w:jc w:val="center"/>
              <w:rPr>
                <w:szCs w:val="21"/>
              </w:rPr>
            </w:pPr>
            <w:r>
              <w:rPr>
                <w:szCs w:val="21"/>
              </w:rPr>
              <w:t>地理坐标</w:t>
            </w:r>
          </w:p>
        </w:tc>
        <w:tc>
          <w:tcPr>
            <w:tcW w:w="7472" w:type="dxa"/>
            <w:gridSpan w:val="4"/>
            <w:vAlign w:val="center"/>
          </w:tcPr>
          <w:p w14:paraId="5FAA6C15">
            <w:pPr>
              <w:jc w:val="center"/>
              <w:rPr>
                <w:szCs w:val="21"/>
              </w:rPr>
            </w:pPr>
            <w:r>
              <w:rPr>
                <w:rFonts w:hint="eastAsia"/>
                <w:szCs w:val="21"/>
              </w:rPr>
              <w:t>北纬</w:t>
            </w:r>
            <w:r>
              <w:rPr>
                <w:rFonts w:hint="eastAsia"/>
                <w:szCs w:val="21"/>
                <w:u w:val="single"/>
              </w:rPr>
              <w:t>31</w:t>
            </w:r>
            <w:r>
              <w:rPr>
                <w:rFonts w:hint="eastAsia"/>
                <w:szCs w:val="21"/>
              </w:rPr>
              <w:t>度</w:t>
            </w:r>
            <w:r>
              <w:rPr>
                <w:rFonts w:hint="eastAsia"/>
                <w:szCs w:val="21"/>
                <w:u w:val="single"/>
              </w:rPr>
              <w:t>49</w:t>
            </w:r>
            <w:r>
              <w:rPr>
                <w:rFonts w:hint="eastAsia"/>
                <w:szCs w:val="21"/>
              </w:rPr>
              <w:t>分</w:t>
            </w:r>
            <w:r>
              <w:rPr>
                <w:rFonts w:hint="eastAsia"/>
                <w:szCs w:val="21"/>
                <w:u w:val="single"/>
              </w:rPr>
              <w:t>32.595</w:t>
            </w:r>
            <w:r>
              <w:rPr>
                <w:rFonts w:hint="eastAsia"/>
                <w:szCs w:val="21"/>
              </w:rPr>
              <w:t>秒，东经</w:t>
            </w:r>
            <w:r>
              <w:rPr>
                <w:rFonts w:hint="eastAsia"/>
                <w:szCs w:val="21"/>
                <w:u w:val="single"/>
              </w:rPr>
              <w:t>121</w:t>
            </w:r>
            <w:r>
              <w:rPr>
                <w:rFonts w:hint="eastAsia"/>
                <w:szCs w:val="21"/>
              </w:rPr>
              <w:t>度</w:t>
            </w:r>
            <w:r>
              <w:rPr>
                <w:rFonts w:hint="eastAsia"/>
                <w:szCs w:val="21"/>
                <w:u w:val="single"/>
              </w:rPr>
              <w:t>28</w:t>
            </w:r>
            <w:r>
              <w:rPr>
                <w:rFonts w:hint="eastAsia"/>
                <w:szCs w:val="21"/>
              </w:rPr>
              <w:t>分</w:t>
            </w:r>
            <w:r>
              <w:rPr>
                <w:rFonts w:hint="eastAsia"/>
                <w:szCs w:val="21"/>
                <w:u w:val="single"/>
              </w:rPr>
              <w:t>47.591</w:t>
            </w:r>
            <w:r>
              <w:rPr>
                <w:rFonts w:hint="eastAsia"/>
                <w:szCs w:val="21"/>
              </w:rPr>
              <w:t>秒</w:t>
            </w:r>
          </w:p>
        </w:tc>
      </w:tr>
      <w:tr w14:paraId="45F93C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1398" w:type="dxa"/>
            <w:tcMar>
              <w:top w:w="16" w:type="dxa"/>
              <w:left w:w="16" w:type="dxa"/>
              <w:right w:w="16" w:type="dxa"/>
            </w:tcMar>
            <w:vAlign w:val="center"/>
          </w:tcPr>
          <w:p w14:paraId="1CA9FEAE">
            <w:pPr>
              <w:adjustRightInd w:val="0"/>
              <w:snapToGrid w:val="0"/>
              <w:jc w:val="center"/>
              <w:rPr>
                <w:szCs w:val="21"/>
              </w:rPr>
            </w:pPr>
            <w:r>
              <w:rPr>
                <w:szCs w:val="21"/>
              </w:rPr>
              <w:t>国民经济</w:t>
            </w:r>
          </w:p>
          <w:p w14:paraId="4BF0F116">
            <w:pPr>
              <w:adjustRightInd w:val="0"/>
              <w:snapToGrid w:val="0"/>
              <w:jc w:val="center"/>
              <w:rPr>
                <w:szCs w:val="21"/>
              </w:rPr>
            </w:pPr>
            <w:r>
              <w:rPr>
                <w:szCs w:val="21"/>
              </w:rPr>
              <w:t>行业类别</w:t>
            </w:r>
          </w:p>
        </w:tc>
        <w:tc>
          <w:tcPr>
            <w:tcW w:w="2402" w:type="dxa"/>
            <w:vAlign w:val="center"/>
          </w:tcPr>
          <w:p w14:paraId="77106AE1">
            <w:pPr>
              <w:adjustRightInd w:val="0"/>
              <w:snapToGrid w:val="0"/>
              <w:jc w:val="center"/>
              <w:rPr>
                <w:rFonts w:hint="default" w:eastAsia="宋体"/>
                <w:szCs w:val="21"/>
                <w:lang w:val="en-US" w:eastAsia="zh-CN"/>
              </w:rPr>
            </w:pPr>
            <w:r>
              <w:rPr>
                <w:rFonts w:hint="eastAsia"/>
                <w:szCs w:val="21"/>
                <w:lang w:val="en-US" w:eastAsia="zh-CN"/>
              </w:rPr>
              <w:t>N7723固体废物治理</w:t>
            </w:r>
          </w:p>
        </w:tc>
        <w:tc>
          <w:tcPr>
            <w:tcW w:w="2049" w:type="dxa"/>
            <w:gridSpan w:val="2"/>
            <w:vAlign w:val="center"/>
          </w:tcPr>
          <w:p w14:paraId="06F3E151">
            <w:pPr>
              <w:adjustRightInd w:val="0"/>
              <w:snapToGrid w:val="0"/>
              <w:jc w:val="center"/>
              <w:rPr>
                <w:szCs w:val="21"/>
              </w:rPr>
            </w:pPr>
            <w:r>
              <w:rPr>
                <w:szCs w:val="21"/>
              </w:rPr>
              <w:t>建设项目</w:t>
            </w:r>
          </w:p>
          <w:p w14:paraId="199C4052">
            <w:pPr>
              <w:adjustRightInd w:val="0"/>
              <w:snapToGrid w:val="0"/>
              <w:jc w:val="center"/>
              <w:rPr>
                <w:szCs w:val="21"/>
              </w:rPr>
            </w:pPr>
            <w:r>
              <w:rPr>
                <w:szCs w:val="21"/>
              </w:rPr>
              <w:t>行业类别</w:t>
            </w:r>
          </w:p>
        </w:tc>
        <w:tc>
          <w:tcPr>
            <w:tcW w:w="3021" w:type="dxa"/>
            <w:vAlign w:val="center"/>
          </w:tcPr>
          <w:p w14:paraId="249AA933">
            <w:pPr>
              <w:widowControl/>
              <w:jc w:val="left"/>
              <w:rPr>
                <w:szCs w:val="21"/>
              </w:rPr>
            </w:pPr>
            <w:r>
              <w:rPr>
                <w:rFonts w:hint="eastAsia"/>
                <w:szCs w:val="21"/>
                <w:lang w:eastAsia="zh-CN"/>
              </w:rPr>
              <w:t>四十七、生态保护和环境治理业-103一般工业固体废物（含污水处理污泥）、建筑施工废弃物处置及综合利用-其他</w:t>
            </w:r>
          </w:p>
        </w:tc>
      </w:tr>
      <w:tr w14:paraId="1F9CDB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398" w:type="dxa"/>
            <w:tcMar>
              <w:top w:w="16" w:type="dxa"/>
              <w:left w:w="16" w:type="dxa"/>
              <w:right w:w="16" w:type="dxa"/>
            </w:tcMar>
            <w:vAlign w:val="center"/>
          </w:tcPr>
          <w:p w14:paraId="2A89E40B">
            <w:pPr>
              <w:adjustRightInd w:val="0"/>
              <w:snapToGrid w:val="0"/>
              <w:jc w:val="center"/>
              <w:rPr>
                <w:szCs w:val="21"/>
              </w:rPr>
            </w:pPr>
            <w:r>
              <w:rPr>
                <w:szCs w:val="21"/>
              </w:rPr>
              <w:t>建设性质</w:t>
            </w:r>
          </w:p>
        </w:tc>
        <w:tc>
          <w:tcPr>
            <w:tcW w:w="2402" w:type="dxa"/>
            <w:vAlign w:val="center"/>
          </w:tcPr>
          <w:p w14:paraId="41A90F8A">
            <w:pPr>
              <w:jc w:val="left"/>
              <w:rPr>
                <w:szCs w:val="21"/>
              </w:rPr>
            </w:pPr>
            <w:r>
              <w:rPr>
                <w:rFonts w:hint="eastAsia" w:ascii="MS Mincho" w:hAnsi="MS Mincho" w:cs="MS Mincho"/>
                <w:sz w:val="20"/>
                <w:szCs w:val="20"/>
                <w:shd w:val="clear" w:color="auto" w:fill="FFFFFF"/>
              </w:rPr>
              <w:sym w:font="Wingdings 2" w:char="0052"/>
            </w:r>
            <w:r>
              <w:rPr>
                <w:szCs w:val="21"/>
              </w:rPr>
              <w:t>新建（迁建）</w:t>
            </w:r>
          </w:p>
          <w:p w14:paraId="3620BDA2">
            <w:pPr>
              <w:jc w:val="left"/>
              <w:rPr>
                <w:szCs w:val="21"/>
              </w:rPr>
            </w:pPr>
            <w:r>
              <w:rPr>
                <w:szCs w:val="21"/>
              </w:rPr>
              <w:sym w:font="Wingdings 2" w:char="00A3"/>
            </w:r>
            <w:r>
              <w:rPr>
                <w:szCs w:val="21"/>
              </w:rPr>
              <w:t>改建</w:t>
            </w:r>
          </w:p>
          <w:p w14:paraId="0F44F654">
            <w:pPr>
              <w:jc w:val="left"/>
              <w:rPr>
                <w:szCs w:val="21"/>
              </w:rPr>
            </w:pPr>
            <w:r>
              <w:rPr>
                <w:szCs w:val="21"/>
              </w:rPr>
              <w:sym w:font="Wingdings 2" w:char="00A3"/>
            </w:r>
            <w:r>
              <w:rPr>
                <w:szCs w:val="21"/>
              </w:rPr>
              <w:t>扩建</w:t>
            </w:r>
          </w:p>
          <w:p w14:paraId="46BA215E">
            <w:pPr>
              <w:jc w:val="left"/>
              <w:rPr>
                <w:szCs w:val="21"/>
              </w:rPr>
            </w:pPr>
            <w:r>
              <w:rPr>
                <w:szCs w:val="21"/>
              </w:rPr>
              <w:sym w:font="Wingdings 2" w:char="00A3"/>
            </w:r>
            <w:r>
              <w:rPr>
                <w:szCs w:val="21"/>
              </w:rPr>
              <w:t>技术改造</w:t>
            </w:r>
          </w:p>
        </w:tc>
        <w:tc>
          <w:tcPr>
            <w:tcW w:w="2049" w:type="dxa"/>
            <w:gridSpan w:val="2"/>
            <w:vAlign w:val="center"/>
          </w:tcPr>
          <w:p w14:paraId="719616D5">
            <w:pPr>
              <w:adjustRightInd w:val="0"/>
              <w:snapToGrid w:val="0"/>
              <w:jc w:val="center"/>
              <w:rPr>
                <w:szCs w:val="21"/>
              </w:rPr>
            </w:pPr>
            <w:r>
              <w:rPr>
                <w:szCs w:val="21"/>
              </w:rPr>
              <w:t>建设项目</w:t>
            </w:r>
          </w:p>
          <w:p w14:paraId="1A2BC6F4">
            <w:pPr>
              <w:adjustRightInd w:val="0"/>
              <w:snapToGrid w:val="0"/>
              <w:jc w:val="center"/>
              <w:rPr>
                <w:szCs w:val="21"/>
              </w:rPr>
            </w:pPr>
            <w:r>
              <w:rPr>
                <w:szCs w:val="21"/>
              </w:rPr>
              <w:t>申报情形</w:t>
            </w:r>
          </w:p>
        </w:tc>
        <w:tc>
          <w:tcPr>
            <w:tcW w:w="3021" w:type="dxa"/>
            <w:vAlign w:val="center"/>
          </w:tcPr>
          <w:p w14:paraId="70FEBA0B">
            <w:pPr>
              <w:jc w:val="left"/>
              <w:rPr>
                <w:szCs w:val="21"/>
              </w:rPr>
            </w:pPr>
            <w:r>
              <w:rPr>
                <w:rFonts w:hint="eastAsia" w:ascii="MS Mincho" w:hAnsi="MS Mincho" w:cs="MS Mincho"/>
                <w:sz w:val="20"/>
                <w:szCs w:val="20"/>
                <w:shd w:val="clear" w:color="auto" w:fill="FFFFFF"/>
              </w:rPr>
              <w:sym w:font="Wingdings 2" w:char="0052"/>
            </w:r>
            <w:r>
              <w:rPr>
                <w:szCs w:val="21"/>
              </w:rPr>
              <w:t xml:space="preserve">首次申报项目             </w:t>
            </w:r>
          </w:p>
          <w:p w14:paraId="345209AC">
            <w:pPr>
              <w:jc w:val="left"/>
              <w:rPr>
                <w:szCs w:val="21"/>
              </w:rPr>
            </w:pPr>
            <w:r>
              <w:rPr>
                <w:szCs w:val="21"/>
              </w:rPr>
              <w:sym w:font="Wingdings 2" w:char="00A3"/>
            </w:r>
            <w:r>
              <w:rPr>
                <w:szCs w:val="21"/>
              </w:rPr>
              <w:t>不予批准后再次申报项目</w:t>
            </w:r>
          </w:p>
          <w:p w14:paraId="32177681">
            <w:pPr>
              <w:jc w:val="left"/>
              <w:rPr>
                <w:szCs w:val="21"/>
              </w:rPr>
            </w:pPr>
            <w:r>
              <w:rPr>
                <w:szCs w:val="21"/>
              </w:rPr>
              <w:sym w:font="Wingdings 2" w:char="00A3"/>
            </w:r>
            <w:r>
              <w:rPr>
                <w:szCs w:val="21"/>
              </w:rPr>
              <w:t xml:space="preserve">超五年重新审核项目     </w:t>
            </w:r>
          </w:p>
          <w:p w14:paraId="08D3EF75">
            <w:pPr>
              <w:jc w:val="left"/>
              <w:rPr>
                <w:szCs w:val="21"/>
              </w:rPr>
            </w:pPr>
            <w:r>
              <w:rPr>
                <w:szCs w:val="21"/>
              </w:rPr>
              <w:sym w:font="Wingdings 2" w:char="00A3"/>
            </w:r>
            <w:r>
              <w:rPr>
                <w:szCs w:val="21"/>
              </w:rPr>
              <w:t>重大变动重新报批项目</w:t>
            </w:r>
          </w:p>
        </w:tc>
      </w:tr>
      <w:tr w14:paraId="42109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1398" w:type="dxa"/>
            <w:tcMar>
              <w:top w:w="16" w:type="dxa"/>
              <w:left w:w="16" w:type="dxa"/>
              <w:right w:w="16" w:type="dxa"/>
            </w:tcMar>
            <w:vAlign w:val="center"/>
          </w:tcPr>
          <w:p w14:paraId="6B0566D7">
            <w:pPr>
              <w:adjustRightInd w:val="0"/>
              <w:snapToGrid w:val="0"/>
              <w:jc w:val="center"/>
              <w:rPr>
                <w:szCs w:val="21"/>
              </w:rPr>
            </w:pPr>
            <w:r>
              <w:rPr>
                <w:szCs w:val="21"/>
              </w:rPr>
              <w:t>项目审批（核准/备案）部门（选填）</w:t>
            </w:r>
          </w:p>
        </w:tc>
        <w:tc>
          <w:tcPr>
            <w:tcW w:w="2402" w:type="dxa"/>
            <w:vAlign w:val="center"/>
          </w:tcPr>
          <w:p w14:paraId="771B62BF">
            <w:pPr>
              <w:adjustRightInd w:val="0"/>
              <w:snapToGrid w:val="0"/>
              <w:jc w:val="center"/>
              <w:rPr>
                <w:rFonts w:hint="eastAsia" w:eastAsia="宋体"/>
                <w:color w:val="auto"/>
                <w:szCs w:val="21"/>
                <w:lang w:eastAsia="zh-CN"/>
              </w:rPr>
            </w:pPr>
            <w:r>
              <w:rPr>
                <w:rFonts w:hint="eastAsia"/>
                <w:color w:val="auto"/>
                <w:szCs w:val="21"/>
                <w:lang w:eastAsia="zh-CN"/>
              </w:rPr>
              <w:t>启东市行政审批局</w:t>
            </w:r>
          </w:p>
        </w:tc>
        <w:tc>
          <w:tcPr>
            <w:tcW w:w="2049" w:type="dxa"/>
            <w:gridSpan w:val="2"/>
            <w:vAlign w:val="center"/>
          </w:tcPr>
          <w:p w14:paraId="439D85F8">
            <w:pPr>
              <w:adjustRightInd w:val="0"/>
              <w:snapToGrid w:val="0"/>
              <w:jc w:val="center"/>
              <w:rPr>
                <w:color w:val="auto"/>
                <w:szCs w:val="21"/>
              </w:rPr>
            </w:pPr>
            <w:r>
              <w:rPr>
                <w:color w:val="auto"/>
                <w:szCs w:val="21"/>
              </w:rPr>
              <w:t>项目审批（核准/</w:t>
            </w:r>
          </w:p>
          <w:p w14:paraId="436B3C0F">
            <w:pPr>
              <w:adjustRightInd w:val="0"/>
              <w:snapToGrid w:val="0"/>
              <w:jc w:val="center"/>
              <w:rPr>
                <w:color w:val="auto"/>
                <w:szCs w:val="21"/>
              </w:rPr>
            </w:pPr>
            <w:r>
              <w:rPr>
                <w:color w:val="auto"/>
                <w:szCs w:val="21"/>
              </w:rPr>
              <w:t>备案）文号（选填）</w:t>
            </w:r>
          </w:p>
        </w:tc>
        <w:tc>
          <w:tcPr>
            <w:tcW w:w="3021" w:type="dxa"/>
            <w:vAlign w:val="center"/>
          </w:tcPr>
          <w:p w14:paraId="09158970">
            <w:pPr>
              <w:adjustRightInd w:val="0"/>
              <w:snapToGrid w:val="0"/>
              <w:jc w:val="center"/>
              <w:rPr>
                <w:rFonts w:hint="default" w:eastAsia="宋体"/>
                <w:color w:val="auto"/>
                <w:szCs w:val="21"/>
                <w:lang w:val="en-US" w:eastAsia="zh-CN"/>
              </w:rPr>
            </w:pPr>
            <w:r>
              <w:rPr>
                <w:rFonts w:hint="default" w:ascii="Times New Roman" w:hAnsi="Times New Roman" w:cs="Times New Roman"/>
                <w:color w:val="auto"/>
                <w:szCs w:val="21"/>
                <w:lang w:eastAsia="zh-CN"/>
              </w:rPr>
              <w:t>启行审备</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2024</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395号</w:t>
            </w:r>
          </w:p>
        </w:tc>
      </w:tr>
      <w:tr w14:paraId="17E84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398" w:type="dxa"/>
            <w:tcMar>
              <w:top w:w="16" w:type="dxa"/>
              <w:left w:w="16" w:type="dxa"/>
              <w:right w:w="16" w:type="dxa"/>
            </w:tcMar>
            <w:vAlign w:val="center"/>
          </w:tcPr>
          <w:p w14:paraId="578163B1">
            <w:pPr>
              <w:adjustRightInd w:val="0"/>
              <w:snapToGrid w:val="0"/>
              <w:jc w:val="center"/>
              <w:rPr>
                <w:szCs w:val="21"/>
              </w:rPr>
            </w:pPr>
            <w:r>
              <w:rPr>
                <w:szCs w:val="21"/>
              </w:rPr>
              <w:t>总投资（万元）</w:t>
            </w:r>
          </w:p>
        </w:tc>
        <w:tc>
          <w:tcPr>
            <w:tcW w:w="2402" w:type="dxa"/>
            <w:vAlign w:val="center"/>
          </w:tcPr>
          <w:p w14:paraId="0434714F">
            <w:pPr>
              <w:adjustRightInd w:val="0"/>
              <w:snapToGrid w:val="0"/>
              <w:jc w:val="center"/>
              <w:rPr>
                <w:rFonts w:hint="default" w:eastAsia="宋体"/>
                <w:szCs w:val="21"/>
                <w:lang w:val="en-US" w:eastAsia="zh-CN"/>
              </w:rPr>
            </w:pPr>
            <w:r>
              <w:rPr>
                <w:rFonts w:hint="eastAsia"/>
                <w:szCs w:val="21"/>
                <w:lang w:val="en-US" w:eastAsia="zh-CN"/>
              </w:rPr>
              <w:t>7200</w:t>
            </w:r>
          </w:p>
        </w:tc>
        <w:tc>
          <w:tcPr>
            <w:tcW w:w="2049" w:type="dxa"/>
            <w:gridSpan w:val="2"/>
            <w:tcMar>
              <w:top w:w="16" w:type="dxa"/>
              <w:left w:w="16" w:type="dxa"/>
              <w:right w:w="16" w:type="dxa"/>
            </w:tcMar>
            <w:vAlign w:val="center"/>
          </w:tcPr>
          <w:p w14:paraId="17E02642">
            <w:pPr>
              <w:adjustRightInd w:val="0"/>
              <w:snapToGrid w:val="0"/>
              <w:jc w:val="center"/>
              <w:rPr>
                <w:szCs w:val="21"/>
              </w:rPr>
            </w:pPr>
            <w:r>
              <w:rPr>
                <w:szCs w:val="21"/>
              </w:rPr>
              <w:t>环保投资（万元）</w:t>
            </w:r>
          </w:p>
        </w:tc>
        <w:tc>
          <w:tcPr>
            <w:tcW w:w="3021" w:type="dxa"/>
            <w:vAlign w:val="center"/>
          </w:tcPr>
          <w:p w14:paraId="2F7BEC68">
            <w:pPr>
              <w:adjustRightInd w:val="0"/>
              <w:snapToGrid w:val="0"/>
              <w:jc w:val="center"/>
              <w:rPr>
                <w:rFonts w:hint="default" w:eastAsia="宋体"/>
                <w:szCs w:val="21"/>
                <w:lang w:val="en-US" w:eastAsia="zh-CN"/>
              </w:rPr>
            </w:pPr>
            <w:r>
              <w:rPr>
                <w:rFonts w:hint="eastAsia"/>
                <w:szCs w:val="21"/>
                <w:lang w:val="en-US" w:eastAsia="zh-CN"/>
              </w:rPr>
              <w:t>1000</w:t>
            </w:r>
          </w:p>
        </w:tc>
      </w:tr>
      <w:tr w14:paraId="1FCCC4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398" w:type="dxa"/>
            <w:tcMar>
              <w:top w:w="16" w:type="dxa"/>
              <w:left w:w="16" w:type="dxa"/>
              <w:right w:w="16" w:type="dxa"/>
            </w:tcMar>
            <w:vAlign w:val="center"/>
          </w:tcPr>
          <w:p w14:paraId="68ED93C6">
            <w:pPr>
              <w:adjustRightInd w:val="0"/>
              <w:snapToGrid w:val="0"/>
              <w:jc w:val="center"/>
              <w:rPr>
                <w:szCs w:val="21"/>
              </w:rPr>
            </w:pPr>
            <w:r>
              <w:rPr>
                <w:szCs w:val="21"/>
              </w:rPr>
              <w:t>环保投资占比（%）</w:t>
            </w:r>
          </w:p>
        </w:tc>
        <w:tc>
          <w:tcPr>
            <w:tcW w:w="2402" w:type="dxa"/>
            <w:vAlign w:val="center"/>
          </w:tcPr>
          <w:p w14:paraId="57BC80C4">
            <w:pPr>
              <w:adjustRightInd w:val="0"/>
              <w:snapToGrid w:val="0"/>
              <w:jc w:val="center"/>
              <w:rPr>
                <w:szCs w:val="21"/>
              </w:rPr>
            </w:pPr>
            <w:r>
              <w:rPr>
                <w:rFonts w:hint="eastAsia"/>
                <w:szCs w:val="21"/>
                <w:lang w:val="en-US" w:eastAsia="zh-CN"/>
              </w:rPr>
              <w:t>13.89</w:t>
            </w:r>
            <w:r>
              <w:rPr>
                <w:rFonts w:hint="eastAsia"/>
                <w:szCs w:val="21"/>
              </w:rPr>
              <w:t>%</w:t>
            </w:r>
          </w:p>
        </w:tc>
        <w:tc>
          <w:tcPr>
            <w:tcW w:w="2049" w:type="dxa"/>
            <w:gridSpan w:val="2"/>
            <w:tcMar>
              <w:top w:w="16" w:type="dxa"/>
              <w:left w:w="16" w:type="dxa"/>
              <w:right w:w="16" w:type="dxa"/>
            </w:tcMar>
            <w:vAlign w:val="center"/>
          </w:tcPr>
          <w:p w14:paraId="329D421F">
            <w:pPr>
              <w:adjustRightInd w:val="0"/>
              <w:snapToGrid w:val="0"/>
              <w:jc w:val="center"/>
              <w:rPr>
                <w:szCs w:val="21"/>
              </w:rPr>
            </w:pPr>
            <w:r>
              <w:rPr>
                <w:szCs w:val="21"/>
              </w:rPr>
              <w:t>施工工期</w:t>
            </w:r>
          </w:p>
        </w:tc>
        <w:tc>
          <w:tcPr>
            <w:tcW w:w="3021" w:type="dxa"/>
            <w:vAlign w:val="center"/>
          </w:tcPr>
          <w:p w14:paraId="79D25482">
            <w:pPr>
              <w:adjustRightInd w:val="0"/>
              <w:snapToGrid w:val="0"/>
              <w:jc w:val="center"/>
              <w:rPr>
                <w:szCs w:val="21"/>
              </w:rPr>
            </w:pPr>
            <w:r>
              <w:rPr>
                <w:rFonts w:hint="eastAsia"/>
                <w:color w:val="auto"/>
                <w:szCs w:val="21"/>
                <w:lang w:val="en-US" w:eastAsia="zh-CN"/>
              </w:rPr>
              <w:t>15个月</w:t>
            </w:r>
          </w:p>
        </w:tc>
      </w:tr>
      <w:tr w14:paraId="311EE6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398" w:type="dxa"/>
            <w:tcMar>
              <w:top w:w="16" w:type="dxa"/>
              <w:left w:w="16" w:type="dxa"/>
              <w:right w:w="16" w:type="dxa"/>
            </w:tcMar>
            <w:vAlign w:val="center"/>
          </w:tcPr>
          <w:p w14:paraId="672E8E24">
            <w:pPr>
              <w:adjustRightInd w:val="0"/>
              <w:snapToGrid w:val="0"/>
              <w:jc w:val="center"/>
              <w:rPr>
                <w:szCs w:val="21"/>
              </w:rPr>
            </w:pPr>
            <w:r>
              <w:rPr>
                <w:szCs w:val="21"/>
              </w:rPr>
              <w:t>是否开工建设</w:t>
            </w:r>
          </w:p>
        </w:tc>
        <w:tc>
          <w:tcPr>
            <w:tcW w:w="2402" w:type="dxa"/>
            <w:vAlign w:val="center"/>
          </w:tcPr>
          <w:p w14:paraId="2FA98362">
            <w:pPr>
              <w:adjustRightInd w:val="0"/>
              <w:snapToGrid w:val="0"/>
              <w:rPr>
                <w:szCs w:val="21"/>
              </w:rPr>
            </w:pPr>
            <w:r>
              <w:rPr>
                <w:rFonts w:hint="eastAsia" w:ascii="MS Mincho" w:hAnsi="MS Mincho" w:cs="MS Mincho"/>
                <w:sz w:val="20"/>
                <w:szCs w:val="20"/>
                <w:shd w:val="clear" w:color="auto" w:fill="FFFFFF"/>
                <w:lang w:eastAsia="zh-CN"/>
              </w:rPr>
              <w:t>☑</w:t>
            </w:r>
            <w:r>
              <w:rPr>
                <w:szCs w:val="21"/>
              </w:rPr>
              <w:t>否</w:t>
            </w:r>
          </w:p>
          <w:p w14:paraId="3062EAB3">
            <w:pPr>
              <w:adjustRightInd w:val="0"/>
              <w:snapToGrid w:val="0"/>
              <w:rPr>
                <w:szCs w:val="21"/>
              </w:rPr>
            </w:pPr>
            <w:r>
              <w:rPr>
                <w:rFonts w:hint="eastAsia" w:ascii="MS Mincho" w:hAnsi="MS Mincho" w:cs="MS Mincho"/>
                <w:sz w:val="20"/>
                <w:szCs w:val="20"/>
                <w:shd w:val="clear" w:color="auto" w:fill="FFFFFF"/>
                <w:lang w:eastAsia="zh-CN"/>
              </w:rPr>
              <w:t>□</w:t>
            </w:r>
            <w:r>
              <w:rPr>
                <w:szCs w:val="21"/>
              </w:rPr>
              <w:t>是：</w:t>
            </w:r>
            <w:r>
              <w:rPr>
                <w:szCs w:val="21"/>
                <w:u w:val="single"/>
              </w:rPr>
              <w:t xml:space="preserve"> </w:t>
            </w:r>
            <w:r>
              <w:rPr>
                <w:rFonts w:hint="eastAsia"/>
                <w:szCs w:val="21"/>
                <w:u w:val="single"/>
              </w:rPr>
              <w:t xml:space="preserve">     </w:t>
            </w:r>
            <w:r>
              <w:rPr>
                <w:szCs w:val="21"/>
                <w:u w:val="single"/>
              </w:rPr>
              <w:t xml:space="preserve">   </w:t>
            </w:r>
          </w:p>
        </w:tc>
        <w:tc>
          <w:tcPr>
            <w:tcW w:w="2049" w:type="dxa"/>
            <w:gridSpan w:val="2"/>
            <w:tcMar>
              <w:top w:w="16" w:type="dxa"/>
              <w:left w:w="16" w:type="dxa"/>
              <w:right w:w="16" w:type="dxa"/>
            </w:tcMar>
            <w:vAlign w:val="center"/>
          </w:tcPr>
          <w:p w14:paraId="24138CF8">
            <w:pPr>
              <w:adjustRightInd w:val="0"/>
              <w:snapToGrid w:val="0"/>
              <w:jc w:val="center"/>
              <w:rPr>
                <w:spacing w:val="-6"/>
                <w:szCs w:val="21"/>
              </w:rPr>
            </w:pPr>
            <w:r>
              <w:rPr>
                <w:spacing w:val="-6"/>
                <w:szCs w:val="21"/>
              </w:rPr>
              <w:t>用地（用海）</w:t>
            </w:r>
          </w:p>
          <w:p w14:paraId="63D5DF37">
            <w:pPr>
              <w:adjustRightInd w:val="0"/>
              <w:snapToGrid w:val="0"/>
              <w:jc w:val="center"/>
              <w:rPr>
                <w:szCs w:val="21"/>
              </w:rPr>
            </w:pPr>
            <w:r>
              <w:rPr>
                <w:spacing w:val="-6"/>
                <w:szCs w:val="21"/>
              </w:rPr>
              <w:t>面积（m</w:t>
            </w:r>
            <w:r>
              <w:rPr>
                <w:spacing w:val="-6"/>
                <w:szCs w:val="21"/>
                <w:vertAlign w:val="superscript"/>
              </w:rPr>
              <w:t>2</w:t>
            </w:r>
            <w:r>
              <w:rPr>
                <w:spacing w:val="-6"/>
                <w:szCs w:val="21"/>
              </w:rPr>
              <w:t>）</w:t>
            </w:r>
          </w:p>
        </w:tc>
        <w:tc>
          <w:tcPr>
            <w:tcW w:w="3021" w:type="dxa"/>
            <w:vAlign w:val="center"/>
          </w:tcPr>
          <w:p w14:paraId="6FE1EBF1">
            <w:pPr>
              <w:adjustRightInd w:val="0"/>
              <w:snapToGrid w:val="0"/>
              <w:jc w:val="center"/>
              <w:rPr>
                <w:rFonts w:hint="default" w:eastAsia="宋体"/>
                <w:szCs w:val="21"/>
                <w:lang w:val="en-US" w:eastAsia="zh-CN"/>
              </w:rPr>
            </w:pPr>
            <w:r>
              <w:rPr>
                <w:rFonts w:hint="eastAsia"/>
                <w:szCs w:val="21"/>
                <w:lang w:val="en-US" w:eastAsia="zh-CN"/>
              </w:rPr>
              <w:t>12225</w:t>
            </w:r>
          </w:p>
        </w:tc>
      </w:tr>
      <w:tr w14:paraId="1B7690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398" w:type="dxa"/>
            <w:vAlign w:val="center"/>
          </w:tcPr>
          <w:p w14:paraId="782581F7">
            <w:pPr>
              <w:autoSpaceDE w:val="0"/>
              <w:autoSpaceDN w:val="0"/>
              <w:adjustRightInd w:val="0"/>
              <w:snapToGrid w:val="0"/>
              <w:jc w:val="center"/>
              <w:rPr>
                <w:kern w:val="0"/>
                <w:szCs w:val="21"/>
              </w:rPr>
            </w:pPr>
            <w:r>
              <w:rPr>
                <w:kern w:val="0"/>
                <w:szCs w:val="21"/>
              </w:rPr>
              <w:t>专项评价</w:t>
            </w:r>
          </w:p>
          <w:p w14:paraId="6A7C36CF">
            <w:pPr>
              <w:autoSpaceDE w:val="0"/>
              <w:autoSpaceDN w:val="0"/>
              <w:adjustRightInd w:val="0"/>
              <w:snapToGrid w:val="0"/>
              <w:jc w:val="center"/>
              <w:rPr>
                <w:kern w:val="0"/>
                <w:szCs w:val="21"/>
              </w:rPr>
            </w:pPr>
            <w:r>
              <w:rPr>
                <w:kern w:val="0"/>
                <w:szCs w:val="21"/>
              </w:rPr>
              <w:t>设置情况</w:t>
            </w:r>
          </w:p>
        </w:tc>
        <w:tc>
          <w:tcPr>
            <w:tcW w:w="7472" w:type="dxa"/>
            <w:gridSpan w:val="4"/>
            <w:vAlign w:val="center"/>
          </w:tcPr>
          <w:p w14:paraId="17C5A895">
            <w:pPr>
              <w:autoSpaceDE w:val="0"/>
              <w:autoSpaceDN w:val="0"/>
              <w:adjustRightInd w:val="0"/>
              <w:snapToGrid w:val="0"/>
              <w:jc w:val="center"/>
              <w:rPr>
                <w:kern w:val="0"/>
                <w:szCs w:val="21"/>
              </w:rPr>
            </w:pPr>
            <w:r>
              <w:rPr>
                <w:kern w:val="0"/>
                <w:szCs w:val="21"/>
              </w:rPr>
              <w:t>无</w:t>
            </w:r>
          </w:p>
        </w:tc>
      </w:tr>
      <w:tr w14:paraId="5598B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98" w:type="dxa"/>
            <w:vAlign w:val="center"/>
          </w:tcPr>
          <w:p w14:paraId="6CA3BA40">
            <w:pPr>
              <w:autoSpaceDE w:val="0"/>
              <w:autoSpaceDN w:val="0"/>
              <w:adjustRightInd w:val="0"/>
              <w:snapToGrid w:val="0"/>
              <w:jc w:val="center"/>
              <w:rPr>
                <w:kern w:val="0"/>
                <w:szCs w:val="21"/>
              </w:rPr>
            </w:pPr>
            <w:r>
              <w:rPr>
                <w:szCs w:val="21"/>
              </w:rPr>
              <w:t>规划情况</w:t>
            </w:r>
          </w:p>
        </w:tc>
        <w:tc>
          <w:tcPr>
            <w:tcW w:w="7472" w:type="dxa"/>
            <w:gridSpan w:val="4"/>
            <w:vAlign w:val="center"/>
          </w:tcPr>
          <w:p w14:paraId="4DD35E3F">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lang w:eastAsia="zh-CN"/>
              </w:rPr>
            </w:pPr>
            <w:r>
              <w:rPr>
                <w:rFonts w:hint="eastAsia"/>
                <w:lang w:eastAsia="zh-CN"/>
              </w:rPr>
              <w:t>规划名称：启东生命健康产业园发展规划（2021-2030）</w:t>
            </w:r>
          </w:p>
          <w:p w14:paraId="033AB15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lang w:eastAsia="zh-CN"/>
              </w:rPr>
            </w:pPr>
            <w:r>
              <w:rPr>
                <w:rFonts w:hint="eastAsia"/>
                <w:lang w:eastAsia="zh-CN"/>
              </w:rPr>
              <w:t>审批机关：启东市人民政府</w:t>
            </w:r>
          </w:p>
          <w:p w14:paraId="007513A8">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lang w:eastAsia="zh-CN"/>
              </w:rPr>
            </w:pPr>
            <w:r>
              <w:rPr>
                <w:rFonts w:hint="eastAsia"/>
                <w:lang w:eastAsia="zh-CN"/>
              </w:rPr>
              <w:t>审查文件名称及文号：市政府关于同意启东生命健康产业园发展规划（2021-2030）的批复（启政复[2022]96号）；</w:t>
            </w:r>
          </w:p>
        </w:tc>
      </w:tr>
      <w:tr w14:paraId="08F1A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398" w:type="dxa"/>
            <w:vAlign w:val="center"/>
          </w:tcPr>
          <w:p w14:paraId="6157A2ED">
            <w:pPr>
              <w:adjustRightInd w:val="0"/>
              <w:snapToGrid w:val="0"/>
              <w:jc w:val="center"/>
              <w:rPr>
                <w:szCs w:val="21"/>
              </w:rPr>
            </w:pPr>
            <w:r>
              <w:rPr>
                <w:szCs w:val="21"/>
              </w:rPr>
              <w:t>规划环境影响</w:t>
            </w:r>
          </w:p>
          <w:p w14:paraId="6AC09B26">
            <w:pPr>
              <w:adjustRightInd w:val="0"/>
              <w:snapToGrid w:val="0"/>
              <w:jc w:val="center"/>
              <w:rPr>
                <w:kern w:val="0"/>
                <w:szCs w:val="21"/>
              </w:rPr>
            </w:pPr>
            <w:r>
              <w:rPr>
                <w:szCs w:val="21"/>
              </w:rPr>
              <w:t>评价情况</w:t>
            </w:r>
          </w:p>
        </w:tc>
        <w:tc>
          <w:tcPr>
            <w:tcW w:w="7472" w:type="dxa"/>
            <w:gridSpan w:val="4"/>
            <w:vAlign w:val="center"/>
          </w:tcPr>
          <w:p w14:paraId="1ECAF2C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kern w:val="0"/>
                <w:szCs w:val="21"/>
                <w:lang w:eastAsia="zh-CN"/>
              </w:rPr>
            </w:pPr>
            <w:r>
              <w:rPr>
                <w:rFonts w:hint="eastAsia"/>
                <w:kern w:val="0"/>
                <w:szCs w:val="21"/>
                <w:lang w:eastAsia="zh-CN"/>
              </w:rPr>
              <w:t>规划环评名称：启东生命健康产业园发展建设规划（2022-2035年）环境影响报告书</w:t>
            </w:r>
          </w:p>
          <w:p w14:paraId="63513B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kern w:val="0"/>
                <w:szCs w:val="21"/>
                <w:lang w:eastAsia="zh-CN"/>
              </w:rPr>
            </w:pPr>
            <w:r>
              <w:rPr>
                <w:rFonts w:hint="eastAsia"/>
                <w:kern w:val="0"/>
                <w:szCs w:val="21"/>
                <w:lang w:eastAsia="zh-CN"/>
              </w:rPr>
              <w:t>召集审查机关：南通市启东生态环境局</w:t>
            </w:r>
          </w:p>
          <w:p w14:paraId="5E85C6E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kern w:val="0"/>
                <w:szCs w:val="21"/>
                <w:lang w:eastAsia="zh-CN"/>
              </w:rPr>
            </w:pPr>
            <w:r>
              <w:rPr>
                <w:rFonts w:hint="eastAsia"/>
                <w:kern w:val="0"/>
                <w:szCs w:val="21"/>
                <w:lang w:eastAsia="zh-CN"/>
              </w:rPr>
              <w:t>审查文件名称及文号：南通市启东生态环境局关于启东生命健康产业园发展建设规划（2022-2035年）环境影响报告书的审查意见（通启东环[2022]69号）</w:t>
            </w:r>
          </w:p>
        </w:tc>
      </w:tr>
      <w:tr w14:paraId="2D499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398" w:type="dxa"/>
            <w:vAlign w:val="center"/>
          </w:tcPr>
          <w:p w14:paraId="529CBF02">
            <w:pPr>
              <w:adjustRightInd w:val="0"/>
              <w:snapToGrid w:val="0"/>
              <w:jc w:val="center"/>
              <w:rPr>
                <w:szCs w:val="21"/>
              </w:rPr>
            </w:pPr>
            <w:r>
              <w:rPr>
                <w:kern w:val="0"/>
                <w:szCs w:val="21"/>
              </w:rPr>
              <w:t>规划及规划环境影响评价符合性分析</w:t>
            </w:r>
          </w:p>
        </w:tc>
        <w:tc>
          <w:tcPr>
            <w:tcW w:w="7472" w:type="dxa"/>
            <w:gridSpan w:val="4"/>
            <w:vAlign w:val="center"/>
          </w:tcPr>
          <w:p w14:paraId="10A01F4D">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cs="Times New Roman"/>
                <w:b/>
                <w:bCs/>
                <w:lang w:eastAsia="zh-CN"/>
              </w:rPr>
            </w:pPr>
            <w:r>
              <w:rPr>
                <w:rFonts w:hint="default" w:ascii="Times New Roman" w:hAnsi="Times New Roman" w:cs="Times New Roman"/>
                <w:b/>
                <w:bCs/>
                <w:lang w:val="en-US" w:eastAsia="zh-CN"/>
              </w:rPr>
              <w:t>1、与启东生命健康产业园发展规划（2021-2030）</w:t>
            </w:r>
            <w:r>
              <w:rPr>
                <w:rFonts w:hint="default" w:ascii="Times New Roman" w:hAnsi="Times New Roman" w:cs="Times New Roman"/>
                <w:b/>
                <w:bCs/>
                <w:lang w:eastAsia="zh-CN"/>
              </w:rPr>
              <w:t>符合性分析</w:t>
            </w:r>
          </w:p>
          <w:p w14:paraId="1A5ECC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1.1、规划范围与规划时段</w:t>
            </w:r>
          </w:p>
          <w:p w14:paraId="515D89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（1）规划范围</w:t>
            </w:r>
          </w:p>
          <w:p w14:paraId="5C7ED3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规划范围东至吕北公路，西靠启海河，南侧紧邻外滩路，北至南京河、浙江路、宁波路、南通路所围合的区域，规划总用地面积7.97平方公里。</w:t>
            </w:r>
          </w:p>
          <w:p w14:paraId="6D2ED51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（2）规划时段</w:t>
            </w:r>
          </w:p>
          <w:p w14:paraId="7926CBF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本次规划期限为2022-2035年，基准年为2021年，近期2025年，远期2035年。</w:t>
            </w:r>
          </w:p>
          <w:p w14:paraId="47EEC5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本项目位于江苏省南通市启东市启东生命健康产业园常州路38号，在规划范围内。</w:t>
            </w:r>
          </w:p>
          <w:p w14:paraId="31A8FA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1.2、总体空间布局</w:t>
            </w:r>
          </w:p>
          <w:p w14:paraId="7782EFB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1.2.1、空间结构规划</w:t>
            </w:r>
          </w:p>
          <w:p w14:paraId="0A0725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总体形成</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一心两轴三区四点</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的总体布局结构。</w:t>
            </w:r>
          </w:p>
          <w:p w14:paraId="7E5320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一心</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：公共管理中心。在园区中部结合启东生命健康产业园区管委会设置公共管理核心。</w:t>
            </w:r>
          </w:p>
          <w:p w14:paraId="09EC5C7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两轴</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：沿江苏路形成的由西向东连接整个启东生命健康产业园区的产业发展轴和沿江风路形成的自南向北连接沿江公路等对外交通的综合发展轴。</w:t>
            </w:r>
          </w:p>
          <w:p w14:paraId="397C97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三区</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：医药产业片区、新材料产业片区和产业拓展片区。</w:t>
            </w:r>
          </w:p>
          <w:p w14:paraId="35F03A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四点</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：为不同的工业组团服务的产业配套服务区和多个绿化景观节点。</w:t>
            </w:r>
          </w:p>
          <w:p w14:paraId="63AF65C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1.2.2、分区发展引导</w:t>
            </w:r>
          </w:p>
          <w:p w14:paraId="763B57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（1）医药产业片区</w:t>
            </w:r>
          </w:p>
          <w:p w14:paraId="1E7400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位于启东、海门交接东侧，沿江公路南侧，灯杆港西侧，外滩路北侧及原希迪地块。</w:t>
            </w:r>
          </w:p>
          <w:p w14:paraId="17F1FD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是积极招引强研发能力、高技术含量、高附加值生物医药产业的新项目入驻园区，提升园区生物医药产业整体规模和竞争力，引导园区产业高质量发展。二是依托园区内龙头企业，集中布局建设创新药、生物药技术研发中心，为整个园区提供公共研发平台、专家服务平台、质量检验及认证平台、培训平台搭建以科研、设计、孵化、检测、服务等于一体的综合性创新服务载体，建成功能完备的生物医药产业链孵化基地、生物医药技术转化与产品示范区，并与生命健康科技园形成研发生产协同。三是供区内原料药保留企业、搬迁医药企业、原料药转制剂药企业、化工转制剂药或医药辅料企业，经过转型升级和产业延伸拓展，并达到入园标准后，分步分批搬迁至该区，为高密度生物医药区域。</w:t>
            </w:r>
          </w:p>
          <w:p w14:paraId="2AC25F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（2）新材料产业片区</w:t>
            </w:r>
          </w:p>
          <w:p w14:paraId="0CA34ED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位于灯杆港东侧，沿江公路南侧，江风路西侧及东侧长江一公里线以北，滨江路北侧区域。</w:t>
            </w:r>
          </w:p>
          <w:p w14:paraId="40301DE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是积极招引研发能力强、技术含量高、高附加值新材料产业的新项目入驻园区，提升园区新材料产业整体规模和竞争力，进一步完善产业链条，引导园区产业高质量发展；二是依托北新新能源、德威涂料等龙头企业，集中布局建设新材料产业集聚区，主要布置新材料产业标准化生产厂房研发区和办公区，建成产业链完整、功能完备的新材料产业化示范区。鼓励该片区内原有保留企业加快扩建提档升级。</w:t>
            </w:r>
          </w:p>
          <w:p w14:paraId="7E7792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（3）产业拓展片区</w:t>
            </w:r>
          </w:p>
          <w:p w14:paraId="615862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位于江风路东侧，苏州路南侧（除沿江1公里北侧部分），吕北公路（三和港）西侧，江堤北侧。</w:t>
            </w:r>
          </w:p>
          <w:p w14:paraId="3D14DD5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是积极招引高端医疗器械、保健品项目、医药辅料及包装材料、综合服务项目入驻园区，补齐园区生物医药产业短板，积极布局其他符合启东产业定位的先进制造业企业，与上海张江高科形成一体化协作配套区；二是建设商业服务中心和生活服务中心，包括分别建设体现综合服务功能和展览展示功能的综合服务中心，体现信息及物流功能的信息及物流服务中心，体现检验检测服务功能的检验检测中心，体现节能环保服务功能的循环综合利用中心，以及体现研发孵化功能的孵化器；三是建设医药健康产业平台，为企业提供检验检测、质量监督管理、小试试验、产品研发等服务；四是鼓励原有保留企业通过投资扩建、新上项目淘汰落后产品和工艺，实施“智改数改”实现清洁化生产。</w:t>
            </w:r>
          </w:p>
          <w:p w14:paraId="57C905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b w:val="0"/>
                <w:bCs w:val="0"/>
                <w:lang w:val="en-US" w:eastAsia="zh-CN"/>
              </w:rPr>
              <w:t>本项目在江苏省南通市启东市启东生命健康产业园常州路38号进行</w:t>
            </w:r>
            <w:r>
              <w:rPr>
                <w:rFonts w:hint="eastAsia" w:ascii="Times New Roman" w:hAnsi="Times New Roman" w:cs="Times New Roman"/>
                <w:b w:val="0"/>
                <w:bCs w:val="0"/>
                <w:lang w:val="en-US" w:eastAsia="zh-CN"/>
              </w:rPr>
              <w:t>垃圾渣处置和综合利用项目</w:t>
            </w:r>
            <w:r>
              <w:rPr>
                <w:rFonts w:hint="default" w:ascii="Times New Roman" w:hAnsi="Times New Roman" w:cs="Times New Roman"/>
                <w:b w:val="0"/>
                <w:bCs w:val="0"/>
                <w:lang w:val="en-US" w:eastAsia="zh-CN"/>
              </w:rPr>
              <w:t>，本项目用地为工业用地，本项目位于新材料产业区，</w:t>
            </w:r>
            <w:r>
              <w:rPr>
                <w:rFonts w:hint="eastAsia" w:ascii="Times New Roman" w:hAnsi="Times New Roman" w:cs="Times New Roman"/>
                <w:b w:val="0"/>
                <w:bCs w:val="0"/>
                <w:lang w:val="en-US" w:eastAsia="zh-CN"/>
              </w:rPr>
              <w:t>不在园区负面清单范围内</w:t>
            </w:r>
            <w:r>
              <w:rPr>
                <w:rFonts w:hint="default" w:ascii="Times New Roman" w:hAnsi="Times New Roman" w:cs="Times New Roman"/>
                <w:b w:val="0"/>
                <w:bCs w:val="0"/>
                <w:lang w:val="en-US" w:eastAsia="zh-CN"/>
              </w:rPr>
              <w:t>，同时项目属于《产业结构调整指导目录（20</w:t>
            </w:r>
            <w:r>
              <w:rPr>
                <w:rFonts w:hint="eastAsia" w:ascii="Times New Roman" w:hAnsi="Times New Roman" w:cs="Times New Roman"/>
                <w:b w:val="0"/>
                <w:bCs w:val="0"/>
                <w:lang w:val="en-US" w:eastAsia="zh-CN"/>
              </w:rPr>
              <w:t>24</w:t>
            </w:r>
            <w:r>
              <w:rPr>
                <w:rFonts w:hint="default" w:ascii="Times New Roman" w:hAnsi="Times New Roman" w:cs="Times New Roman"/>
                <w:b w:val="0"/>
                <w:bCs w:val="0"/>
                <w:lang w:val="en-US" w:eastAsia="zh-CN"/>
              </w:rPr>
              <w:t>年本）》中鼓励类</w:t>
            </w:r>
            <w:r>
              <w:rPr>
                <w:rFonts w:hint="eastAsia" w:ascii="Times New Roman" w:hAnsi="Times New Roman" w:cs="Times New Roman"/>
                <w:b w:val="0"/>
                <w:bCs w:val="0"/>
                <w:lang w:val="en-US" w:eastAsia="zh-CN"/>
              </w:rPr>
              <w:t>项目</w:t>
            </w:r>
            <w:r>
              <w:rPr>
                <w:rFonts w:hint="default" w:ascii="Times New Roman" w:hAnsi="Times New Roman" w:cs="Times New Roman"/>
                <w:b w:val="0"/>
                <w:bCs w:val="0"/>
                <w:lang w:val="en-US" w:eastAsia="zh-CN"/>
              </w:rPr>
              <w:t>，符合园区产业规划。</w:t>
            </w:r>
          </w:p>
          <w:p w14:paraId="6EAD32E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pPr>
            <w:r>
              <w:rPr>
                <w:rFonts w:hint="eastAsia" w:ascii="Times New Roman" w:hAnsi="Times New Roman" w:cs="Times New Roman"/>
                <w:b/>
                <w:bCs/>
                <w:lang w:val="en-US" w:eastAsia="zh-CN"/>
              </w:rPr>
              <w:t>2、</w:t>
            </w:r>
            <w:r>
              <w:rPr>
                <w:rFonts w:hint="eastAsia"/>
                <w:b/>
                <w:bCs/>
                <w:lang w:val="en-US" w:eastAsia="zh-CN"/>
              </w:rPr>
              <w:t>与南通市启东生态环境局关于启东生命健康产业园发展建设规划（2022-2035年）环境影响报告书的审查意见（通启东环[2022]69号）相符性分析</w:t>
            </w:r>
          </w:p>
          <w:p w14:paraId="2BB1FF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b/>
                <w:bCs/>
                <w:lang w:val="en-US" w:eastAsia="zh-CN"/>
              </w:rPr>
            </w:pPr>
            <w:r>
              <w:rPr>
                <w:rFonts w:hint="default"/>
                <w:b/>
                <w:bCs/>
                <w:lang w:val="en-US" w:eastAsia="zh-CN"/>
              </w:rPr>
              <w:t>表 1-1 本项目园区规划环评审查意见要求的相符性分析</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3"/>
              <w:gridCol w:w="4308"/>
              <w:gridCol w:w="1823"/>
              <w:gridCol w:w="692"/>
            </w:tblGrid>
            <w:tr w14:paraId="65B473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98" w:type="pct"/>
                  <w:noWrap w:val="0"/>
                  <w:vAlign w:val="center"/>
                </w:tcPr>
                <w:p w14:paraId="42B52D4D">
                  <w:pPr>
                    <w:bidi w:val="0"/>
                    <w:jc w:val="center"/>
                    <w:rPr>
                      <w:rFonts w:hint="default" w:ascii="Times New Roman" w:hAnsi="Times New Roman" w:cs="Times New Roman"/>
                      <w:sz w:val="18"/>
                      <w:szCs w:val="18"/>
                    </w:rPr>
                  </w:pPr>
                  <w:r>
                    <w:rPr>
                      <w:rFonts w:hint="default" w:ascii="Times New Roman" w:hAnsi="Times New Roman" w:cs="Times New Roman"/>
                      <w:sz w:val="18"/>
                      <w:szCs w:val="18"/>
                    </w:rPr>
                    <w:t>序号</w:t>
                  </w:r>
                </w:p>
              </w:tc>
              <w:tc>
                <w:tcPr>
                  <w:tcW w:w="2968" w:type="pct"/>
                  <w:noWrap w:val="0"/>
                  <w:vAlign w:val="center"/>
                </w:tcPr>
                <w:p w14:paraId="6682FA77">
                  <w:pPr>
                    <w:bidi w:val="0"/>
                    <w:jc w:val="center"/>
                    <w:rPr>
                      <w:rFonts w:hint="default" w:ascii="Times New Roman" w:hAnsi="Times New Roman" w:cs="Times New Roman"/>
                      <w:sz w:val="18"/>
                      <w:szCs w:val="18"/>
                    </w:rPr>
                  </w:pPr>
                  <w:r>
                    <w:rPr>
                      <w:rFonts w:hint="default" w:ascii="Times New Roman" w:hAnsi="Times New Roman" w:cs="Times New Roman"/>
                      <w:sz w:val="18"/>
                      <w:szCs w:val="18"/>
                    </w:rPr>
                    <w:t>批文中与本项目相关要点</w:t>
                  </w:r>
                </w:p>
              </w:tc>
              <w:tc>
                <w:tcPr>
                  <w:tcW w:w="1256" w:type="pct"/>
                  <w:noWrap w:val="0"/>
                  <w:vAlign w:val="center"/>
                </w:tcPr>
                <w:p w14:paraId="690B1AFF">
                  <w:pPr>
                    <w:bidi w:val="0"/>
                    <w:jc w:val="center"/>
                    <w:rPr>
                      <w:rFonts w:hint="default" w:ascii="Times New Roman" w:hAnsi="Times New Roman" w:cs="Times New Roman"/>
                      <w:sz w:val="18"/>
                      <w:szCs w:val="18"/>
                    </w:rPr>
                  </w:pPr>
                  <w:r>
                    <w:rPr>
                      <w:rFonts w:hint="default" w:ascii="Times New Roman" w:hAnsi="Times New Roman" w:cs="Times New Roman"/>
                      <w:sz w:val="18"/>
                      <w:szCs w:val="18"/>
                    </w:rPr>
                    <w:t>本项目情况</w:t>
                  </w:r>
                </w:p>
              </w:tc>
              <w:tc>
                <w:tcPr>
                  <w:tcW w:w="476" w:type="pct"/>
                  <w:noWrap w:val="0"/>
                  <w:vAlign w:val="center"/>
                </w:tcPr>
                <w:p w14:paraId="1D6A217A">
                  <w:pPr>
                    <w:bidi w:val="0"/>
                    <w:jc w:val="center"/>
                    <w:rPr>
                      <w:rFonts w:hint="default" w:ascii="Times New Roman" w:hAnsi="Times New Roman" w:cs="Times New Roman"/>
                      <w:sz w:val="18"/>
                      <w:szCs w:val="18"/>
                    </w:rPr>
                  </w:pPr>
                  <w:r>
                    <w:rPr>
                      <w:rFonts w:hint="default" w:ascii="Times New Roman" w:hAnsi="Times New Roman" w:cs="Times New Roman"/>
                      <w:sz w:val="18"/>
                      <w:szCs w:val="18"/>
                    </w:rPr>
                    <w:t>相符性</w:t>
                  </w:r>
                </w:p>
              </w:tc>
            </w:tr>
            <w:tr w14:paraId="2D1F65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98" w:type="pct"/>
                  <w:noWrap w:val="0"/>
                  <w:vAlign w:val="center"/>
                </w:tcPr>
                <w:p w14:paraId="656AD996">
                  <w:pPr>
                    <w:bidi w:val="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w:t>
                  </w:r>
                </w:p>
              </w:tc>
              <w:tc>
                <w:tcPr>
                  <w:tcW w:w="2968" w:type="pct"/>
                  <w:noWrap w:val="0"/>
                  <w:vAlign w:val="center"/>
                </w:tcPr>
                <w:p w14:paraId="4546B4C2">
                  <w:pPr>
                    <w:bidi w:val="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加强规划引导，坚持绿色发展和协调发展理念。根据国家、区域发展战略，坚持生态优先、高效集约发展，以环境质量改善为核心，进一步优化《规划》范围、布局、发展规模和产业结构等，做好与国土空间规划和“三线一单”的协调衔接。</w:t>
                  </w:r>
                </w:p>
              </w:tc>
              <w:tc>
                <w:tcPr>
                  <w:tcW w:w="1256" w:type="pct"/>
                  <w:noWrap w:val="0"/>
                  <w:vAlign w:val="center"/>
                </w:tcPr>
                <w:p w14:paraId="1977B749">
                  <w:pPr>
                    <w:bidi w:val="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eastAsia="zh-CN"/>
                    </w:rPr>
                    <w:t>本项目用地为工业用地，符合土地利用规划，本项目符合“三线一单”等国家要求</w:t>
                  </w:r>
                </w:p>
              </w:tc>
              <w:tc>
                <w:tcPr>
                  <w:tcW w:w="476" w:type="pct"/>
                  <w:noWrap w:val="0"/>
                  <w:vAlign w:val="center"/>
                </w:tcPr>
                <w:p w14:paraId="3B5D1ED9">
                  <w:pPr>
                    <w:bidi w:val="0"/>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符合</w:t>
                  </w:r>
                </w:p>
              </w:tc>
            </w:tr>
            <w:tr w14:paraId="236571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98" w:type="pct"/>
                  <w:noWrap w:val="0"/>
                  <w:vAlign w:val="center"/>
                </w:tcPr>
                <w:p w14:paraId="38C651F1">
                  <w:pPr>
                    <w:bidi w:val="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w:t>
                  </w:r>
                </w:p>
              </w:tc>
              <w:tc>
                <w:tcPr>
                  <w:tcW w:w="2968" w:type="pct"/>
                  <w:noWrap w:val="0"/>
                  <w:vAlign w:val="center"/>
                </w:tcPr>
                <w:p w14:paraId="2501E33D">
                  <w:pPr>
                    <w:bidi w:val="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着力推动园区结构调整和转型升级。合理确定土地利用用途，促进园区产业转型升级与生态环境保护、人居环境安全相协调。</w:t>
                  </w:r>
                </w:p>
              </w:tc>
              <w:tc>
                <w:tcPr>
                  <w:tcW w:w="1256" w:type="pct"/>
                  <w:noWrap w:val="0"/>
                  <w:vAlign w:val="center"/>
                </w:tcPr>
                <w:p w14:paraId="45013508">
                  <w:pPr>
                    <w:bidi w:val="0"/>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本项目用地性质为工业用地，符合土地利用规划，本项目周边不存在环境敏感目标</w:t>
                  </w:r>
                </w:p>
              </w:tc>
              <w:tc>
                <w:tcPr>
                  <w:tcW w:w="476" w:type="pct"/>
                  <w:noWrap w:val="0"/>
                  <w:vAlign w:val="center"/>
                </w:tcPr>
                <w:p w14:paraId="4E505042">
                  <w:pPr>
                    <w:bidi w:val="0"/>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符合</w:t>
                  </w:r>
                </w:p>
              </w:tc>
            </w:tr>
            <w:tr w14:paraId="1A2EB5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98" w:type="pct"/>
                  <w:noWrap w:val="0"/>
                  <w:vAlign w:val="center"/>
                </w:tcPr>
                <w:p w14:paraId="102572F1">
                  <w:pPr>
                    <w:bidi w:val="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w:t>
                  </w:r>
                </w:p>
              </w:tc>
              <w:tc>
                <w:tcPr>
                  <w:tcW w:w="2968" w:type="pct"/>
                  <w:noWrap w:val="0"/>
                  <w:vAlign w:val="center"/>
                </w:tcPr>
                <w:p w14:paraId="6AEAB2C9">
                  <w:pPr>
                    <w:bidi w:val="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严格空间管控，优化区内空间布局。做好规划控制和生态隔离带建设，落实《报告书》提出的规划工业用地周边空间防护距离、拟引进项目类型及污染控制要求，加强工业区与周边用地、长江、海门市沿江堤防生态公益林等环境敏感目标的空间保护，避免对生态环境保护、人居环境安全等造成不良环境影响，确保园区产业布局与生态环境保护、人居环境安全相协调。产业园部分区域及企业位于长江干支流岸线一公里范围内，应严格按照《中华人民共和国长江保护法》的管控要求，禁止在长江干</w:t>
                  </w:r>
                </w:p>
              </w:tc>
              <w:tc>
                <w:tcPr>
                  <w:tcW w:w="1256" w:type="pct"/>
                  <w:noWrap w:val="0"/>
                  <w:vAlign w:val="center"/>
                </w:tcPr>
                <w:p w14:paraId="7721AAF5">
                  <w:pPr>
                    <w:bidi w:val="0"/>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val="en-US" w:eastAsia="zh-CN"/>
                    </w:rPr>
                    <w:t>本项目周边不存在环境敏感目标，本项目距离长江约1668米</w:t>
                  </w:r>
                </w:p>
              </w:tc>
              <w:tc>
                <w:tcPr>
                  <w:tcW w:w="476" w:type="pct"/>
                  <w:noWrap w:val="0"/>
                  <w:vAlign w:val="center"/>
                </w:tcPr>
                <w:p w14:paraId="1B907ADF">
                  <w:pPr>
                    <w:bidi w:val="0"/>
                    <w:jc w:val="center"/>
                    <w:rPr>
                      <w:rFonts w:hint="default" w:ascii="Times New Roman" w:hAnsi="Times New Roman" w:cs="Times New Roman"/>
                      <w:sz w:val="18"/>
                      <w:szCs w:val="18"/>
                      <w:lang w:eastAsia="zh-CN"/>
                    </w:rPr>
                  </w:pPr>
                </w:p>
              </w:tc>
            </w:tr>
            <w:tr w14:paraId="6052C9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98" w:type="pct"/>
                  <w:noWrap w:val="0"/>
                  <w:vAlign w:val="center"/>
                </w:tcPr>
                <w:p w14:paraId="739FE7C6">
                  <w:pPr>
                    <w:bidi w:val="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w:t>
                  </w:r>
                </w:p>
              </w:tc>
              <w:tc>
                <w:tcPr>
                  <w:tcW w:w="2968" w:type="pct"/>
                  <w:noWrap w:val="0"/>
                  <w:vAlign w:val="center"/>
                </w:tcPr>
                <w:p w14:paraId="6A276A9A">
                  <w:pPr>
                    <w:bidi w:val="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支流岸线一公里范围内新建、扩建化工园区和化工项目。产业园应加强与自然资源规划部门对接，将园区规划用地纳入国土空间规划中统筹考虑，确保本次规划用地满足国土空间规划的管控要求。</w:t>
                  </w:r>
                </w:p>
              </w:tc>
              <w:tc>
                <w:tcPr>
                  <w:tcW w:w="1256" w:type="pct"/>
                  <w:noWrap w:val="0"/>
                  <w:vAlign w:val="center"/>
                </w:tcPr>
                <w:p w14:paraId="1ACF86D4">
                  <w:pPr>
                    <w:bidi w:val="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本项目工业废水与生活污水分类收集、分质处理，本项目生活污水经处理后接管进入联合水务（启东）有限公司进行深度处理。</w:t>
                  </w:r>
                </w:p>
              </w:tc>
              <w:tc>
                <w:tcPr>
                  <w:tcW w:w="476" w:type="pct"/>
                  <w:noWrap w:val="0"/>
                  <w:vAlign w:val="center"/>
                </w:tcPr>
                <w:p w14:paraId="1A65F048">
                  <w:pPr>
                    <w:bidi w:val="0"/>
                    <w:jc w:val="center"/>
                    <w:rPr>
                      <w:rFonts w:hint="default" w:ascii="Times New Roman" w:hAnsi="Times New Roman" w:cs="Times New Roman"/>
                      <w:sz w:val="18"/>
                      <w:szCs w:val="18"/>
                      <w:lang w:eastAsia="zh-CN"/>
                    </w:rPr>
                  </w:pPr>
                </w:p>
              </w:tc>
            </w:tr>
            <w:tr w14:paraId="398D26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98" w:type="pct"/>
                  <w:noWrap w:val="0"/>
                  <w:vAlign w:val="center"/>
                </w:tcPr>
                <w:p w14:paraId="33319049">
                  <w:pPr>
                    <w:bidi w:val="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w:t>
                  </w:r>
                </w:p>
              </w:tc>
              <w:tc>
                <w:tcPr>
                  <w:tcW w:w="2968" w:type="pct"/>
                  <w:noWrap w:val="0"/>
                  <w:vAlign w:val="center"/>
                </w:tcPr>
                <w:p w14:paraId="7BA6C8D6">
                  <w:pPr>
                    <w:bidi w:val="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沿江200m岸线内未开发用地不再开发，规划作为绿地，200m岸线内已开发用地按照最小控制宽度100m的要求退让，确保沿江100m范围无工业用地。完善环境基础设施。完善区内污水收集管网建设，确保区内废水全收集，全处理。推进中水回用设施及管网建设，提高园区中水回用率，严禁建设燃煤锅炉。强化园区水环境综合整治，对工业废水接入园区污水处理厂的企业开展排查评估，完善企业废水预处理措施。推进区内入河排污口整治，建立名录，强化日常监管。加强区内固体废弃物减量化、资源化、无害化处理，危险废物须依法依规收集、处理处置，做到“就地分类收集，就近转移处置”。对照关于印发《江苏省十四五长江经济带城镇污水垃圾处理 实施规划》的通知(苏长江办发〔2022〕56号)、《省政府办公厅关于加快推进城市污水处理能力建设全面提升污水集中收集处理率的实施意见》(苏政办〔2022〕42号)文件要求，逐步推进工业废水与生活污水分类收集、分质处理。</w:t>
                  </w:r>
                </w:p>
              </w:tc>
              <w:tc>
                <w:tcPr>
                  <w:tcW w:w="1256" w:type="pct"/>
                  <w:noWrap w:val="0"/>
                  <w:vAlign w:val="center"/>
                </w:tcPr>
                <w:p w14:paraId="33E1816F">
                  <w:pPr>
                    <w:bidi w:val="0"/>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val="en-US" w:eastAsia="zh-CN"/>
                    </w:rPr>
                    <w:t>本项目一般固废委外资源化处置，危险固废委托有资质单位进行处理，生化垃圾由环卫公司进行清运</w:t>
                  </w:r>
                </w:p>
              </w:tc>
              <w:tc>
                <w:tcPr>
                  <w:tcW w:w="476" w:type="pct"/>
                  <w:noWrap w:val="0"/>
                  <w:vAlign w:val="center"/>
                </w:tcPr>
                <w:p w14:paraId="4EE33628">
                  <w:pPr>
                    <w:bidi w:val="0"/>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符合</w:t>
                  </w:r>
                </w:p>
              </w:tc>
            </w:tr>
            <w:tr w14:paraId="2028C2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98" w:type="pct"/>
                  <w:noWrap w:val="0"/>
                  <w:vAlign w:val="center"/>
                </w:tcPr>
                <w:p w14:paraId="04519A3E">
                  <w:pPr>
                    <w:bidi w:val="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w:t>
                  </w:r>
                </w:p>
              </w:tc>
              <w:tc>
                <w:tcPr>
                  <w:tcW w:w="2968" w:type="pct"/>
                  <w:noWrap w:val="0"/>
                  <w:vAlign w:val="center"/>
                </w:tcPr>
                <w:p w14:paraId="62DD7B17">
                  <w:pPr>
                    <w:bidi w:val="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严守环境质量底线，实施污染物排放限值限量管理。建设以环境质量为核心的污染物总量控制制度。落实生态环境准入清单中的污染物排放控制要求，采取有效措施减少大气、水主要污染物和特征污染物的排放总量，推进主要污染物排放浓度和总量“双管控”，化工企业应按照国家和省有关规定对其关闭、搬迁遗留地块开展土壤污染状况调查、风险评估、风险管控和修复，确保区域环境质量持续改善。</w:t>
                  </w:r>
                </w:p>
              </w:tc>
              <w:tc>
                <w:tcPr>
                  <w:tcW w:w="1256" w:type="pct"/>
                  <w:noWrap w:val="0"/>
                  <w:vAlign w:val="center"/>
                </w:tcPr>
                <w:p w14:paraId="50123DB0">
                  <w:pPr>
                    <w:bidi w:val="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本项目新增主要污染物排放总量在启东市范围内平衡总量，本项目使用地块已开展开展土壤污染状况调查</w:t>
                  </w:r>
                </w:p>
              </w:tc>
              <w:tc>
                <w:tcPr>
                  <w:tcW w:w="476" w:type="pct"/>
                  <w:noWrap w:val="0"/>
                  <w:vAlign w:val="center"/>
                </w:tcPr>
                <w:p w14:paraId="2FD3666F">
                  <w:pPr>
                    <w:bidi w:val="0"/>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符合</w:t>
                  </w:r>
                </w:p>
              </w:tc>
            </w:tr>
            <w:tr w14:paraId="32181D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98" w:type="pct"/>
                  <w:noWrap w:val="0"/>
                  <w:vAlign w:val="center"/>
                </w:tcPr>
                <w:p w14:paraId="7DDE6B90">
                  <w:pPr>
                    <w:bidi w:val="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6</w:t>
                  </w:r>
                </w:p>
              </w:tc>
              <w:tc>
                <w:tcPr>
                  <w:tcW w:w="2968" w:type="pct"/>
                  <w:noWrap w:val="0"/>
                  <w:vAlign w:val="center"/>
                </w:tcPr>
                <w:p w14:paraId="0B05A8F0">
                  <w:pPr>
                    <w:bidi w:val="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严格入区项目生态环境准入，推动高质量发展。落实《报告书》提出的生态环境准入要求，强化入区企业挥发性有机物等特征污染物排放控制，禁止与主导产业不相关且污染物排放量大的项目入区，执行最严格的行业废水、废气排放控制指标，引进项目的生产工艺、设备，以及单位产品能耗、污染物排放和资源利用效率等均需达到同行业国内先进水平。全面开展清洁生产审核，推动重点行业依法实施强制性审核，推进园区绿色低碳转型发展，实现减污降碳协同增效目标。</w:t>
                  </w:r>
                </w:p>
              </w:tc>
              <w:tc>
                <w:tcPr>
                  <w:tcW w:w="1256" w:type="pct"/>
                  <w:noWrap w:val="0"/>
                  <w:vAlign w:val="center"/>
                </w:tcPr>
                <w:p w14:paraId="6BCBEF75">
                  <w:pPr>
                    <w:bidi w:val="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本项目不在园区产业负面清单中，本项目严格执行行业废水、废气排放要求。本项目的生产工艺、设备，以及资源能源利用、污染物排放、废物回收利用等达到同行业先进水平</w:t>
                  </w:r>
                </w:p>
              </w:tc>
              <w:tc>
                <w:tcPr>
                  <w:tcW w:w="476" w:type="pct"/>
                  <w:noWrap w:val="0"/>
                  <w:vAlign w:val="center"/>
                </w:tcPr>
                <w:p w14:paraId="0DE2FAF6">
                  <w:pPr>
                    <w:bidi w:val="0"/>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符合</w:t>
                  </w:r>
                </w:p>
              </w:tc>
            </w:tr>
            <w:tr w14:paraId="0BB151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98" w:type="pct"/>
                  <w:noWrap w:val="0"/>
                  <w:vAlign w:val="center"/>
                </w:tcPr>
                <w:p w14:paraId="237202DD">
                  <w:pPr>
                    <w:bidi w:val="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7</w:t>
                  </w:r>
                </w:p>
              </w:tc>
              <w:tc>
                <w:tcPr>
                  <w:tcW w:w="2968" w:type="pct"/>
                  <w:noWrap w:val="0"/>
                  <w:vAlign w:val="center"/>
                </w:tcPr>
                <w:p w14:paraId="5F7AB72B">
                  <w:pPr>
                    <w:bidi w:val="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健全园区环境风险防控体系，建立环境应急管理制度，提升环境应急能力。完成园区三级环境防控体系建设，完善环境风险防控基础设施，落实风险防范措施。制定环境应急预案，健全应急响应联动机制，建立定期隐患排查治理制度。配备充足的应急装备物资和应急救援队伍，定期开展演练。做好污染防治过程中的安全防范，组织对园区建设的重点环保治理设施和项目开展安全风险评估和隐患排查治理，指导园区内企业对污染防治设施开展安全风险评估和隐患排查治理。</w:t>
                  </w:r>
                </w:p>
              </w:tc>
              <w:tc>
                <w:tcPr>
                  <w:tcW w:w="1256" w:type="pct"/>
                  <w:noWrap w:val="0"/>
                  <w:vAlign w:val="center"/>
                </w:tcPr>
                <w:p w14:paraId="476D3DC8">
                  <w:pPr>
                    <w:bidi w:val="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企业将配套建设完善的风险防控措施</w:t>
                  </w:r>
                </w:p>
              </w:tc>
              <w:tc>
                <w:tcPr>
                  <w:tcW w:w="476" w:type="pct"/>
                  <w:noWrap w:val="0"/>
                  <w:vAlign w:val="center"/>
                </w:tcPr>
                <w:p w14:paraId="74C93A89">
                  <w:pPr>
                    <w:bidi w:val="0"/>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符合</w:t>
                  </w:r>
                </w:p>
              </w:tc>
            </w:tr>
            <w:tr w14:paraId="7185B9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98" w:type="pct"/>
                  <w:noWrap w:val="0"/>
                  <w:vAlign w:val="center"/>
                </w:tcPr>
                <w:p w14:paraId="0DC14FA8">
                  <w:pPr>
                    <w:bidi w:val="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8</w:t>
                  </w:r>
                </w:p>
              </w:tc>
              <w:tc>
                <w:tcPr>
                  <w:tcW w:w="2968" w:type="pct"/>
                  <w:noWrap w:val="0"/>
                  <w:vAlign w:val="center"/>
                </w:tcPr>
                <w:p w14:paraId="32DBB10F">
                  <w:pPr>
                    <w:bidi w:val="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完善环境监测监控体系，提升环境风险应急能力。建立环境要素的监控体系，每年开展规划区大气、水、土壤、声等环境质量的监测与管理，明确责任主体和实施时限等，根据监测结果并结合环境影响、区域污染物控制措施实施的进度和效果，适时优化调整规划实施。布设空气质量自动监测站点，同时根据实际情况在园区内及周边河流布设水质自动监测站点。指导区内企业安装在线监测设备，推进区内排污重点管理单位自动监测全覆盖，暂不具备安装在线监测设备的企业，应做好委托监测和产污、治污设施用电监控等工作。</w:t>
                  </w:r>
                </w:p>
              </w:tc>
              <w:tc>
                <w:tcPr>
                  <w:tcW w:w="1256" w:type="pct"/>
                  <w:noWrap w:val="0"/>
                  <w:vAlign w:val="center"/>
                </w:tcPr>
                <w:p w14:paraId="66A259F9">
                  <w:pPr>
                    <w:bidi w:val="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本项目将对污染物排放口展开定期监测</w:t>
                  </w:r>
                </w:p>
              </w:tc>
              <w:tc>
                <w:tcPr>
                  <w:tcW w:w="476" w:type="pct"/>
                  <w:noWrap w:val="0"/>
                  <w:vAlign w:val="center"/>
                </w:tcPr>
                <w:p w14:paraId="4165B241">
                  <w:pPr>
                    <w:bidi w:val="0"/>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符合</w:t>
                  </w:r>
                </w:p>
              </w:tc>
            </w:tr>
          </w:tbl>
          <w:p w14:paraId="2C86BA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bCs/>
                <w:lang w:val="en-US" w:eastAsia="zh-CN"/>
              </w:rPr>
            </w:pPr>
            <w:r>
              <w:rPr>
                <w:rFonts w:hint="default"/>
                <w:lang w:val="en-US" w:eastAsia="zh-CN"/>
              </w:rPr>
              <w:t>综上，项目位于江苏省南通市启东市启东生命健康</w:t>
            </w:r>
            <w:r>
              <w:rPr>
                <w:rFonts w:hint="eastAsia"/>
                <w:lang w:val="en-US" w:eastAsia="zh-CN"/>
              </w:rPr>
              <w:t>产业</w:t>
            </w:r>
            <w:r>
              <w:rPr>
                <w:rFonts w:hint="default"/>
                <w:lang w:val="en-US" w:eastAsia="zh-CN"/>
              </w:rPr>
              <w:t>园</w:t>
            </w:r>
            <w:r>
              <w:rPr>
                <w:rFonts w:hint="eastAsia"/>
                <w:lang w:val="en-US" w:eastAsia="zh-CN"/>
              </w:rPr>
              <w:t>常州路38号</w:t>
            </w:r>
            <w:r>
              <w:rPr>
                <w:rFonts w:hint="default"/>
                <w:lang w:val="en-US" w:eastAsia="zh-CN"/>
              </w:rPr>
              <w:t>，其用地性质为工业用地，符合启东市用地规划要求。本项目运营过程中产生的污染程度较轻且易于防治，与规划环评及审批意见相关要求相符。</w:t>
            </w:r>
          </w:p>
          <w:p w14:paraId="6A4DFE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default" w:ascii="Times New Roman" w:hAnsi="Times New Roman" w:cs="Times New Roman"/>
                <w:b/>
                <w:bCs/>
                <w:lang w:val="en-US" w:eastAsia="zh-CN"/>
              </w:rPr>
            </w:pPr>
            <w:r>
              <w:rPr>
                <w:rFonts w:hint="eastAsia" w:ascii="Times New Roman" w:hAnsi="Times New Roman" w:cs="Times New Roman"/>
                <w:b/>
                <w:bCs/>
                <w:lang w:val="en-US" w:eastAsia="zh-CN"/>
              </w:rPr>
              <w:t>3</w:t>
            </w:r>
            <w:r>
              <w:rPr>
                <w:rFonts w:hint="default" w:ascii="Times New Roman" w:hAnsi="Times New Roman" w:cs="Times New Roman"/>
                <w:b/>
                <w:bCs/>
                <w:lang w:val="en-US" w:eastAsia="zh-CN"/>
              </w:rPr>
              <w:t>.与国务院关于《江苏省国土空间规划（2021-2035）》的批复（国函</w:t>
            </w:r>
            <w:r>
              <w:rPr>
                <w:rFonts w:hint="default" w:ascii="Times New Roman" w:hAnsi="Times New Roman" w:eastAsia="宋体" w:cs="Times New Roman"/>
                <w:b/>
                <w:bCs/>
                <w:lang w:val="en-US" w:eastAsia="zh-CN"/>
              </w:rPr>
              <w:t>﹝2023﹞69号）相符性分析</w:t>
            </w:r>
          </w:p>
          <w:p w14:paraId="04107DB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到2035年，江苏省耕地保有量不低于5977万亩，其中永久基本农田保护面积不低于5344万亩；生态保护红线不低于1.82万平方千米，其中海洋生态保护红线不低于0.95万平方千米；城镇开发边界扩展倍数控制在基于2020年城镇建设用地规模的1.3倍以内；单位国内生产总值建设用地使用面积下降不少于40%；大陆自然岸线保有率不低于国家下达任务，其中2025年不低于36.1%；用水总量不超过国家下达任务，其中2025年不超过620亿立方米；除国家重大项目外，全面禁止围填海；严格无居民海岛管理。</w:t>
            </w:r>
          </w:p>
          <w:p w14:paraId="2D84CDD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本项目用地为工业用地，</w:t>
            </w:r>
            <w:r>
              <w:rPr>
                <w:rFonts w:hint="eastAsia" w:cs="Times New Roman"/>
                <w:b w:val="0"/>
                <w:bCs w:val="0"/>
                <w:lang w:val="en-US" w:eastAsia="zh-CN"/>
              </w:rPr>
              <w:t>位于城镇开发边界内，</w:t>
            </w:r>
            <w:r>
              <w:rPr>
                <w:rFonts w:hint="default" w:ascii="Times New Roman" w:hAnsi="Times New Roman" w:cs="Times New Roman"/>
                <w:b w:val="0"/>
                <w:bCs w:val="0"/>
                <w:lang w:val="en-US" w:eastAsia="zh-CN"/>
              </w:rPr>
              <w:t>不位于生态管控区范围内，不位于生态红线范围内，不在永久基本农田保护区、海洋发展区范围内。符合国务院关于《江苏省国土空间规划（2021-2035）》的批复（国函﹝2023﹞69号）。</w:t>
            </w:r>
          </w:p>
          <w:p w14:paraId="3652B0A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422" w:firstLineChars="200"/>
              <w:jc w:val="both"/>
              <w:textAlignment w:val="auto"/>
              <w:rPr>
                <w:rFonts w:hint="default" w:ascii="Times New Roman" w:hAnsi="Times New Roman" w:eastAsia="宋体" w:cs="Times New Roman"/>
                <w:b/>
                <w:bCs/>
                <w:lang w:val="en-US" w:eastAsia="zh-CN"/>
              </w:rPr>
            </w:pPr>
            <w:r>
              <w:rPr>
                <w:rFonts w:hint="eastAsia" w:ascii="Times New Roman" w:hAnsi="Times New Roman" w:cs="Times New Roman"/>
                <w:b/>
                <w:bCs/>
                <w:lang w:val="en-US" w:eastAsia="zh-CN"/>
              </w:rPr>
              <w:t>4</w:t>
            </w:r>
            <w:r>
              <w:rPr>
                <w:rFonts w:hint="default" w:ascii="Times New Roman" w:hAnsi="Times New Roman" w:eastAsia="宋体" w:cs="Times New Roman"/>
                <w:b/>
                <w:bCs/>
                <w:lang w:val="en-US" w:eastAsia="zh-CN"/>
              </w:rPr>
              <w:t>.与南通市国土空间总体规划（2021~2035）相符性分析</w:t>
            </w:r>
          </w:p>
          <w:p w14:paraId="1C15BB1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firstLine="42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江苏省国土空间规划要求和市域空间结构，按照陆海统筹、全域覆盖的原则，市域划分为生态保护红线区、生态控制区、永久基本农田保护区、城镇发展区、乡村发展区、海洋发展区等一级规划分区。生态保护红线区按照生态保护红线相关管控要求，原则上自然保护地核心保护区禁止人为活动，自然保护地核心保护区外禁止开发性、生产性建设活动，在符合法律法规的前提下，仅允许对生态功能不造成破坏的有限人为活动；生态控制区按照限制建设区进行管控，经评价在对生态环境不产生破坏的前提下，可以适度开展观光、旅游等活动；永久基本农田保护区按照永久基本农田保护要求进行管控；城镇发展区按照</w:t>
            </w:r>
            <w:r>
              <w:rPr>
                <w:rFonts w:hint="eastAsia" w:ascii="Times New Roman" w:hAnsi="Times New Roman" w:cs="Times New Roman"/>
                <w:lang w:val="en-US" w:eastAsia="zh-CN"/>
              </w:rPr>
              <w:t>“</w:t>
            </w:r>
            <w:r>
              <w:rPr>
                <w:rFonts w:hint="default" w:ascii="Times New Roman" w:hAnsi="Times New Roman" w:eastAsia="宋体" w:cs="Times New Roman"/>
                <w:lang w:val="en-US" w:eastAsia="zh-CN"/>
              </w:rPr>
              <w:t>详细规划+规划许可</w:t>
            </w:r>
            <w:r>
              <w:rPr>
                <w:rFonts w:hint="eastAsia" w:ascii="Times New Roman" w:hAnsi="Times New Roman" w:cs="Times New Roman"/>
                <w:lang w:val="en-US" w:eastAsia="zh-CN"/>
              </w:rPr>
              <w:t>”</w:t>
            </w:r>
            <w:r>
              <w:rPr>
                <w:rFonts w:hint="default" w:ascii="Times New Roman" w:hAnsi="Times New Roman" w:eastAsia="宋体" w:cs="Times New Roman"/>
                <w:lang w:val="en-US" w:eastAsia="zh-CN"/>
              </w:rPr>
              <w:t>进行管控；乡村发展区按照</w:t>
            </w:r>
            <w:r>
              <w:rPr>
                <w:rFonts w:hint="eastAsia" w:ascii="Times New Roman" w:hAnsi="Times New Roman" w:cs="Times New Roman"/>
                <w:lang w:val="en-US" w:eastAsia="zh-CN"/>
              </w:rPr>
              <w:t>“</w:t>
            </w:r>
            <w:r>
              <w:rPr>
                <w:rFonts w:hint="default" w:ascii="Times New Roman" w:hAnsi="Times New Roman" w:eastAsia="宋体" w:cs="Times New Roman"/>
                <w:lang w:val="en-US" w:eastAsia="zh-CN"/>
              </w:rPr>
              <w:t>详细规划（村庄规划）+规划许可</w:t>
            </w:r>
            <w:r>
              <w:rPr>
                <w:rFonts w:hint="eastAsia" w:ascii="Times New Roman" w:hAnsi="Times New Roman" w:cs="Times New Roman"/>
                <w:lang w:val="en-US" w:eastAsia="zh-CN"/>
              </w:rPr>
              <w:t>”</w:t>
            </w:r>
            <w:r>
              <w:rPr>
                <w:rFonts w:hint="default" w:ascii="Times New Roman" w:hAnsi="Times New Roman" w:eastAsia="宋体" w:cs="Times New Roman"/>
                <w:lang w:val="en-US" w:eastAsia="zh-CN"/>
              </w:rPr>
              <w:t>和</w:t>
            </w:r>
            <w:r>
              <w:rPr>
                <w:rFonts w:hint="eastAsia" w:ascii="Times New Roman" w:hAnsi="Times New Roman" w:cs="Times New Roman"/>
                <w:lang w:val="en-US" w:eastAsia="zh-CN"/>
              </w:rPr>
              <w:t>“</w:t>
            </w:r>
            <w:r>
              <w:rPr>
                <w:rFonts w:hint="default" w:ascii="Times New Roman" w:hAnsi="Times New Roman" w:eastAsia="宋体" w:cs="Times New Roman"/>
                <w:lang w:val="en-US" w:eastAsia="zh-CN"/>
              </w:rPr>
              <w:t>约束指标+分区准入</w:t>
            </w:r>
            <w:r>
              <w:rPr>
                <w:rFonts w:hint="eastAsia" w:ascii="Times New Roman" w:hAnsi="Times New Roman" w:cs="Times New Roman"/>
                <w:lang w:val="en-US" w:eastAsia="zh-CN"/>
              </w:rPr>
              <w:t>”</w:t>
            </w:r>
            <w:r>
              <w:rPr>
                <w:rFonts w:hint="default" w:ascii="Times New Roman" w:hAnsi="Times New Roman" w:eastAsia="宋体" w:cs="Times New Roman"/>
                <w:lang w:val="en-US" w:eastAsia="zh-CN"/>
              </w:rPr>
              <w:t>进行管控；海洋发展区按照海洋相关管控要求进行管控。</w:t>
            </w:r>
          </w:p>
          <w:p w14:paraId="1FCC476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lang w:val="en-US" w:eastAsia="zh-CN"/>
              </w:rPr>
            </w:pPr>
            <w:r>
              <w:rPr>
                <w:rFonts w:hint="default" w:ascii="Times New Roman" w:hAnsi="Times New Roman" w:eastAsia="宋体" w:cs="Times New Roman"/>
                <w:lang w:val="en-US" w:eastAsia="zh-CN"/>
              </w:rPr>
              <w:t>项目用地为工业用地，</w:t>
            </w:r>
            <w:r>
              <w:rPr>
                <w:rFonts w:hint="eastAsia" w:cs="Times New Roman"/>
                <w:b w:val="0"/>
                <w:bCs w:val="0"/>
                <w:lang w:val="en-US" w:eastAsia="zh-CN"/>
              </w:rPr>
              <w:t>位于城镇开发边界内，</w:t>
            </w:r>
            <w:r>
              <w:rPr>
                <w:rFonts w:hint="default" w:ascii="Times New Roman" w:hAnsi="Times New Roman" w:eastAsia="宋体" w:cs="Times New Roman"/>
                <w:lang w:val="en-US" w:eastAsia="zh-CN"/>
              </w:rPr>
              <w:t>不位于生态管控区范围内，不位于生态红线范围内，不涉及永久基本农田保护区、海洋发展区。与《南通市国土空间总体规划》（2021—2035年）相符。</w:t>
            </w:r>
          </w:p>
        </w:tc>
      </w:tr>
      <w:tr w14:paraId="04EE3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39" w:hRule="atLeast"/>
          <w:jc w:val="center"/>
        </w:trPr>
        <w:tc>
          <w:tcPr>
            <w:tcW w:w="1398" w:type="dxa"/>
            <w:vAlign w:val="center"/>
          </w:tcPr>
          <w:p w14:paraId="5BEC0265">
            <w:pPr>
              <w:adjustRightInd w:val="0"/>
              <w:snapToGrid w:val="0"/>
              <w:jc w:val="center"/>
              <w:rPr>
                <w:kern w:val="0"/>
                <w:szCs w:val="21"/>
              </w:rPr>
            </w:pPr>
            <w:r>
              <w:rPr>
                <w:kern w:val="0"/>
                <w:szCs w:val="21"/>
              </w:rPr>
              <w:t>其他符合性</w:t>
            </w:r>
          </w:p>
          <w:p w14:paraId="731D3146">
            <w:pPr>
              <w:adjustRightInd w:val="0"/>
              <w:snapToGrid w:val="0"/>
              <w:jc w:val="center"/>
              <w:rPr>
                <w:kern w:val="0"/>
                <w:szCs w:val="21"/>
              </w:rPr>
            </w:pPr>
            <w:r>
              <w:rPr>
                <w:kern w:val="0"/>
                <w:szCs w:val="21"/>
              </w:rPr>
              <w:t>分析</w:t>
            </w:r>
          </w:p>
        </w:tc>
        <w:tc>
          <w:tcPr>
            <w:tcW w:w="7472" w:type="dxa"/>
            <w:gridSpan w:val="4"/>
            <w:vAlign w:val="center"/>
          </w:tcPr>
          <w:p w14:paraId="13A3D52E">
            <w:pPr>
              <w:spacing w:line="500" w:lineRule="exact"/>
              <w:ind w:firstLine="422" w:firstLineChars="200"/>
              <w:rPr>
                <w:b/>
                <w:szCs w:val="21"/>
              </w:rPr>
            </w:pPr>
            <w:r>
              <w:rPr>
                <w:b/>
                <w:szCs w:val="21"/>
              </w:rPr>
              <w:t>1、项目产业政策符合性分析</w:t>
            </w:r>
          </w:p>
          <w:p w14:paraId="51F85B96">
            <w:pPr>
              <w:spacing w:line="500" w:lineRule="exact"/>
              <w:ind w:firstLine="420" w:firstLineChars="200"/>
              <w:rPr>
                <w:szCs w:val="21"/>
              </w:rPr>
            </w:pPr>
            <w:r>
              <w:rPr>
                <w:szCs w:val="21"/>
              </w:rPr>
              <w:t>（1）产品产业政策符合性</w:t>
            </w:r>
          </w:p>
          <w:p w14:paraId="2C033F8F">
            <w:pPr>
              <w:adjustRightInd w:val="0"/>
              <w:snapToGrid w:val="0"/>
              <w:spacing w:line="500" w:lineRule="exact"/>
              <w:ind w:firstLine="420" w:firstLineChars="200"/>
            </w:pPr>
            <w:r>
              <w:t>项目为国民经济行业类别中的</w:t>
            </w:r>
            <w:r>
              <w:rPr>
                <w:rFonts w:hint="eastAsia"/>
                <w:szCs w:val="21"/>
              </w:rPr>
              <w:t>固体废物治理</w:t>
            </w:r>
            <w:r>
              <w:t>，</w:t>
            </w:r>
            <w:r>
              <w:rPr>
                <w:rFonts w:hint="eastAsia"/>
                <w:lang w:eastAsia="zh-CN"/>
              </w:rPr>
              <w:t>本项目</w:t>
            </w:r>
            <w:r>
              <w:t>属于《产业结构调整指导目录（</w:t>
            </w:r>
            <w:r>
              <w:rPr>
                <w:rFonts w:hint="eastAsia"/>
                <w:lang w:val="en-US" w:eastAsia="zh-CN"/>
              </w:rPr>
              <w:t>2024</w:t>
            </w:r>
            <w:r>
              <w:t>年本）》中</w:t>
            </w:r>
            <w:r>
              <w:rPr>
                <w:rFonts w:hint="eastAsia"/>
                <w:lang w:eastAsia="zh-CN"/>
              </w:rPr>
              <w:t>：四十二、环境保护与资源节约综合利用中“工业“三废”循环利用：“三废”综合利用与治理技术、装备和工程”，属于鼓励</w:t>
            </w:r>
            <w:r>
              <w:t>类，视为允许类，对照《环境保护综合名录（2021年版）》及《江苏省“两高”项目管理目录》，本项目不在</w:t>
            </w:r>
            <w:r>
              <w:rPr>
                <w:rFonts w:hint="eastAsia"/>
              </w:rPr>
              <w:t>“</w:t>
            </w:r>
            <w:r>
              <w:t>高污染、高环境</w:t>
            </w:r>
            <w:r>
              <w:rPr>
                <w:rFonts w:hint="eastAsia"/>
              </w:rPr>
              <w:t>”</w:t>
            </w:r>
            <w:r>
              <w:t>风险产品名录内。对照</w:t>
            </w:r>
            <w:r>
              <w:rPr>
                <w:rFonts w:hint="eastAsia"/>
              </w:rPr>
              <w:t>南通市关于加大污染减排力度推进重点行业绿色发展的指导意见》（通办〔2024〕6号）</w:t>
            </w:r>
            <w:r>
              <w:t>，本项目不属于高排放、高耗能行业。因此，本项目符合国家产业政策。</w:t>
            </w:r>
          </w:p>
          <w:p w14:paraId="07B853CC">
            <w:pPr>
              <w:spacing w:line="500" w:lineRule="exact"/>
              <w:ind w:firstLine="420" w:firstLineChars="200"/>
            </w:pPr>
            <w:r>
              <w:rPr>
                <w:szCs w:val="21"/>
              </w:rPr>
              <w:t>（2）</w:t>
            </w:r>
            <w:r>
              <w:t>选址及用地规划相符性分析</w:t>
            </w:r>
          </w:p>
          <w:p w14:paraId="51A84B16">
            <w:pPr>
              <w:spacing w:line="500" w:lineRule="exact"/>
              <w:ind w:firstLine="420" w:firstLineChars="200"/>
              <w:rPr>
                <w:szCs w:val="21"/>
              </w:rPr>
            </w:pPr>
            <w:r>
              <w:rPr>
                <w:szCs w:val="21"/>
              </w:rPr>
              <w:t>对照《限制用地项目目录（2012年本）》和《禁止用地项目目录（2012年本）》，</w:t>
            </w:r>
            <w:r>
              <w:t>《江苏省限制用地项目目录（2013年本）》和《江苏省禁止用地项目目录（2013年本）》，</w:t>
            </w:r>
            <w:r>
              <w:rPr>
                <w:szCs w:val="21"/>
              </w:rPr>
              <w:t>本项目不属于其规定的限制用地和禁止用地项目范畴，可视为允许类项目。</w:t>
            </w:r>
          </w:p>
          <w:p w14:paraId="39B1E7A6">
            <w:pPr>
              <w:adjustRightInd w:val="0"/>
              <w:snapToGrid w:val="0"/>
              <w:spacing w:line="500" w:lineRule="exact"/>
              <w:ind w:firstLine="420" w:firstLineChars="200"/>
            </w:pPr>
            <w:r>
              <w:rPr>
                <w:szCs w:val="21"/>
              </w:rPr>
              <w:t>项目位于</w:t>
            </w:r>
            <w:r>
              <w:rPr>
                <w:rFonts w:hint="eastAsia"/>
                <w:kern w:val="0"/>
                <w:szCs w:val="21"/>
              </w:rPr>
              <w:t>江苏省南通市启东市启东生命健康产业园常州路38号</w:t>
            </w:r>
            <w:r>
              <w:rPr>
                <w:szCs w:val="21"/>
              </w:rPr>
              <w:t>，</w:t>
            </w:r>
            <w:r>
              <w:rPr>
                <w:rFonts w:hint="eastAsia"/>
                <w:szCs w:val="21"/>
                <w:lang w:eastAsia="zh-CN"/>
              </w:rPr>
              <w:t>属于工业用地，</w:t>
            </w:r>
            <w:r>
              <w:rPr>
                <w:szCs w:val="21"/>
              </w:rPr>
              <w:t>项目建设符合《省政府关于印发江苏省生态空间管控区域规划的通知》（苏政发〔2020〕1号）的相关要求，本项目的选址符合相关规划要求，选址合理。</w:t>
            </w:r>
          </w:p>
          <w:p w14:paraId="2E3F5AE6">
            <w:pPr>
              <w:adjustRightInd w:val="0"/>
              <w:snapToGrid w:val="0"/>
              <w:spacing w:line="500" w:lineRule="exact"/>
              <w:ind w:firstLine="422" w:firstLineChars="200"/>
              <w:rPr>
                <w:b/>
                <w:bCs/>
                <w:szCs w:val="21"/>
              </w:rPr>
            </w:pPr>
            <w:r>
              <w:rPr>
                <w:rFonts w:hint="eastAsia"/>
                <w:b/>
                <w:bCs/>
                <w:szCs w:val="21"/>
                <w:lang w:val="en-US" w:eastAsia="zh-CN"/>
              </w:rPr>
              <w:t>2</w:t>
            </w:r>
            <w:r>
              <w:rPr>
                <w:rFonts w:hint="eastAsia"/>
                <w:b/>
                <w:bCs/>
                <w:szCs w:val="21"/>
              </w:rPr>
              <w:t>、与“三线一单”相符性分析</w:t>
            </w:r>
          </w:p>
          <w:p w14:paraId="612C070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szCs w:val="21"/>
                <w:lang w:val="en-US" w:eastAsia="zh-CN"/>
              </w:rPr>
            </w:pPr>
            <w:r>
              <w:rPr>
                <w:rFonts w:hint="eastAsia"/>
                <w:szCs w:val="21"/>
                <w:lang w:val="en-US" w:eastAsia="zh-CN"/>
              </w:rPr>
              <w:t>1）与生态保护红线的相符性</w:t>
            </w:r>
          </w:p>
          <w:p w14:paraId="4AEA1C3F">
            <w:pPr>
              <w:pStyle w:val="2"/>
              <w:keepNext w:val="0"/>
              <w:keepLines w:val="0"/>
              <w:pageBreakBefore w:val="0"/>
              <w:widowControl w:val="0"/>
              <w:kinsoku/>
              <w:wordWrap/>
              <w:overflowPunct/>
              <w:topLinePunct w:val="0"/>
              <w:autoSpaceDE/>
              <w:autoSpaceDN/>
              <w:bidi w:val="0"/>
              <w:adjustRightInd/>
              <w:snapToGrid/>
              <w:spacing w:after="0" w:line="500" w:lineRule="exact"/>
              <w:ind w:firstLine="422" w:firstLineChars="200"/>
              <w:textAlignment w:val="auto"/>
              <w:rPr>
                <w:rFonts w:hint="eastAsia" w:ascii="Times New Roman" w:hAnsi="Times New Roman" w:eastAsia="宋体" w:cs="Times New Roman"/>
                <w:b/>
                <w:bCs/>
                <w:kern w:val="2"/>
                <w:sz w:val="21"/>
                <w:szCs w:val="21"/>
                <w:vertAlign w:val="baseline"/>
                <w:lang w:val="en-US" w:eastAsia="zh-CN" w:bidi="ar-SA"/>
              </w:rPr>
            </w:pPr>
            <w:r>
              <w:rPr>
                <w:rFonts w:hint="eastAsia" w:ascii="Times New Roman" w:hAnsi="Times New Roman" w:eastAsia="宋体" w:cs="Times New Roman"/>
                <w:b/>
                <w:bCs/>
                <w:kern w:val="2"/>
                <w:sz w:val="21"/>
                <w:szCs w:val="21"/>
                <w:lang w:val="en-US" w:eastAsia="zh-CN" w:bidi="ar-SA"/>
              </w:rPr>
              <w:t>表1-1 与《江苏省2023年生态环境分区管控动态更新成果》相符性分析</w:t>
            </w:r>
          </w:p>
          <w:tbl>
            <w:tblPr>
              <w:tblStyle w:val="20"/>
              <w:tblW w:w="7279"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093"/>
              <w:gridCol w:w="594"/>
              <w:gridCol w:w="963"/>
              <w:gridCol w:w="1542"/>
              <w:gridCol w:w="735"/>
              <w:gridCol w:w="1215"/>
            </w:tblGrid>
            <w:tr w14:paraId="0AC3E3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37" w:type="dxa"/>
                  <w:tcBorders>
                    <w:tl2br w:val="nil"/>
                    <w:tr2bl w:val="nil"/>
                  </w:tcBorders>
                  <w:vAlign w:val="center"/>
                </w:tcPr>
                <w:p w14:paraId="45CAB859">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优先保护单元</w:t>
                  </w:r>
                </w:p>
              </w:tc>
              <w:tc>
                <w:tcPr>
                  <w:tcW w:w="6142" w:type="dxa"/>
                  <w:gridSpan w:val="6"/>
                  <w:tcBorders>
                    <w:tl2br w:val="nil"/>
                    <w:tr2bl w:val="nil"/>
                  </w:tcBorders>
                  <w:vAlign w:val="center"/>
                </w:tcPr>
                <w:p w14:paraId="453E723F">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项目位于江苏省南通市启东市启东生命健康产业园常州路38号，不涉及优先保护单元</w:t>
                  </w:r>
                </w:p>
              </w:tc>
            </w:tr>
            <w:tr w14:paraId="1D227E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37" w:type="dxa"/>
                  <w:tcBorders>
                    <w:tl2br w:val="nil"/>
                    <w:tr2bl w:val="nil"/>
                  </w:tcBorders>
                  <w:vAlign w:val="center"/>
                </w:tcPr>
                <w:p w14:paraId="7C3A1792">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重点管控单元</w:t>
                  </w:r>
                </w:p>
              </w:tc>
              <w:tc>
                <w:tcPr>
                  <w:tcW w:w="6142" w:type="dxa"/>
                  <w:gridSpan w:val="6"/>
                  <w:tcBorders>
                    <w:tl2br w:val="nil"/>
                    <w:tr2bl w:val="nil"/>
                  </w:tcBorders>
                  <w:vAlign w:val="center"/>
                </w:tcPr>
                <w:p w14:paraId="52D84C63">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项目位于江苏省南通市启东市启东生命健康产业园常州路38号，属于启东滨江精细化工园（启东生命健康产业园），属于重点管控单元</w:t>
                  </w:r>
                </w:p>
              </w:tc>
            </w:tr>
            <w:tr w14:paraId="4E219C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37" w:type="dxa"/>
                  <w:tcBorders>
                    <w:tl2br w:val="nil"/>
                    <w:tr2bl w:val="nil"/>
                  </w:tcBorders>
                  <w:vAlign w:val="center"/>
                </w:tcPr>
                <w:p w14:paraId="5ADE39DB">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一般管控单元</w:t>
                  </w:r>
                </w:p>
              </w:tc>
              <w:tc>
                <w:tcPr>
                  <w:tcW w:w="6142" w:type="dxa"/>
                  <w:gridSpan w:val="6"/>
                  <w:tcBorders>
                    <w:tl2br w:val="nil"/>
                    <w:tr2bl w:val="nil"/>
                  </w:tcBorders>
                  <w:vAlign w:val="center"/>
                </w:tcPr>
                <w:p w14:paraId="75A4DA63">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项目位于江苏省南通市启东市启东生命健康产业园常州路38号，不涉及一般管控单元</w:t>
                  </w:r>
                </w:p>
              </w:tc>
            </w:tr>
            <w:tr w14:paraId="407DCB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137" w:type="dxa"/>
                  <w:vMerge w:val="restart"/>
                  <w:tcBorders>
                    <w:tl2br w:val="nil"/>
                    <w:tr2bl w:val="nil"/>
                  </w:tcBorders>
                  <w:vAlign w:val="center"/>
                </w:tcPr>
                <w:p w14:paraId="7A707CF1">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综合管控单元</w:t>
                  </w:r>
                </w:p>
              </w:tc>
              <w:tc>
                <w:tcPr>
                  <w:tcW w:w="2650" w:type="dxa"/>
                  <w:gridSpan w:val="3"/>
                  <w:tcBorders>
                    <w:tl2br w:val="nil"/>
                    <w:tr2bl w:val="nil"/>
                  </w:tcBorders>
                  <w:vAlign w:val="center"/>
                </w:tcPr>
                <w:p w14:paraId="4E60C61F">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环境管控单元名称</w:t>
                  </w:r>
                </w:p>
              </w:tc>
              <w:tc>
                <w:tcPr>
                  <w:tcW w:w="3492" w:type="dxa"/>
                  <w:gridSpan w:val="3"/>
                  <w:tcBorders>
                    <w:tl2br w:val="nil"/>
                    <w:tr2bl w:val="nil"/>
                  </w:tcBorders>
                  <w:vAlign w:val="center"/>
                </w:tcPr>
                <w:p w14:paraId="2FEFB701">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启东滨江精细化工园（启东生命健康产业园）</w:t>
                  </w:r>
                </w:p>
              </w:tc>
            </w:tr>
            <w:tr w14:paraId="532F39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137" w:type="dxa"/>
                  <w:vMerge w:val="continue"/>
                  <w:tcBorders>
                    <w:tl2br w:val="nil"/>
                    <w:tr2bl w:val="nil"/>
                  </w:tcBorders>
                  <w:vAlign w:val="center"/>
                </w:tcPr>
                <w:p w14:paraId="691C97C0">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p>
              </w:tc>
              <w:tc>
                <w:tcPr>
                  <w:tcW w:w="2650" w:type="dxa"/>
                  <w:gridSpan w:val="3"/>
                  <w:tcBorders>
                    <w:tl2br w:val="nil"/>
                    <w:tr2bl w:val="nil"/>
                  </w:tcBorders>
                  <w:vAlign w:val="center"/>
                </w:tcPr>
                <w:p w14:paraId="110EB29B">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环境管控单元编码</w:t>
                  </w:r>
                </w:p>
              </w:tc>
              <w:tc>
                <w:tcPr>
                  <w:tcW w:w="3492" w:type="dxa"/>
                  <w:gridSpan w:val="3"/>
                  <w:tcBorders>
                    <w:tl2br w:val="nil"/>
                    <w:tr2bl w:val="nil"/>
                  </w:tcBorders>
                  <w:vAlign w:val="center"/>
                </w:tcPr>
                <w:p w14:paraId="6642635C">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ZH32068120257</w:t>
                  </w:r>
                </w:p>
              </w:tc>
            </w:tr>
            <w:tr w14:paraId="5722A2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137" w:type="dxa"/>
                  <w:vMerge w:val="continue"/>
                  <w:tcBorders>
                    <w:tl2br w:val="nil"/>
                    <w:tr2bl w:val="nil"/>
                  </w:tcBorders>
                  <w:vAlign w:val="center"/>
                </w:tcPr>
                <w:p w14:paraId="484E6F01">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p>
              </w:tc>
              <w:tc>
                <w:tcPr>
                  <w:tcW w:w="1687" w:type="dxa"/>
                  <w:gridSpan w:val="2"/>
                  <w:tcBorders>
                    <w:tl2br w:val="nil"/>
                    <w:tr2bl w:val="nil"/>
                  </w:tcBorders>
                  <w:vAlign w:val="center"/>
                </w:tcPr>
                <w:p w14:paraId="78F3783F">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市级行政单元</w:t>
                  </w:r>
                </w:p>
              </w:tc>
              <w:tc>
                <w:tcPr>
                  <w:tcW w:w="963" w:type="dxa"/>
                  <w:tcBorders>
                    <w:tl2br w:val="nil"/>
                    <w:tr2bl w:val="nil"/>
                  </w:tcBorders>
                  <w:vAlign w:val="center"/>
                </w:tcPr>
                <w:p w14:paraId="062C8335">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南通市</w:t>
                  </w:r>
                </w:p>
              </w:tc>
              <w:tc>
                <w:tcPr>
                  <w:tcW w:w="2277" w:type="dxa"/>
                  <w:gridSpan w:val="2"/>
                  <w:tcBorders>
                    <w:tl2br w:val="nil"/>
                    <w:tr2bl w:val="nil"/>
                  </w:tcBorders>
                  <w:vAlign w:val="center"/>
                </w:tcPr>
                <w:p w14:paraId="3E0A730E">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县级行政单元</w:t>
                  </w:r>
                </w:p>
              </w:tc>
              <w:tc>
                <w:tcPr>
                  <w:tcW w:w="1215" w:type="dxa"/>
                  <w:tcBorders>
                    <w:tl2br w:val="nil"/>
                    <w:tr2bl w:val="nil"/>
                  </w:tcBorders>
                  <w:vAlign w:val="center"/>
                </w:tcPr>
                <w:p w14:paraId="77BF6677">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启东市</w:t>
                  </w:r>
                </w:p>
              </w:tc>
            </w:tr>
            <w:tr w14:paraId="27229E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37" w:type="dxa"/>
                  <w:vMerge w:val="continue"/>
                  <w:tcBorders>
                    <w:tl2br w:val="nil"/>
                    <w:tr2bl w:val="nil"/>
                  </w:tcBorders>
                  <w:vAlign w:val="center"/>
                </w:tcPr>
                <w:p w14:paraId="55E8B684">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p>
              </w:tc>
              <w:tc>
                <w:tcPr>
                  <w:tcW w:w="1093" w:type="dxa"/>
                  <w:tcBorders>
                    <w:tl2br w:val="nil"/>
                    <w:tr2bl w:val="nil"/>
                  </w:tcBorders>
                  <w:vAlign w:val="center"/>
                </w:tcPr>
                <w:p w14:paraId="0E495BA4">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管控单元分类</w:t>
                  </w:r>
                </w:p>
              </w:tc>
              <w:tc>
                <w:tcPr>
                  <w:tcW w:w="3099" w:type="dxa"/>
                  <w:gridSpan w:val="3"/>
                  <w:tcBorders>
                    <w:tl2br w:val="nil"/>
                    <w:tr2bl w:val="nil"/>
                  </w:tcBorders>
                  <w:vAlign w:val="center"/>
                </w:tcPr>
                <w:p w14:paraId="507E44C2">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重点管控单元</w:t>
                  </w:r>
                </w:p>
              </w:tc>
              <w:tc>
                <w:tcPr>
                  <w:tcW w:w="1950" w:type="dxa"/>
                  <w:gridSpan w:val="2"/>
                  <w:tcBorders>
                    <w:tl2br w:val="nil"/>
                    <w:tr2bl w:val="nil"/>
                  </w:tcBorders>
                  <w:vAlign w:val="center"/>
                </w:tcPr>
                <w:p w14:paraId="1E5731A9">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对照情况</w:t>
                  </w:r>
                </w:p>
              </w:tc>
            </w:tr>
            <w:tr w14:paraId="590B1C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137" w:type="dxa"/>
                  <w:vMerge w:val="continue"/>
                  <w:tcBorders>
                    <w:tl2br w:val="nil"/>
                    <w:tr2bl w:val="nil"/>
                  </w:tcBorders>
                  <w:vAlign w:val="center"/>
                </w:tcPr>
                <w:p w14:paraId="6A3B4D88">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p>
              </w:tc>
              <w:tc>
                <w:tcPr>
                  <w:tcW w:w="1093" w:type="dxa"/>
                  <w:tcBorders>
                    <w:tl2br w:val="nil"/>
                    <w:tr2bl w:val="nil"/>
                  </w:tcBorders>
                  <w:vAlign w:val="center"/>
                </w:tcPr>
                <w:p w14:paraId="107899C5">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空间布局约束</w:t>
                  </w:r>
                </w:p>
              </w:tc>
              <w:tc>
                <w:tcPr>
                  <w:tcW w:w="3099" w:type="dxa"/>
                  <w:gridSpan w:val="3"/>
                  <w:tcBorders>
                    <w:tl2br w:val="nil"/>
                    <w:tr2bl w:val="nil"/>
                  </w:tcBorders>
                  <w:vAlign w:val="center"/>
                </w:tcPr>
                <w:p w14:paraId="3FB795A9">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1.主导产业为生物医药、新材料产业，禁止引入列入国家、省和南通市禁止类、淘汰类生产工艺、产品的项目；禁止引入列入《环境保护综合名录》中的“双高”项目；禁止引入生产和使用高VOCs含量的溶剂型涂料、油墨、胶粘剂等项目。</w:t>
                  </w:r>
                </w:p>
                <w:p w14:paraId="6A14D2B2">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2.生物医药产业禁止建设使用P3、P4实验室；禁止引入耗水量大、危险废弃物当地无法有效处置的、生产过程产生多种副产盐的医药中间体项目；禁止引入使用尚未规模化种植或养殖的濒危动植物药材的项目。</w:t>
                  </w:r>
                </w:p>
                <w:p w14:paraId="77AA8894">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3.新材料产业禁止引入化工新材料项目（物理复配新材料除外）；禁止引入水泥、平板玻璃等高污染或不符合国家产能置换要求的产能过剩项目；禁止引入涉及重点重金属污染的项目。</w:t>
                  </w:r>
                </w:p>
              </w:tc>
              <w:tc>
                <w:tcPr>
                  <w:tcW w:w="1950" w:type="dxa"/>
                  <w:gridSpan w:val="2"/>
                  <w:tcBorders>
                    <w:tl2br w:val="nil"/>
                    <w:tr2bl w:val="nil"/>
                  </w:tcBorders>
                  <w:vAlign w:val="center"/>
                </w:tcPr>
                <w:p w14:paraId="0979280A">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项目</w:t>
                  </w:r>
                  <w:r>
                    <w:rPr>
                      <w:rFonts w:hint="eastAsia" w:ascii="Times New Roman" w:hAnsi="Times New Roman" w:cs="Times New Roman"/>
                      <w:kern w:val="2"/>
                      <w:sz w:val="18"/>
                      <w:szCs w:val="18"/>
                      <w:lang w:val="en-US" w:eastAsia="zh-CN" w:bidi="ar-SA"/>
                    </w:rPr>
                    <w:t>不属于</w:t>
                  </w:r>
                  <w:r>
                    <w:rPr>
                      <w:rFonts w:hint="default" w:ascii="Times New Roman" w:hAnsi="Times New Roman" w:eastAsia="宋体" w:cs="Times New Roman"/>
                      <w:kern w:val="2"/>
                      <w:sz w:val="18"/>
                      <w:szCs w:val="18"/>
                      <w:lang w:val="en-US" w:eastAsia="zh-CN" w:bidi="ar-SA"/>
                    </w:rPr>
                    <w:t>禁止引入列入国家、省和南通市禁止类、淘汰类生产工艺、产品的项目</w:t>
                  </w:r>
                  <w:r>
                    <w:rPr>
                      <w:rFonts w:hint="eastAsia" w:ascii="Times New Roman" w:hAnsi="Times New Roman" w:eastAsia="宋体" w:cs="Times New Roman"/>
                      <w:kern w:val="2"/>
                      <w:sz w:val="18"/>
                      <w:szCs w:val="18"/>
                      <w:lang w:val="en-US" w:eastAsia="zh-CN" w:bidi="ar-SA"/>
                    </w:rPr>
                    <w:t>；不属于“双高”项目，不涉及溶剂型涂料、油墨、胶粘剂等；项目位于新材料产业区，不属于化工新材料项目，不属于水泥、平板玻璃等高污染或不符合</w:t>
                  </w:r>
                  <w:r>
                    <w:rPr>
                      <w:rFonts w:hint="default" w:ascii="Times New Roman" w:hAnsi="Times New Roman" w:eastAsia="宋体" w:cs="Times New Roman"/>
                      <w:kern w:val="2"/>
                      <w:sz w:val="18"/>
                      <w:szCs w:val="18"/>
                      <w:lang w:val="en-US" w:eastAsia="zh-CN" w:bidi="ar-SA"/>
                    </w:rPr>
                    <w:t>国家产能置换要求的产能过剩项目；</w:t>
                  </w:r>
                  <w:r>
                    <w:rPr>
                      <w:rFonts w:hint="eastAsia" w:ascii="Times New Roman" w:hAnsi="Times New Roman" w:eastAsia="宋体" w:cs="Times New Roman"/>
                      <w:kern w:val="2"/>
                      <w:sz w:val="18"/>
                      <w:szCs w:val="18"/>
                      <w:lang w:val="en-US" w:eastAsia="zh-CN" w:bidi="ar-SA"/>
                    </w:rPr>
                    <w:t>不属于</w:t>
                  </w:r>
                  <w:r>
                    <w:rPr>
                      <w:rFonts w:hint="default" w:ascii="Times New Roman" w:hAnsi="Times New Roman" w:eastAsia="宋体" w:cs="Times New Roman"/>
                      <w:kern w:val="2"/>
                      <w:sz w:val="18"/>
                      <w:szCs w:val="18"/>
                      <w:lang w:val="en-US" w:eastAsia="zh-CN" w:bidi="ar-SA"/>
                    </w:rPr>
                    <w:t>涉及重点重金属污染的项目</w:t>
                  </w:r>
                </w:p>
              </w:tc>
            </w:tr>
            <w:tr w14:paraId="6F520A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137" w:type="dxa"/>
                  <w:vMerge w:val="continue"/>
                  <w:tcBorders>
                    <w:tl2br w:val="nil"/>
                    <w:tr2bl w:val="nil"/>
                  </w:tcBorders>
                  <w:vAlign w:val="center"/>
                </w:tcPr>
                <w:p w14:paraId="3C3DEB00">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p>
              </w:tc>
              <w:tc>
                <w:tcPr>
                  <w:tcW w:w="1093" w:type="dxa"/>
                  <w:tcBorders>
                    <w:tl2br w:val="nil"/>
                    <w:tr2bl w:val="nil"/>
                  </w:tcBorders>
                  <w:vAlign w:val="center"/>
                </w:tcPr>
                <w:p w14:paraId="174D1A22">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污染物排放管控</w:t>
                  </w:r>
                </w:p>
              </w:tc>
              <w:tc>
                <w:tcPr>
                  <w:tcW w:w="3099" w:type="dxa"/>
                  <w:gridSpan w:val="3"/>
                  <w:tcBorders>
                    <w:tl2br w:val="nil"/>
                    <w:tr2bl w:val="nil"/>
                  </w:tcBorders>
                  <w:vAlign w:val="center"/>
                </w:tcPr>
                <w:p w14:paraId="6A71FAC0">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以规划环评（跟踪评价）及批复文件为准。</w:t>
                  </w:r>
                </w:p>
                <w:p w14:paraId="738B2094">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落实工业园区（集中区）污染物排放限值限量管理要求，实行园区主要污染物排放浓度、排放总量双控。</w:t>
                  </w:r>
                </w:p>
              </w:tc>
              <w:tc>
                <w:tcPr>
                  <w:tcW w:w="1950" w:type="dxa"/>
                  <w:gridSpan w:val="2"/>
                  <w:tcBorders>
                    <w:tl2br w:val="nil"/>
                    <w:tr2bl w:val="nil"/>
                  </w:tcBorders>
                  <w:vAlign w:val="center"/>
                </w:tcPr>
                <w:p w14:paraId="49D78705">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项目属于重点管理，排放浓度按标准执行</w:t>
                  </w:r>
                </w:p>
              </w:tc>
            </w:tr>
            <w:tr w14:paraId="235BF2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1" w:hRule="atLeast"/>
              </w:trPr>
              <w:tc>
                <w:tcPr>
                  <w:tcW w:w="1137" w:type="dxa"/>
                  <w:vMerge w:val="continue"/>
                  <w:tcBorders>
                    <w:tl2br w:val="nil"/>
                    <w:tr2bl w:val="nil"/>
                  </w:tcBorders>
                  <w:vAlign w:val="center"/>
                </w:tcPr>
                <w:p w14:paraId="3D2DC305">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p>
              </w:tc>
              <w:tc>
                <w:tcPr>
                  <w:tcW w:w="1093" w:type="dxa"/>
                  <w:tcBorders>
                    <w:tl2br w:val="nil"/>
                    <w:tr2bl w:val="nil"/>
                  </w:tcBorders>
                  <w:vAlign w:val="center"/>
                </w:tcPr>
                <w:p w14:paraId="62DA0F9B">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环境风险防控</w:t>
                  </w:r>
                </w:p>
              </w:tc>
              <w:tc>
                <w:tcPr>
                  <w:tcW w:w="3099" w:type="dxa"/>
                  <w:gridSpan w:val="3"/>
                  <w:tcBorders>
                    <w:tl2br w:val="nil"/>
                    <w:tr2bl w:val="nil"/>
                  </w:tcBorders>
                  <w:vAlign w:val="center"/>
                </w:tcPr>
                <w:p w14:paraId="5BDCAC4A">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1.建立健全区域环境风险防范体系和生态安全保障体系，建立应急响应联动机制，完善应急预案，提升园区环境风险防控和应急响应能力，保障区域环境安全。居民区等敏感点与工业企业之间要预留足够的卫生防护距离。2.做好环境空气、地表水、地下水、土壤等环境要素的长期跟踪监测与管理。3.强化对危险废物的收集、储存和处置的监督管理，实现危险废物管理无盲区、无死角</w:t>
                  </w:r>
                </w:p>
              </w:tc>
              <w:tc>
                <w:tcPr>
                  <w:tcW w:w="1950" w:type="dxa"/>
                  <w:gridSpan w:val="2"/>
                  <w:tcBorders>
                    <w:tl2br w:val="nil"/>
                    <w:tr2bl w:val="nil"/>
                  </w:tcBorders>
                  <w:vAlign w:val="center"/>
                </w:tcPr>
                <w:p w14:paraId="465CC707">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项目位于工业区，</w:t>
                  </w:r>
                  <w:r>
                    <w:rPr>
                      <w:rFonts w:hint="eastAsia" w:ascii="Times New Roman" w:hAnsi="Times New Roman" w:cs="Times New Roman"/>
                      <w:kern w:val="2"/>
                      <w:sz w:val="18"/>
                      <w:szCs w:val="18"/>
                      <w:lang w:val="en-US" w:eastAsia="zh-CN" w:bidi="ar-SA"/>
                    </w:rPr>
                    <w:t>项目实施后进行应急预案，</w:t>
                  </w:r>
                  <w:r>
                    <w:rPr>
                      <w:rFonts w:hint="eastAsia" w:ascii="Times New Roman" w:hAnsi="Times New Roman" w:eastAsia="宋体" w:cs="Times New Roman"/>
                      <w:kern w:val="2"/>
                      <w:sz w:val="18"/>
                      <w:szCs w:val="18"/>
                      <w:lang w:val="en-US" w:eastAsia="zh-CN" w:bidi="ar-SA"/>
                    </w:rPr>
                    <w:t>项目已制定监测计划，</w:t>
                  </w:r>
                  <w:r>
                    <w:rPr>
                      <w:rFonts w:hint="eastAsia" w:ascii="Times New Roman" w:hAnsi="Times New Roman" w:cs="Times New Roman"/>
                      <w:kern w:val="2"/>
                      <w:sz w:val="18"/>
                      <w:szCs w:val="18"/>
                      <w:lang w:val="en-US" w:eastAsia="zh-CN" w:bidi="ar-SA"/>
                    </w:rPr>
                    <w:t>建成后，危险废物交由有资质单位处置</w:t>
                  </w:r>
                </w:p>
              </w:tc>
            </w:tr>
            <w:tr w14:paraId="604394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137" w:type="dxa"/>
                  <w:vMerge w:val="continue"/>
                  <w:tcBorders>
                    <w:tl2br w:val="nil"/>
                    <w:tr2bl w:val="nil"/>
                  </w:tcBorders>
                  <w:vAlign w:val="center"/>
                </w:tcPr>
                <w:p w14:paraId="46B720C1">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p>
              </w:tc>
              <w:tc>
                <w:tcPr>
                  <w:tcW w:w="1093" w:type="dxa"/>
                  <w:tcBorders>
                    <w:tl2br w:val="nil"/>
                    <w:tr2bl w:val="nil"/>
                  </w:tcBorders>
                  <w:vAlign w:val="center"/>
                </w:tcPr>
                <w:p w14:paraId="389EC500">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资源开发效率</w:t>
                  </w:r>
                </w:p>
                <w:p w14:paraId="6988153D">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要求</w:t>
                  </w:r>
                </w:p>
              </w:tc>
              <w:tc>
                <w:tcPr>
                  <w:tcW w:w="3099" w:type="dxa"/>
                  <w:gridSpan w:val="3"/>
                  <w:tcBorders>
                    <w:tl2br w:val="nil"/>
                    <w:tr2bl w:val="nil"/>
                  </w:tcBorders>
                  <w:vAlign w:val="center"/>
                </w:tcPr>
                <w:p w14:paraId="1CE8875F">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1.强化工业废水的综合利用，采取节水措施，提高工业水循环利用率。</w:t>
                  </w:r>
                </w:p>
                <w:p w14:paraId="2360B2F2">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2.禁止新建、改扩建采用高污染燃料的项目和设施。</w:t>
                  </w:r>
                </w:p>
              </w:tc>
              <w:tc>
                <w:tcPr>
                  <w:tcW w:w="1950" w:type="dxa"/>
                  <w:gridSpan w:val="2"/>
                  <w:tcBorders>
                    <w:tl2br w:val="nil"/>
                    <w:tr2bl w:val="nil"/>
                  </w:tcBorders>
                  <w:vAlign w:val="center"/>
                </w:tcPr>
                <w:p w14:paraId="2CE17357">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项目</w:t>
                  </w:r>
                  <w:r>
                    <w:rPr>
                      <w:rFonts w:hint="eastAsia" w:ascii="Times New Roman" w:hAnsi="Times New Roman" w:cs="Times New Roman"/>
                      <w:kern w:val="2"/>
                      <w:sz w:val="18"/>
                      <w:szCs w:val="18"/>
                      <w:lang w:val="en-US" w:eastAsia="zh-CN" w:bidi="ar-SA"/>
                    </w:rPr>
                    <w:t>废水循环使用，</w:t>
                  </w:r>
                  <w:r>
                    <w:rPr>
                      <w:rFonts w:hint="eastAsia" w:ascii="Times New Roman" w:hAnsi="Times New Roman" w:eastAsia="宋体" w:cs="Times New Roman"/>
                      <w:kern w:val="2"/>
                      <w:sz w:val="18"/>
                      <w:szCs w:val="18"/>
                      <w:lang w:val="en-US" w:eastAsia="zh-CN" w:bidi="ar-SA"/>
                    </w:rPr>
                    <w:t>不涉及燃料的使用</w:t>
                  </w:r>
                </w:p>
              </w:tc>
            </w:tr>
          </w:tbl>
          <w:p w14:paraId="7F098347">
            <w:pPr>
              <w:pStyle w:val="2"/>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根据上表可知，项目建设符合江苏省三线一单生态环境管控中相关要求。</w:t>
            </w:r>
          </w:p>
          <w:p w14:paraId="78BE0450">
            <w:pPr>
              <w:spacing w:line="500" w:lineRule="exact"/>
              <w:ind w:firstLine="420" w:firstLineChars="200"/>
              <w:rPr>
                <w:szCs w:val="21"/>
              </w:rPr>
            </w:pPr>
            <w:r>
              <w:rPr>
                <w:szCs w:val="21"/>
              </w:rPr>
              <w:t>2）与环境质量底线相符性</w:t>
            </w:r>
          </w:p>
          <w:p w14:paraId="30BCFA88">
            <w:pPr>
              <w:spacing w:line="500" w:lineRule="exact"/>
              <w:ind w:firstLine="420" w:firstLineChars="200"/>
              <w:rPr>
                <w:szCs w:val="21"/>
              </w:rPr>
            </w:pPr>
            <w:r>
              <w:rPr>
                <w:szCs w:val="21"/>
              </w:rPr>
              <w:t>环境空气：根据</w:t>
            </w:r>
            <w:r>
              <w:rPr>
                <w:kern w:val="0"/>
                <w:szCs w:val="21"/>
              </w:rPr>
              <w:t>《南通市生态环境状况公报（202</w:t>
            </w:r>
            <w:r>
              <w:rPr>
                <w:rFonts w:hint="eastAsia"/>
                <w:kern w:val="0"/>
                <w:szCs w:val="21"/>
                <w:lang w:val="en-US" w:eastAsia="zh-CN"/>
              </w:rPr>
              <w:t>3</w:t>
            </w:r>
            <w:r>
              <w:rPr>
                <w:kern w:val="0"/>
                <w:szCs w:val="21"/>
              </w:rPr>
              <w:t>年）》中相关内容</w:t>
            </w:r>
            <w:r>
              <w:rPr>
                <w:szCs w:val="21"/>
              </w:rPr>
              <w:t>，</w:t>
            </w:r>
            <w:r>
              <w:rPr>
                <w:rFonts w:hint="eastAsia"/>
                <w:szCs w:val="21"/>
              </w:rPr>
              <w:t>除臭氧外，其余各污染物基本因子均可满足《环境空气质量标准》（GB3095-2012）中二级标准</w:t>
            </w:r>
            <w:r>
              <w:rPr>
                <w:szCs w:val="21"/>
              </w:rPr>
              <w:t>。因此判定项目所在区域属于</w:t>
            </w:r>
            <w:r>
              <w:rPr>
                <w:rFonts w:hint="eastAsia"/>
                <w:szCs w:val="21"/>
              </w:rPr>
              <w:t>不</w:t>
            </w:r>
            <w:r>
              <w:rPr>
                <w:szCs w:val="21"/>
              </w:rPr>
              <w:t>达标区。</w:t>
            </w:r>
            <w:r>
              <w:rPr>
                <w:rFonts w:hint="eastAsia"/>
                <w:szCs w:val="21"/>
              </w:rPr>
              <w:t>为了实现污染物排放量大幅降低，促进空气质量快速改善提升，根据《南通市2024年大气污染防治工作计划》中的污染防治计划：①以“减煤、汰后、控车、治污和抑尘”为工作重点，坚持项目化减排，排定治气重点工程项目。①坚决遏制高耗能、高排放、低水平项目盲目上马，对不符合要求的“两高一低”项目，坚决停批停建，依法依规淘汰落后产能。在推进产业绿色转型升级方面，健全节能标准体系，深入开展重点行业绿色制造和强制性清洁生产审核。②优化能源结构，加速能源清洁低碳高效发展。对于煤炭消费总量进行严格控制，有序淘汰煤电落后产能，有序推进以电代煤，积极稳妥推进以气代煤。根据大气污染源排放清单信息，结合企业特征污染物的臭氧生成潜势</w:t>
            </w:r>
            <w:r>
              <w:rPr>
                <w:rFonts w:hint="eastAsia"/>
                <w:szCs w:val="21"/>
                <w:lang w:eastAsia="zh-CN"/>
              </w:rPr>
              <w:t>，</w:t>
            </w:r>
            <w:r>
              <w:rPr>
                <w:rFonts w:hint="eastAsia"/>
                <w:szCs w:val="21"/>
              </w:rPr>
              <w:t>更新完善臭氧污染管控企业名单，重点企业实施“一企一策</w:t>
            </w:r>
            <w:r>
              <w:rPr>
                <w:rFonts w:hint="eastAsia"/>
                <w:szCs w:val="21"/>
                <w:lang w:eastAsia="zh-CN"/>
              </w:rPr>
              <w:t>”，</w:t>
            </w:r>
            <w:r>
              <w:rPr>
                <w:rFonts w:hint="eastAsia"/>
                <w:szCs w:val="21"/>
              </w:rPr>
              <w:t>根据风向、风速、温度等4</w:t>
            </w:r>
            <w:r>
              <w:rPr>
                <w:rFonts w:hint="eastAsia"/>
                <w:szCs w:val="21"/>
                <w:lang w:eastAsia="zh-CN"/>
              </w:rPr>
              <w:t>个</w:t>
            </w:r>
            <w:r>
              <w:rPr>
                <w:rFonts w:hint="eastAsia"/>
                <w:szCs w:val="21"/>
              </w:rPr>
              <w:t>条件制定动态管控措施。经采取这些措施后，202</w:t>
            </w:r>
            <w:r>
              <w:rPr>
                <w:rFonts w:hint="eastAsia"/>
                <w:szCs w:val="21"/>
                <w:lang w:val="en-US" w:eastAsia="zh-CN"/>
              </w:rPr>
              <w:t>4</w:t>
            </w:r>
            <w:r>
              <w:rPr>
                <w:rFonts w:hint="eastAsia"/>
                <w:szCs w:val="21"/>
              </w:rPr>
              <w:t>年南通市环境空气质量状况可以持续改善。</w:t>
            </w:r>
          </w:p>
          <w:p w14:paraId="1A008A79">
            <w:pPr>
              <w:spacing w:line="500" w:lineRule="exact"/>
              <w:ind w:firstLine="420" w:firstLineChars="200"/>
              <w:rPr>
                <w:color w:val="auto"/>
                <w:szCs w:val="21"/>
              </w:rPr>
            </w:pPr>
            <w:r>
              <w:rPr>
                <w:szCs w:val="21"/>
              </w:rPr>
              <w:t>地表水环境：根据《南通市生态环境状况公报（202</w:t>
            </w:r>
            <w:r>
              <w:rPr>
                <w:rFonts w:hint="eastAsia"/>
                <w:szCs w:val="21"/>
                <w:lang w:val="en-US" w:eastAsia="zh-CN"/>
              </w:rPr>
              <w:t>3</w:t>
            </w:r>
            <w:r>
              <w:rPr>
                <w:szCs w:val="21"/>
              </w:rPr>
              <w:t>年）》</w:t>
            </w:r>
            <w:r>
              <w:rPr>
                <w:kern w:val="0"/>
                <w:szCs w:val="21"/>
              </w:rPr>
              <w:t>中相关内容</w:t>
            </w:r>
            <w:r>
              <w:rPr>
                <w:szCs w:val="21"/>
              </w:rPr>
              <w:t>，南通市共有16个国家考核断面，均达到或优于《地表水环境质量标准》（GB3838-2002）Ⅲ类标准。</w:t>
            </w:r>
            <w:r>
              <w:rPr>
                <w:rFonts w:hint="eastAsia"/>
                <w:szCs w:val="21"/>
              </w:rPr>
              <w:t>55个省考以上断面中，碾砣港闸、聚南大桥、营船港闸、通吕二号桥等19个断面水质符合Ⅱ类标准，孙窑大桥、嫩江路桥、新江海河桥、团结新大桥等36个断面水质符合Ⅲ类标准，优Ⅲ类比例100%，高于省定98.2%的考核标准；无Ⅴ类和劣Ⅴ类断面</w:t>
            </w:r>
            <w:r>
              <w:rPr>
                <w:szCs w:val="21"/>
              </w:rPr>
              <w:t>。南通市境内主要内河中，焦港河、通吕运河、如海运河、九圩港河、通</w:t>
            </w:r>
            <w:r>
              <w:rPr>
                <w:color w:val="auto"/>
                <w:szCs w:val="21"/>
              </w:rPr>
              <w:t>启运河、通扬运河、新通扬运河、栟茶运河、北凌河、如泰运河水质基本达到Ⅲ类标准。项目产生的</w:t>
            </w:r>
            <w:r>
              <w:rPr>
                <w:rFonts w:hint="eastAsia"/>
                <w:color w:val="auto"/>
                <w:szCs w:val="21"/>
                <w:lang w:eastAsia="zh-CN"/>
              </w:rPr>
              <w:t>生活污水</w:t>
            </w:r>
            <w:r>
              <w:rPr>
                <w:color w:val="auto"/>
                <w:szCs w:val="21"/>
              </w:rPr>
              <w:t>经化粪池预处理后</w:t>
            </w:r>
            <w:r>
              <w:rPr>
                <w:rFonts w:hint="eastAsia"/>
                <w:color w:val="auto"/>
                <w:szCs w:val="21"/>
                <w:lang w:eastAsia="zh-CN"/>
              </w:rPr>
              <w:t>与食堂废水经隔油池处理后一起由</w:t>
            </w:r>
            <w:r>
              <w:rPr>
                <w:rFonts w:hint="eastAsia"/>
                <w:color w:val="auto"/>
                <w:szCs w:val="21"/>
                <w:lang w:val="en-US" w:eastAsia="zh-CN"/>
              </w:rPr>
              <w:t>联合水务（启东）有限公司</w:t>
            </w:r>
            <w:r>
              <w:rPr>
                <w:color w:val="auto"/>
                <w:szCs w:val="21"/>
              </w:rPr>
              <w:t>集中处理，</w:t>
            </w:r>
            <w:r>
              <w:rPr>
                <w:rFonts w:hint="eastAsia"/>
                <w:color w:val="auto"/>
                <w:szCs w:val="21"/>
                <w:lang w:eastAsia="zh-CN"/>
              </w:rPr>
              <w:t>纳污水体为长江</w:t>
            </w:r>
            <w:r>
              <w:rPr>
                <w:color w:val="auto"/>
                <w:szCs w:val="21"/>
              </w:rPr>
              <w:t>，根据《南通市生态环境状况公报（202</w:t>
            </w:r>
            <w:r>
              <w:rPr>
                <w:rFonts w:hint="eastAsia"/>
                <w:color w:val="auto"/>
                <w:szCs w:val="21"/>
                <w:lang w:val="en-US" w:eastAsia="zh-CN"/>
              </w:rPr>
              <w:t>3</w:t>
            </w:r>
            <w:r>
              <w:rPr>
                <w:color w:val="auto"/>
                <w:szCs w:val="21"/>
              </w:rPr>
              <w:t>年）》中现状监测数据可知，项目所在地水质符合《地表水环境质量标准》（CB3838-2002）III类标准，地表水环境质量良好。</w:t>
            </w:r>
          </w:p>
          <w:p w14:paraId="21F4D63A">
            <w:pPr>
              <w:spacing w:line="500" w:lineRule="exact"/>
              <w:ind w:firstLine="420" w:firstLineChars="200"/>
              <w:rPr>
                <w:rFonts w:hint="eastAsia"/>
                <w:szCs w:val="21"/>
                <w:lang w:eastAsia="zh-CN"/>
              </w:rPr>
            </w:pPr>
            <w:r>
              <w:rPr>
                <w:szCs w:val="21"/>
              </w:rPr>
              <w:t>声环境：</w:t>
            </w:r>
            <w:r>
              <w:rPr>
                <w:rFonts w:hint="eastAsia"/>
                <w:szCs w:val="21"/>
              </w:rPr>
              <w:t>根据《南通市生态环境状况公报（2023年）》，2023年，南通市区区域声环境昼、夜间平均等效声级别值分别为56.5dB(A)、45.2dB(A)。与2022年相比，南通市区昼间区域声环境等级为三级水平，四县（市）及海门区中，海安市区域声环境昼、夜间平均等效声级别值分别为57.3dB(A)、47.9dB(A)，区域声环境等级均处于三级水平。其余县（市、区）昼间区域噪声平均等效声级在50.1～53.7dB(A)之间，夜间区域噪声平均等效声级在41.7～44.7dB(A)之间，区域声环境等级均处于二级水平。启东区域声环境等级为二级水平，其余县（市、区）夜间区域声环境等级均处于三级水平。满足该区域噪声功能区划要求</w:t>
            </w:r>
            <w:r>
              <w:rPr>
                <w:rFonts w:hint="eastAsia"/>
                <w:szCs w:val="21"/>
                <w:lang w:eastAsia="zh-CN"/>
              </w:rPr>
              <w:t>。</w:t>
            </w:r>
          </w:p>
          <w:p w14:paraId="1111E943">
            <w:pPr>
              <w:spacing w:line="500" w:lineRule="exact"/>
              <w:ind w:firstLine="420" w:firstLineChars="200"/>
              <w:rPr>
                <w:color w:val="auto"/>
                <w:szCs w:val="21"/>
              </w:rPr>
            </w:pPr>
            <w:r>
              <w:rPr>
                <w:color w:val="auto"/>
                <w:szCs w:val="21"/>
              </w:rPr>
              <w:t>项目产生各股废气均可达标排放，对周围空气质量影响较小。项目产生的废水经预处理后，</w:t>
            </w:r>
            <w:r>
              <w:rPr>
                <w:rFonts w:hint="eastAsia"/>
                <w:color w:val="auto"/>
                <w:szCs w:val="21"/>
              </w:rPr>
              <w:t>由</w:t>
            </w:r>
            <w:r>
              <w:rPr>
                <w:rFonts w:hint="eastAsia"/>
                <w:color w:val="auto"/>
                <w:szCs w:val="21"/>
                <w:lang w:eastAsia="zh-CN"/>
              </w:rPr>
              <w:t>联合水务（启东）有限公司集中处理</w:t>
            </w:r>
            <w:r>
              <w:rPr>
                <w:rFonts w:hint="eastAsia"/>
                <w:color w:val="auto"/>
                <w:szCs w:val="21"/>
              </w:rPr>
              <w:t>进行</w:t>
            </w:r>
            <w:r>
              <w:rPr>
                <w:color w:val="auto"/>
                <w:szCs w:val="21"/>
              </w:rPr>
              <w:t>处理；各类高噪声设备经隔声、减振等措施后，厂界噪声达标；项目产生的固废分类收集、妥善处置，零排放。因此，本项目符合项目所在地环境质量底线。</w:t>
            </w:r>
          </w:p>
          <w:p w14:paraId="0E255BCF">
            <w:pPr>
              <w:spacing w:line="500" w:lineRule="exact"/>
              <w:ind w:firstLine="420" w:firstLineChars="200"/>
              <w:rPr>
                <w:color w:val="auto"/>
                <w:szCs w:val="21"/>
              </w:rPr>
            </w:pPr>
            <w:r>
              <w:rPr>
                <w:color w:val="auto"/>
                <w:szCs w:val="21"/>
              </w:rPr>
              <w:t>3）资源利用上线相符性</w:t>
            </w:r>
          </w:p>
          <w:p w14:paraId="3D104337">
            <w:pPr>
              <w:adjustRightInd w:val="0"/>
              <w:snapToGrid w:val="0"/>
              <w:spacing w:line="500" w:lineRule="exact"/>
              <w:ind w:firstLine="420" w:firstLineChars="200"/>
              <w:rPr>
                <w:bCs/>
                <w:color w:val="auto"/>
                <w:szCs w:val="21"/>
              </w:rPr>
            </w:pPr>
            <w:r>
              <w:rPr>
                <w:color w:val="auto"/>
                <w:szCs w:val="21"/>
              </w:rPr>
              <w:t>项目位于</w:t>
            </w:r>
            <w:r>
              <w:rPr>
                <w:rFonts w:hint="eastAsia"/>
                <w:color w:val="auto"/>
                <w:kern w:val="0"/>
                <w:szCs w:val="21"/>
                <w:lang w:eastAsia="zh-CN"/>
              </w:rPr>
              <w:t>南通市启东市启东生命健康产业园常州路</w:t>
            </w:r>
            <w:r>
              <w:rPr>
                <w:rFonts w:hint="eastAsia"/>
                <w:color w:val="auto"/>
                <w:kern w:val="0"/>
                <w:szCs w:val="21"/>
                <w:lang w:val="en-US" w:eastAsia="zh-CN"/>
              </w:rPr>
              <w:t>38号</w:t>
            </w:r>
            <w:r>
              <w:rPr>
                <w:color w:val="auto"/>
                <w:szCs w:val="21"/>
              </w:rPr>
              <w:t>，所使用的能源主要为水、电能，物耗及能耗水平均较低，不会超过资源利用上</w:t>
            </w:r>
            <w:r>
              <w:rPr>
                <w:rFonts w:hint="eastAsia"/>
                <w:color w:val="auto"/>
                <w:szCs w:val="21"/>
                <w:lang w:eastAsia="zh-CN"/>
              </w:rPr>
              <w:t>限</w:t>
            </w:r>
            <w:r>
              <w:rPr>
                <w:color w:val="auto"/>
                <w:szCs w:val="21"/>
              </w:rPr>
              <w:t>。本项目用水水源来自市政管网，能满足本项目的供水需求。本项目用电由市政供电系统供电，能满足本项目</w:t>
            </w:r>
            <w:r>
              <w:rPr>
                <w:rFonts w:hint="eastAsia"/>
                <w:color w:val="auto"/>
                <w:szCs w:val="21"/>
                <w:lang w:eastAsia="zh-CN"/>
              </w:rPr>
              <w:t>的</w:t>
            </w:r>
            <w:r>
              <w:rPr>
                <w:color w:val="auto"/>
                <w:szCs w:val="21"/>
              </w:rPr>
              <w:t>供电需求。</w:t>
            </w:r>
          </w:p>
          <w:p w14:paraId="05BAE539">
            <w:pPr>
              <w:adjustRightInd w:val="0"/>
              <w:snapToGrid w:val="0"/>
              <w:spacing w:line="500" w:lineRule="exact"/>
              <w:ind w:firstLine="420" w:firstLineChars="200"/>
              <w:rPr>
                <w:bCs/>
                <w:szCs w:val="21"/>
              </w:rPr>
            </w:pPr>
            <w:r>
              <w:rPr>
                <w:bCs/>
                <w:szCs w:val="21"/>
              </w:rPr>
              <w:t>4）与环境准入负面清单相符性</w:t>
            </w:r>
          </w:p>
          <w:p w14:paraId="5CBB5B72">
            <w:pPr>
              <w:spacing w:line="500" w:lineRule="exact"/>
              <w:ind w:firstLine="420" w:firstLineChars="200"/>
              <w:rPr>
                <w:b/>
                <w:bCs/>
                <w:szCs w:val="21"/>
              </w:rPr>
            </w:pPr>
            <w:r>
              <w:rPr>
                <w:rFonts w:hint="eastAsia"/>
                <w:bCs/>
                <w:szCs w:val="21"/>
              </w:rPr>
              <w:t>项目位于</w:t>
            </w:r>
            <w:r>
              <w:rPr>
                <w:rFonts w:hint="eastAsia"/>
                <w:color w:val="auto"/>
                <w:kern w:val="0"/>
                <w:szCs w:val="21"/>
              </w:rPr>
              <w:t>南通市启东市启东生命健康产业园常州路38号</w:t>
            </w:r>
            <w:r>
              <w:rPr>
                <w:rFonts w:hint="eastAsia"/>
                <w:bCs/>
                <w:szCs w:val="21"/>
              </w:rPr>
              <w:t>，对照《市场准入负面清单（2022年版）》，项目不在《市场准入负面清单（2022年版）》禁止准入事项内，本项目符合相关要求。</w:t>
            </w:r>
          </w:p>
          <w:p w14:paraId="3BC12F44">
            <w:pPr>
              <w:spacing w:line="360" w:lineRule="auto"/>
              <w:ind w:firstLine="422" w:firstLineChars="200"/>
              <w:rPr>
                <w:b/>
                <w:bCs/>
                <w:szCs w:val="21"/>
              </w:rPr>
            </w:pPr>
            <w:r>
              <w:rPr>
                <w:rFonts w:hint="eastAsia"/>
                <w:b/>
                <w:bCs/>
                <w:szCs w:val="21"/>
                <w:lang w:val="en-US" w:eastAsia="zh-CN"/>
              </w:rPr>
              <w:t>3</w:t>
            </w:r>
            <w:r>
              <w:rPr>
                <w:b/>
                <w:bCs/>
                <w:szCs w:val="21"/>
              </w:rPr>
              <w:t>、与</w:t>
            </w:r>
            <w:bookmarkStart w:id="1" w:name="OLE_LINK122"/>
            <w:r>
              <w:rPr>
                <w:b/>
                <w:bCs/>
                <w:szCs w:val="21"/>
              </w:rPr>
              <w:t>《长江经济带发展负面清单指南（试行，2022年版）》</w:t>
            </w:r>
            <w:bookmarkEnd w:id="1"/>
            <w:r>
              <w:rPr>
                <w:b/>
                <w:bCs/>
                <w:szCs w:val="21"/>
              </w:rPr>
              <w:t>相符性</w:t>
            </w:r>
          </w:p>
          <w:p w14:paraId="14525E46">
            <w:pPr>
              <w:spacing w:line="360" w:lineRule="auto"/>
              <w:ind w:firstLine="420" w:firstLineChars="200"/>
              <w:rPr>
                <w:szCs w:val="21"/>
              </w:rPr>
            </w:pPr>
            <w:r>
              <w:rPr>
                <w:szCs w:val="21"/>
              </w:rPr>
              <w:t>A</w:t>
            </w:r>
            <w:r>
              <w:rPr>
                <w:rFonts w:hint="eastAsia"/>
                <w:szCs w:val="21"/>
                <w:lang w:eastAsia="zh-CN"/>
              </w:rPr>
              <w:t>.</w:t>
            </w:r>
            <w:r>
              <w:rPr>
                <w:szCs w:val="21"/>
              </w:rPr>
              <w:t>对照《关于印发</w:t>
            </w:r>
            <w:r>
              <w:rPr>
                <w:rFonts w:hint="eastAsia"/>
                <w:szCs w:val="21"/>
                <w:lang w:eastAsia="zh-CN"/>
              </w:rPr>
              <w:t>〈</w:t>
            </w:r>
            <w:r>
              <w:rPr>
                <w:szCs w:val="21"/>
              </w:rPr>
              <w:t>长江经济带发展负面清单指南</w:t>
            </w:r>
            <w:r>
              <w:rPr>
                <w:rFonts w:hint="eastAsia"/>
                <w:szCs w:val="21"/>
                <w:lang w:eastAsia="zh-CN"/>
              </w:rPr>
              <w:t>〉</w:t>
            </w:r>
            <w:r>
              <w:rPr>
                <w:szCs w:val="21"/>
              </w:rPr>
              <w:t>（试行，2022年版）的通知》（长江办〔2022〕7号），本项目属于</w:t>
            </w:r>
            <w:r>
              <w:rPr>
                <w:rFonts w:hint="eastAsia"/>
              </w:rPr>
              <w:t>固体废物治理</w:t>
            </w:r>
            <w:r>
              <w:rPr>
                <w:szCs w:val="21"/>
              </w:rPr>
              <w:t>，不在长江经济带发展负面清单指南提出的禁止范畴内，因此符合指导意见要求。</w:t>
            </w:r>
          </w:p>
          <w:p w14:paraId="0A0F0C0E">
            <w:pPr>
              <w:jc w:val="center"/>
              <w:rPr>
                <w:szCs w:val="21"/>
              </w:rPr>
            </w:pPr>
            <w:r>
              <w:rPr>
                <w:b/>
                <w:bCs/>
                <w:szCs w:val="21"/>
              </w:rPr>
              <w:t>表1-</w:t>
            </w:r>
            <w:r>
              <w:rPr>
                <w:rFonts w:hint="eastAsia"/>
                <w:b/>
                <w:bCs/>
                <w:szCs w:val="21"/>
                <w:lang w:val="en-US" w:eastAsia="zh-CN"/>
              </w:rPr>
              <w:t>2</w:t>
            </w:r>
            <w:r>
              <w:rPr>
                <w:b/>
                <w:bCs/>
                <w:szCs w:val="21"/>
              </w:rPr>
              <w:t xml:space="preserve"> 与《</w:t>
            </w:r>
            <w:r>
              <w:rPr>
                <w:rFonts w:hint="eastAsia"/>
                <w:b/>
                <w:bCs/>
                <w:szCs w:val="21"/>
                <w:lang w:eastAsia="zh-CN"/>
              </w:rPr>
              <w:t>〈</w:t>
            </w:r>
            <w:r>
              <w:rPr>
                <w:b/>
                <w:bCs/>
                <w:szCs w:val="21"/>
              </w:rPr>
              <w:t>长江经济带发展负面清单指南</w:t>
            </w:r>
            <w:r>
              <w:rPr>
                <w:rFonts w:hint="eastAsia"/>
                <w:b/>
                <w:bCs/>
                <w:szCs w:val="21"/>
                <w:lang w:eastAsia="zh-CN"/>
              </w:rPr>
              <w:t>〉</w:t>
            </w:r>
            <w:r>
              <w:rPr>
                <w:b/>
                <w:bCs/>
                <w:szCs w:val="21"/>
              </w:rPr>
              <w:t>》相符性分析</w:t>
            </w:r>
          </w:p>
          <w:tbl>
            <w:tblPr>
              <w:tblStyle w:val="19"/>
              <w:tblW w:w="5000"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363"/>
              <w:gridCol w:w="3560"/>
              <w:gridCol w:w="2801"/>
              <w:gridCol w:w="532"/>
            </w:tblGrid>
            <w:tr w14:paraId="6797AD4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58" w:hRule="exact"/>
                <w:jc w:val="center"/>
              </w:trPr>
              <w:tc>
                <w:tcPr>
                  <w:tcW w:w="249" w:type="pct"/>
                  <w:vAlign w:val="center"/>
                </w:tcPr>
                <w:p w14:paraId="357F12B4">
                  <w:pPr>
                    <w:adjustRightInd w:val="0"/>
                    <w:snapToGrid w:val="0"/>
                    <w:jc w:val="center"/>
                    <w:rPr>
                      <w:b/>
                      <w:bCs/>
                      <w:sz w:val="18"/>
                      <w:szCs w:val="18"/>
                    </w:rPr>
                  </w:pPr>
                  <w:r>
                    <w:rPr>
                      <w:b/>
                      <w:bCs/>
                      <w:sz w:val="18"/>
                      <w:szCs w:val="18"/>
                    </w:rPr>
                    <w:t>序号</w:t>
                  </w:r>
                </w:p>
              </w:tc>
              <w:tc>
                <w:tcPr>
                  <w:tcW w:w="2453" w:type="pct"/>
                  <w:vAlign w:val="center"/>
                </w:tcPr>
                <w:p w14:paraId="29DFFB40">
                  <w:pPr>
                    <w:adjustRightInd w:val="0"/>
                    <w:snapToGrid w:val="0"/>
                    <w:jc w:val="center"/>
                    <w:rPr>
                      <w:b/>
                      <w:bCs/>
                      <w:sz w:val="18"/>
                      <w:szCs w:val="18"/>
                    </w:rPr>
                  </w:pPr>
                  <w:r>
                    <w:rPr>
                      <w:b/>
                      <w:bCs/>
                      <w:sz w:val="18"/>
                      <w:szCs w:val="18"/>
                    </w:rPr>
                    <w:t>管控条款</w:t>
                  </w:r>
                </w:p>
              </w:tc>
              <w:tc>
                <w:tcPr>
                  <w:tcW w:w="1930" w:type="pct"/>
                  <w:vAlign w:val="center"/>
                </w:tcPr>
                <w:p w14:paraId="77DD2AD0">
                  <w:pPr>
                    <w:adjustRightInd w:val="0"/>
                    <w:snapToGrid w:val="0"/>
                    <w:jc w:val="center"/>
                    <w:rPr>
                      <w:b/>
                      <w:bCs/>
                      <w:sz w:val="18"/>
                      <w:szCs w:val="18"/>
                    </w:rPr>
                  </w:pPr>
                  <w:r>
                    <w:rPr>
                      <w:b/>
                      <w:bCs/>
                      <w:sz w:val="18"/>
                      <w:szCs w:val="18"/>
                    </w:rPr>
                    <w:t>本项目情况</w:t>
                  </w:r>
                </w:p>
              </w:tc>
              <w:tc>
                <w:tcPr>
                  <w:tcW w:w="367" w:type="pct"/>
                  <w:vAlign w:val="center"/>
                </w:tcPr>
                <w:p w14:paraId="1520EE01">
                  <w:pPr>
                    <w:adjustRightInd w:val="0"/>
                    <w:snapToGrid w:val="0"/>
                    <w:jc w:val="center"/>
                    <w:rPr>
                      <w:b/>
                      <w:bCs/>
                      <w:sz w:val="18"/>
                      <w:szCs w:val="18"/>
                    </w:rPr>
                  </w:pPr>
                  <w:r>
                    <w:rPr>
                      <w:b/>
                      <w:bCs/>
                      <w:sz w:val="18"/>
                      <w:szCs w:val="18"/>
                    </w:rPr>
                    <w:t>相符性</w:t>
                  </w:r>
                </w:p>
              </w:tc>
            </w:tr>
            <w:tr w14:paraId="4FCD7AE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001" w:hRule="exact"/>
                <w:jc w:val="center"/>
              </w:trPr>
              <w:tc>
                <w:tcPr>
                  <w:tcW w:w="249" w:type="pct"/>
                  <w:vAlign w:val="center"/>
                </w:tcPr>
                <w:p w14:paraId="59DA9B36">
                  <w:pPr>
                    <w:adjustRightInd w:val="0"/>
                    <w:snapToGrid w:val="0"/>
                    <w:jc w:val="center"/>
                    <w:rPr>
                      <w:sz w:val="18"/>
                      <w:szCs w:val="18"/>
                    </w:rPr>
                  </w:pPr>
                  <w:r>
                    <w:rPr>
                      <w:sz w:val="18"/>
                      <w:szCs w:val="18"/>
                    </w:rPr>
                    <w:t>1</w:t>
                  </w:r>
                </w:p>
              </w:tc>
              <w:tc>
                <w:tcPr>
                  <w:tcW w:w="2453" w:type="pct"/>
                  <w:vAlign w:val="center"/>
                </w:tcPr>
                <w:p w14:paraId="1D50D7B2">
                  <w:pPr>
                    <w:adjustRightInd w:val="0"/>
                    <w:snapToGrid w:val="0"/>
                    <w:rPr>
                      <w:sz w:val="18"/>
                      <w:szCs w:val="18"/>
                    </w:rPr>
                  </w:pPr>
                  <w:r>
                    <w:rPr>
                      <w:sz w:val="18"/>
                      <w:szCs w:val="18"/>
                    </w:rPr>
                    <w:t>禁止建设不符合全国和省级港口布局规划以及港口总体规划的码头项目，禁止建设不符合《长江干线过江通道布局规划》的过长江通道项目。</w:t>
                  </w:r>
                </w:p>
              </w:tc>
              <w:tc>
                <w:tcPr>
                  <w:tcW w:w="1930" w:type="pct"/>
                  <w:vAlign w:val="center"/>
                </w:tcPr>
                <w:p w14:paraId="42C3E08C">
                  <w:pPr>
                    <w:adjustRightInd w:val="0"/>
                    <w:snapToGrid w:val="0"/>
                    <w:rPr>
                      <w:sz w:val="18"/>
                      <w:szCs w:val="18"/>
                    </w:rPr>
                  </w:pPr>
                  <w:r>
                    <w:rPr>
                      <w:sz w:val="18"/>
                      <w:szCs w:val="18"/>
                    </w:rPr>
                    <w:t>项目不属于码头及过长江通道项目。</w:t>
                  </w:r>
                </w:p>
              </w:tc>
              <w:tc>
                <w:tcPr>
                  <w:tcW w:w="367" w:type="pct"/>
                  <w:vAlign w:val="center"/>
                </w:tcPr>
                <w:p w14:paraId="3C99941E">
                  <w:pPr>
                    <w:adjustRightInd w:val="0"/>
                    <w:snapToGrid w:val="0"/>
                    <w:jc w:val="center"/>
                    <w:rPr>
                      <w:sz w:val="18"/>
                      <w:szCs w:val="18"/>
                    </w:rPr>
                  </w:pPr>
                  <w:r>
                    <w:rPr>
                      <w:sz w:val="18"/>
                      <w:szCs w:val="18"/>
                    </w:rPr>
                    <w:t>相符</w:t>
                  </w:r>
                </w:p>
              </w:tc>
            </w:tr>
            <w:tr w14:paraId="05ABF6D6">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403" w:hRule="exact"/>
                <w:jc w:val="center"/>
              </w:trPr>
              <w:tc>
                <w:tcPr>
                  <w:tcW w:w="249" w:type="pct"/>
                  <w:vAlign w:val="center"/>
                </w:tcPr>
                <w:p w14:paraId="5F042461">
                  <w:pPr>
                    <w:adjustRightInd w:val="0"/>
                    <w:snapToGrid w:val="0"/>
                    <w:jc w:val="center"/>
                    <w:rPr>
                      <w:sz w:val="18"/>
                      <w:szCs w:val="18"/>
                    </w:rPr>
                  </w:pPr>
                  <w:r>
                    <w:rPr>
                      <w:sz w:val="18"/>
                      <w:szCs w:val="18"/>
                    </w:rPr>
                    <w:t>2</w:t>
                  </w:r>
                </w:p>
              </w:tc>
              <w:tc>
                <w:tcPr>
                  <w:tcW w:w="2453" w:type="pct"/>
                  <w:vAlign w:val="center"/>
                </w:tcPr>
                <w:p w14:paraId="1D0B78FF">
                  <w:pPr>
                    <w:adjustRightInd w:val="0"/>
                    <w:snapToGrid w:val="0"/>
                    <w:rPr>
                      <w:sz w:val="18"/>
                      <w:szCs w:val="18"/>
                    </w:rPr>
                  </w:pPr>
                  <w:r>
                    <w:rPr>
                      <w:sz w:val="18"/>
                      <w:szCs w:val="18"/>
                    </w:rPr>
                    <w:t>禁止在自然保护区核心区、缓冲区岸线和河段范围内投资建设旅游和生产经营项目。禁止在风景名胜区核心景区的岸线和河段范围内投资建设与风景名胜资源保护无关的项目。</w:t>
                  </w:r>
                </w:p>
              </w:tc>
              <w:tc>
                <w:tcPr>
                  <w:tcW w:w="1930" w:type="pct"/>
                  <w:vAlign w:val="center"/>
                </w:tcPr>
                <w:p w14:paraId="6BAAEB0F">
                  <w:pPr>
                    <w:adjustRightInd w:val="0"/>
                    <w:snapToGrid w:val="0"/>
                    <w:rPr>
                      <w:sz w:val="18"/>
                      <w:szCs w:val="18"/>
                    </w:rPr>
                  </w:pPr>
                  <w:r>
                    <w:rPr>
                      <w:sz w:val="18"/>
                      <w:szCs w:val="18"/>
                    </w:rPr>
                    <w:t>本项目位于</w:t>
                  </w:r>
                  <w:r>
                    <w:rPr>
                      <w:rFonts w:hint="eastAsia"/>
                      <w:sz w:val="18"/>
                      <w:szCs w:val="18"/>
                    </w:rPr>
                    <w:t>南通市启东市启东生命健康产业园常州路38号</w:t>
                  </w:r>
                  <w:r>
                    <w:rPr>
                      <w:sz w:val="18"/>
                      <w:szCs w:val="18"/>
                    </w:rPr>
                    <w:t>，不在自然保护区核心区、缓冲区的岸线和河段范围内，不在国家级和省级风景名胜区核心景区的岸线和河段范围内。</w:t>
                  </w:r>
                </w:p>
              </w:tc>
              <w:tc>
                <w:tcPr>
                  <w:tcW w:w="367" w:type="pct"/>
                  <w:vAlign w:val="center"/>
                </w:tcPr>
                <w:p w14:paraId="4E6BA618">
                  <w:pPr>
                    <w:adjustRightInd w:val="0"/>
                    <w:snapToGrid w:val="0"/>
                    <w:jc w:val="center"/>
                    <w:rPr>
                      <w:sz w:val="18"/>
                      <w:szCs w:val="18"/>
                    </w:rPr>
                  </w:pPr>
                  <w:r>
                    <w:rPr>
                      <w:sz w:val="18"/>
                      <w:szCs w:val="18"/>
                    </w:rPr>
                    <w:t>相符</w:t>
                  </w:r>
                </w:p>
              </w:tc>
            </w:tr>
            <w:tr w14:paraId="29A8EDA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712" w:hRule="exact"/>
                <w:jc w:val="center"/>
              </w:trPr>
              <w:tc>
                <w:tcPr>
                  <w:tcW w:w="249" w:type="pct"/>
                  <w:vAlign w:val="center"/>
                </w:tcPr>
                <w:p w14:paraId="35484FB0">
                  <w:pPr>
                    <w:adjustRightInd w:val="0"/>
                    <w:snapToGrid w:val="0"/>
                    <w:jc w:val="center"/>
                    <w:rPr>
                      <w:sz w:val="18"/>
                      <w:szCs w:val="18"/>
                    </w:rPr>
                  </w:pPr>
                  <w:r>
                    <w:rPr>
                      <w:sz w:val="18"/>
                      <w:szCs w:val="18"/>
                    </w:rPr>
                    <w:t>3</w:t>
                  </w:r>
                </w:p>
              </w:tc>
              <w:tc>
                <w:tcPr>
                  <w:tcW w:w="2453" w:type="pct"/>
                  <w:vAlign w:val="center"/>
                </w:tcPr>
                <w:p w14:paraId="269C845E">
                  <w:pPr>
                    <w:adjustRightInd w:val="0"/>
                    <w:snapToGrid w:val="0"/>
                    <w:rPr>
                      <w:sz w:val="18"/>
                      <w:szCs w:val="18"/>
                    </w:rPr>
                  </w:pPr>
                  <w:r>
                    <w:rPr>
                      <w:sz w:val="18"/>
                      <w:szCs w:val="18"/>
                    </w:rPr>
                    <w:t>禁止在饮用水水源一级保护区的岸线和河段范围内新建、改建、扩建与供水设施和保护水源无关的项目，以及网箱养殖、畜禽养殖、旅游等可能污染饮用水水体的投资建设项目。禁止在饮用水水源二级保护区岸线和河段范围内新建、改建、扩建排放污染物的投资建设项目。</w:t>
                  </w:r>
                </w:p>
              </w:tc>
              <w:tc>
                <w:tcPr>
                  <w:tcW w:w="1930" w:type="pct"/>
                  <w:vAlign w:val="center"/>
                </w:tcPr>
                <w:p w14:paraId="7E48B6ED">
                  <w:pPr>
                    <w:adjustRightInd w:val="0"/>
                    <w:snapToGrid w:val="0"/>
                    <w:rPr>
                      <w:sz w:val="18"/>
                      <w:szCs w:val="18"/>
                    </w:rPr>
                  </w:pPr>
                  <w:r>
                    <w:rPr>
                      <w:sz w:val="18"/>
                      <w:szCs w:val="18"/>
                    </w:rPr>
                    <w:t>本项目位于</w:t>
                  </w:r>
                  <w:r>
                    <w:rPr>
                      <w:rFonts w:hint="eastAsia"/>
                      <w:sz w:val="18"/>
                      <w:szCs w:val="18"/>
                    </w:rPr>
                    <w:t>南通市启东市启东生命健康产业园常州路38号</w:t>
                  </w:r>
                  <w:r>
                    <w:rPr>
                      <w:sz w:val="18"/>
                      <w:szCs w:val="18"/>
                    </w:rPr>
                    <w:t>，不在饮用水水源一级保护区的岸线和河段范围内，不在饮用水水源二级保护区的岸线和河段范围内。</w:t>
                  </w:r>
                </w:p>
              </w:tc>
              <w:tc>
                <w:tcPr>
                  <w:tcW w:w="367" w:type="pct"/>
                  <w:vAlign w:val="center"/>
                </w:tcPr>
                <w:p w14:paraId="77BAF95D">
                  <w:pPr>
                    <w:adjustRightInd w:val="0"/>
                    <w:snapToGrid w:val="0"/>
                    <w:jc w:val="center"/>
                    <w:rPr>
                      <w:sz w:val="18"/>
                      <w:szCs w:val="18"/>
                    </w:rPr>
                  </w:pPr>
                  <w:r>
                    <w:rPr>
                      <w:sz w:val="18"/>
                      <w:szCs w:val="18"/>
                    </w:rPr>
                    <w:t>相符</w:t>
                  </w:r>
                </w:p>
              </w:tc>
            </w:tr>
            <w:tr w14:paraId="4A8882F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545" w:hRule="exact"/>
                <w:jc w:val="center"/>
              </w:trPr>
              <w:tc>
                <w:tcPr>
                  <w:tcW w:w="249" w:type="pct"/>
                  <w:vAlign w:val="center"/>
                </w:tcPr>
                <w:p w14:paraId="3A6B7723">
                  <w:pPr>
                    <w:adjustRightInd w:val="0"/>
                    <w:snapToGrid w:val="0"/>
                    <w:jc w:val="center"/>
                    <w:rPr>
                      <w:sz w:val="18"/>
                      <w:szCs w:val="18"/>
                    </w:rPr>
                  </w:pPr>
                  <w:r>
                    <w:rPr>
                      <w:sz w:val="18"/>
                      <w:szCs w:val="18"/>
                    </w:rPr>
                    <w:t>4</w:t>
                  </w:r>
                </w:p>
              </w:tc>
              <w:tc>
                <w:tcPr>
                  <w:tcW w:w="2453" w:type="pct"/>
                  <w:vAlign w:val="center"/>
                </w:tcPr>
                <w:p w14:paraId="7A8A515F">
                  <w:pPr>
                    <w:adjustRightInd w:val="0"/>
                    <w:snapToGrid w:val="0"/>
                    <w:rPr>
                      <w:sz w:val="18"/>
                      <w:szCs w:val="18"/>
                    </w:rPr>
                  </w:pPr>
                  <w:r>
                    <w:rPr>
                      <w:sz w:val="18"/>
                      <w:szCs w:val="18"/>
                    </w:rPr>
                    <w:t>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1930" w:type="pct"/>
                  <w:vAlign w:val="center"/>
                </w:tcPr>
                <w:p w14:paraId="132917D0">
                  <w:pPr>
                    <w:adjustRightInd w:val="0"/>
                    <w:snapToGrid w:val="0"/>
                    <w:rPr>
                      <w:sz w:val="18"/>
                      <w:szCs w:val="18"/>
                    </w:rPr>
                  </w:pPr>
                  <w:r>
                    <w:rPr>
                      <w:sz w:val="18"/>
                      <w:szCs w:val="18"/>
                    </w:rPr>
                    <w:t>本项目位于</w:t>
                  </w:r>
                  <w:r>
                    <w:rPr>
                      <w:rFonts w:hint="eastAsia"/>
                      <w:sz w:val="18"/>
                      <w:szCs w:val="18"/>
                    </w:rPr>
                    <w:t>南通市启东市启东生命健康产业园常州路38号</w:t>
                  </w:r>
                  <w:r>
                    <w:rPr>
                      <w:sz w:val="18"/>
                      <w:szCs w:val="18"/>
                    </w:rPr>
                    <w:t>，不在国家级和省级水产种质资源保护区的岸线和河段范围内，不在国家湿地公园的岸线和河段范围内。</w:t>
                  </w:r>
                </w:p>
              </w:tc>
              <w:tc>
                <w:tcPr>
                  <w:tcW w:w="367" w:type="pct"/>
                  <w:vAlign w:val="center"/>
                </w:tcPr>
                <w:p w14:paraId="685CD47A">
                  <w:pPr>
                    <w:adjustRightInd w:val="0"/>
                    <w:snapToGrid w:val="0"/>
                    <w:jc w:val="center"/>
                    <w:rPr>
                      <w:sz w:val="18"/>
                      <w:szCs w:val="18"/>
                    </w:rPr>
                  </w:pPr>
                  <w:r>
                    <w:rPr>
                      <w:sz w:val="18"/>
                      <w:szCs w:val="18"/>
                    </w:rPr>
                    <w:t>相符</w:t>
                  </w:r>
                </w:p>
              </w:tc>
            </w:tr>
            <w:tr w14:paraId="24BD35A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173" w:hRule="exact"/>
                <w:jc w:val="center"/>
              </w:trPr>
              <w:tc>
                <w:tcPr>
                  <w:tcW w:w="249" w:type="pct"/>
                  <w:vAlign w:val="center"/>
                </w:tcPr>
                <w:p w14:paraId="6B49A15A">
                  <w:pPr>
                    <w:adjustRightInd w:val="0"/>
                    <w:snapToGrid w:val="0"/>
                    <w:jc w:val="center"/>
                    <w:rPr>
                      <w:sz w:val="18"/>
                      <w:szCs w:val="18"/>
                    </w:rPr>
                  </w:pPr>
                  <w:r>
                    <w:rPr>
                      <w:sz w:val="18"/>
                      <w:szCs w:val="18"/>
                    </w:rPr>
                    <w:t>5</w:t>
                  </w:r>
                </w:p>
              </w:tc>
              <w:tc>
                <w:tcPr>
                  <w:tcW w:w="2453" w:type="pct"/>
                  <w:vAlign w:val="center"/>
                </w:tcPr>
                <w:p w14:paraId="1E163708">
                  <w:pPr>
                    <w:adjustRightInd w:val="0"/>
                    <w:snapToGrid w:val="0"/>
                    <w:rPr>
                      <w:sz w:val="18"/>
                      <w:szCs w:val="18"/>
                    </w:rPr>
                  </w:pPr>
                  <w:r>
                    <w:rPr>
                      <w:sz w:val="18"/>
                      <w:szCs w:val="18"/>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1930" w:type="pct"/>
                  <w:vAlign w:val="center"/>
                </w:tcPr>
                <w:p w14:paraId="40E03D40">
                  <w:pPr>
                    <w:adjustRightInd w:val="0"/>
                    <w:snapToGrid w:val="0"/>
                    <w:rPr>
                      <w:sz w:val="18"/>
                      <w:szCs w:val="18"/>
                    </w:rPr>
                  </w:pPr>
                  <w:r>
                    <w:rPr>
                      <w:sz w:val="18"/>
                      <w:szCs w:val="18"/>
                    </w:rPr>
                    <w:t>本项目位于</w:t>
                  </w:r>
                  <w:r>
                    <w:rPr>
                      <w:rFonts w:hint="eastAsia"/>
                      <w:sz w:val="18"/>
                      <w:szCs w:val="18"/>
                    </w:rPr>
                    <w:t>南通市启东市启东生命健康产业园常州路38号</w:t>
                  </w:r>
                  <w:r>
                    <w:rPr>
                      <w:sz w:val="18"/>
                      <w:szCs w:val="18"/>
                    </w:rPr>
                    <w:t>，不在《长江岸线保护和开发利用总体规划》划定的岸线保护区和岸线保留区内，不在《全国重要江河湖泊水功能区划》划定的河段保护区、保留区内。</w:t>
                  </w:r>
                </w:p>
              </w:tc>
              <w:tc>
                <w:tcPr>
                  <w:tcW w:w="367" w:type="pct"/>
                  <w:vAlign w:val="center"/>
                </w:tcPr>
                <w:p w14:paraId="1988B6FE">
                  <w:pPr>
                    <w:adjustRightInd w:val="0"/>
                    <w:snapToGrid w:val="0"/>
                    <w:jc w:val="center"/>
                    <w:rPr>
                      <w:sz w:val="18"/>
                      <w:szCs w:val="18"/>
                    </w:rPr>
                  </w:pPr>
                  <w:r>
                    <w:rPr>
                      <w:sz w:val="18"/>
                      <w:szCs w:val="18"/>
                    </w:rPr>
                    <w:t>相符</w:t>
                  </w:r>
                </w:p>
              </w:tc>
            </w:tr>
            <w:tr w14:paraId="42FFD186">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138" w:hRule="exact"/>
                <w:jc w:val="center"/>
              </w:trPr>
              <w:tc>
                <w:tcPr>
                  <w:tcW w:w="249" w:type="pct"/>
                  <w:vAlign w:val="center"/>
                </w:tcPr>
                <w:p w14:paraId="4A09AC0D">
                  <w:pPr>
                    <w:adjustRightInd w:val="0"/>
                    <w:snapToGrid w:val="0"/>
                    <w:jc w:val="center"/>
                    <w:rPr>
                      <w:sz w:val="18"/>
                      <w:szCs w:val="18"/>
                    </w:rPr>
                  </w:pPr>
                  <w:r>
                    <w:rPr>
                      <w:sz w:val="18"/>
                      <w:szCs w:val="18"/>
                    </w:rPr>
                    <w:t>6</w:t>
                  </w:r>
                </w:p>
              </w:tc>
              <w:tc>
                <w:tcPr>
                  <w:tcW w:w="2453" w:type="pct"/>
                  <w:vAlign w:val="center"/>
                </w:tcPr>
                <w:p w14:paraId="421FE465">
                  <w:pPr>
                    <w:adjustRightInd w:val="0"/>
                    <w:snapToGrid w:val="0"/>
                    <w:rPr>
                      <w:sz w:val="18"/>
                      <w:szCs w:val="18"/>
                    </w:rPr>
                  </w:pPr>
                  <w:r>
                    <w:rPr>
                      <w:sz w:val="18"/>
                      <w:szCs w:val="18"/>
                    </w:rPr>
                    <w:t>禁止未经许可在长江干支流及湖泊新设、改设或扩大排污口。</w:t>
                  </w:r>
                </w:p>
              </w:tc>
              <w:tc>
                <w:tcPr>
                  <w:tcW w:w="1930" w:type="pct"/>
                  <w:vAlign w:val="center"/>
                </w:tcPr>
                <w:p w14:paraId="7CAF51BE">
                  <w:pPr>
                    <w:adjustRightInd w:val="0"/>
                    <w:snapToGrid w:val="0"/>
                    <w:rPr>
                      <w:sz w:val="18"/>
                      <w:szCs w:val="18"/>
                    </w:rPr>
                  </w:pPr>
                  <w:r>
                    <w:rPr>
                      <w:sz w:val="18"/>
                      <w:szCs w:val="18"/>
                    </w:rPr>
                    <w:t>本项目位于</w:t>
                  </w:r>
                  <w:r>
                    <w:rPr>
                      <w:rFonts w:hint="eastAsia"/>
                      <w:sz w:val="18"/>
                      <w:szCs w:val="18"/>
                    </w:rPr>
                    <w:t>南通市启东市启东生命健康产业园常州路38号</w:t>
                  </w:r>
                  <w:r>
                    <w:rPr>
                      <w:sz w:val="18"/>
                      <w:szCs w:val="18"/>
                    </w:rPr>
                    <w:t>，不在长江干支流及湖泊旁，且项目为间接排放。</w:t>
                  </w:r>
                </w:p>
              </w:tc>
              <w:tc>
                <w:tcPr>
                  <w:tcW w:w="367" w:type="pct"/>
                  <w:vAlign w:val="center"/>
                </w:tcPr>
                <w:p w14:paraId="29C93977">
                  <w:pPr>
                    <w:adjustRightInd w:val="0"/>
                    <w:snapToGrid w:val="0"/>
                    <w:jc w:val="center"/>
                    <w:rPr>
                      <w:sz w:val="18"/>
                      <w:szCs w:val="18"/>
                    </w:rPr>
                  </w:pPr>
                  <w:r>
                    <w:rPr>
                      <w:sz w:val="18"/>
                      <w:szCs w:val="18"/>
                    </w:rPr>
                    <w:t>相符</w:t>
                  </w:r>
                </w:p>
              </w:tc>
            </w:tr>
            <w:tr w14:paraId="74A9A7F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734" w:hRule="exact"/>
                <w:jc w:val="center"/>
              </w:trPr>
              <w:tc>
                <w:tcPr>
                  <w:tcW w:w="249" w:type="pct"/>
                  <w:vAlign w:val="center"/>
                </w:tcPr>
                <w:p w14:paraId="5B495583">
                  <w:pPr>
                    <w:adjustRightInd w:val="0"/>
                    <w:snapToGrid w:val="0"/>
                    <w:jc w:val="center"/>
                    <w:rPr>
                      <w:sz w:val="18"/>
                      <w:szCs w:val="18"/>
                    </w:rPr>
                  </w:pPr>
                  <w:r>
                    <w:rPr>
                      <w:sz w:val="18"/>
                      <w:szCs w:val="18"/>
                    </w:rPr>
                    <w:t>7</w:t>
                  </w:r>
                </w:p>
              </w:tc>
              <w:tc>
                <w:tcPr>
                  <w:tcW w:w="2453" w:type="pct"/>
                  <w:vAlign w:val="center"/>
                </w:tcPr>
                <w:p w14:paraId="49007FCC">
                  <w:pPr>
                    <w:adjustRightInd w:val="0"/>
                    <w:snapToGrid w:val="0"/>
                    <w:rPr>
                      <w:sz w:val="18"/>
                      <w:szCs w:val="18"/>
                    </w:rPr>
                  </w:pPr>
                  <w:r>
                    <w:rPr>
                      <w:sz w:val="18"/>
                      <w:szCs w:val="18"/>
                    </w:rPr>
                    <w:t>禁止在“一江一口两湖七河”和332个水生生物保护区开展生产性捕捞。</w:t>
                  </w:r>
                </w:p>
              </w:tc>
              <w:tc>
                <w:tcPr>
                  <w:tcW w:w="1930" w:type="pct"/>
                  <w:vAlign w:val="center"/>
                </w:tcPr>
                <w:p w14:paraId="50AAF357">
                  <w:pPr>
                    <w:adjustRightInd w:val="0"/>
                    <w:snapToGrid w:val="0"/>
                    <w:rPr>
                      <w:sz w:val="18"/>
                      <w:szCs w:val="18"/>
                    </w:rPr>
                  </w:pPr>
                  <w:r>
                    <w:rPr>
                      <w:sz w:val="18"/>
                      <w:szCs w:val="18"/>
                    </w:rPr>
                    <w:t>项目不涉及生产性捕捞。</w:t>
                  </w:r>
                </w:p>
              </w:tc>
              <w:tc>
                <w:tcPr>
                  <w:tcW w:w="367" w:type="pct"/>
                  <w:vAlign w:val="center"/>
                </w:tcPr>
                <w:p w14:paraId="02E31942">
                  <w:pPr>
                    <w:adjustRightInd w:val="0"/>
                    <w:snapToGrid w:val="0"/>
                    <w:jc w:val="center"/>
                    <w:rPr>
                      <w:sz w:val="18"/>
                      <w:szCs w:val="18"/>
                    </w:rPr>
                  </w:pPr>
                  <w:r>
                    <w:rPr>
                      <w:sz w:val="18"/>
                      <w:szCs w:val="18"/>
                    </w:rPr>
                    <w:t>相符</w:t>
                  </w:r>
                </w:p>
              </w:tc>
            </w:tr>
            <w:tr w14:paraId="60E8663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410" w:hRule="exact"/>
                <w:jc w:val="center"/>
              </w:trPr>
              <w:tc>
                <w:tcPr>
                  <w:tcW w:w="249" w:type="pct"/>
                  <w:vAlign w:val="center"/>
                </w:tcPr>
                <w:p w14:paraId="4A824C84">
                  <w:pPr>
                    <w:adjustRightInd w:val="0"/>
                    <w:snapToGrid w:val="0"/>
                    <w:jc w:val="center"/>
                    <w:rPr>
                      <w:sz w:val="18"/>
                      <w:szCs w:val="18"/>
                    </w:rPr>
                  </w:pPr>
                  <w:r>
                    <w:rPr>
                      <w:sz w:val="18"/>
                      <w:szCs w:val="18"/>
                    </w:rPr>
                    <w:t>8</w:t>
                  </w:r>
                </w:p>
              </w:tc>
              <w:tc>
                <w:tcPr>
                  <w:tcW w:w="2453" w:type="pct"/>
                  <w:vAlign w:val="center"/>
                </w:tcPr>
                <w:p w14:paraId="6DD28B63">
                  <w:pPr>
                    <w:adjustRightInd w:val="0"/>
                    <w:snapToGrid w:val="0"/>
                    <w:rPr>
                      <w:sz w:val="18"/>
                      <w:szCs w:val="18"/>
                    </w:rPr>
                  </w:pPr>
                  <w:r>
                    <w:rPr>
                      <w:sz w:val="18"/>
                      <w:szCs w:val="18"/>
                    </w:rPr>
                    <w:t>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1930" w:type="pct"/>
                  <w:vAlign w:val="center"/>
                </w:tcPr>
                <w:p w14:paraId="4726C5F0">
                  <w:pPr>
                    <w:adjustRightInd w:val="0"/>
                    <w:snapToGrid w:val="0"/>
                    <w:rPr>
                      <w:sz w:val="18"/>
                      <w:szCs w:val="18"/>
                    </w:rPr>
                  </w:pPr>
                  <w:r>
                    <w:rPr>
                      <w:sz w:val="18"/>
                      <w:szCs w:val="18"/>
                    </w:rPr>
                    <w:t>项目位于</w:t>
                  </w:r>
                  <w:r>
                    <w:rPr>
                      <w:rFonts w:hint="eastAsia"/>
                      <w:sz w:val="18"/>
                      <w:szCs w:val="18"/>
                    </w:rPr>
                    <w:t>南通市启东市启东生命健康产业园常州路38号</w:t>
                  </w:r>
                  <w:r>
                    <w:rPr>
                      <w:sz w:val="18"/>
                      <w:szCs w:val="18"/>
                    </w:rPr>
                    <w:t>，不在长江干支流、重要湖泊岸线一公里范围内。</w:t>
                  </w:r>
                </w:p>
              </w:tc>
              <w:tc>
                <w:tcPr>
                  <w:tcW w:w="367" w:type="pct"/>
                  <w:vAlign w:val="center"/>
                </w:tcPr>
                <w:p w14:paraId="0FD47A30">
                  <w:pPr>
                    <w:adjustRightInd w:val="0"/>
                    <w:snapToGrid w:val="0"/>
                    <w:jc w:val="center"/>
                    <w:rPr>
                      <w:sz w:val="18"/>
                      <w:szCs w:val="18"/>
                    </w:rPr>
                  </w:pPr>
                  <w:r>
                    <w:rPr>
                      <w:sz w:val="18"/>
                      <w:szCs w:val="18"/>
                    </w:rPr>
                    <w:t>相符</w:t>
                  </w:r>
                </w:p>
              </w:tc>
            </w:tr>
            <w:tr w14:paraId="6E320C6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872" w:hRule="exact"/>
                <w:jc w:val="center"/>
              </w:trPr>
              <w:tc>
                <w:tcPr>
                  <w:tcW w:w="249" w:type="pct"/>
                  <w:vAlign w:val="center"/>
                </w:tcPr>
                <w:p w14:paraId="2A8165B1">
                  <w:pPr>
                    <w:adjustRightInd w:val="0"/>
                    <w:snapToGrid w:val="0"/>
                    <w:jc w:val="center"/>
                    <w:rPr>
                      <w:sz w:val="18"/>
                      <w:szCs w:val="18"/>
                    </w:rPr>
                  </w:pPr>
                  <w:r>
                    <w:rPr>
                      <w:sz w:val="18"/>
                      <w:szCs w:val="18"/>
                    </w:rPr>
                    <w:t>9</w:t>
                  </w:r>
                </w:p>
              </w:tc>
              <w:tc>
                <w:tcPr>
                  <w:tcW w:w="2453" w:type="pct"/>
                  <w:vAlign w:val="center"/>
                </w:tcPr>
                <w:p w14:paraId="0DA2311E">
                  <w:pPr>
                    <w:adjustRightInd w:val="0"/>
                    <w:snapToGrid w:val="0"/>
                    <w:rPr>
                      <w:sz w:val="18"/>
                      <w:szCs w:val="18"/>
                    </w:rPr>
                  </w:pPr>
                  <w:r>
                    <w:rPr>
                      <w:sz w:val="18"/>
                      <w:szCs w:val="18"/>
                    </w:rPr>
                    <w:t>禁止在合规园区外新建、扩建钢铁、石化、化工、焦化、建材、有色、制浆造纸等高污染项目。</w:t>
                  </w:r>
                </w:p>
              </w:tc>
              <w:tc>
                <w:tcPr>
                  <w:tcW w:w="1930" w:type="pct"/>
                  <w:vAlign w:val="center"/>
                </w:tcPr>
                <w:p w14:paraId="45A45E9F">
                  <w:pPr>
                    <w:adjustRightInd w:val="0"/>
                    <w:snapToGrid w:val="0"/>
                    <w:rPr>
                      <w:sz w:val="18"/>
                      <w:szCs w:val="18"/>
                    </w:rPr>
                  </w:pPr>
                  <w:r>
                    <w:rPr>
                      <w:sz w:val="18"/>
                      <w:szCs w:val="18"/>
                    </w:rPr>
                    <w:t>项目不属于钢铁、石化、化工、焦化、建材、有色、制浆造纸等高污染项目。</w:t>
                  </w:r>
                </w:p>
              </w:tc>
              <w:tc>
                <w:tcPr>
                  <w:tcW w:w="367" w:type="pct"/>
                  <w:vAlign w:val="center"/>
                </w:tcPr>
                <w:p w14:paraId="54FF470F">
                  <w:pPr>
                    <w:adjustRightInd w:val="0"/>
                    <w:snapToGrid w:val="0"/>
                    <w:jc w:val="center"/>
                    <w:rPr>
                      <w:sz w:val="18"/>
                      <w:szCs w:val="18"/>
                    </w:rPr>
                  </w:pPr>
                  <w:r>
                    <w:rPr>
                      <w:sz w:val="18"/>
                      <w:szCs w:val="18"/>
                    </w:rPr>
                    <w:t>相符</w:t>
                  </w:r>
                </w:p>
              </w:tc>
            </w:tr>
            <w:tr w14:paraId="43ADA21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855" w:hRule="exact"/>
                <w:jc w:val="center"/>
              </w:trPr>
              <w:tc>
                <w:tcPr>
                  <w:tcW w:w="249" w:type="pct"/>
                  <w:vAlign w:val="center"/>
                </w:tcPr>
                <w:p w14:paraId="4B52ADFA">
                  <w:pPr>
                    <w:adjustRightInd w:val="0"/>
                    <w:snapToGrid w:val="0"/>
                    <w:jc w:val="center"/>
                    <w:rPr>
                      <w:sz w:val="18"/>
                      <w:szCs w:val="18"/>
                    </w:rPr>
                  </w:pPr>
                  <w:r>
                    <w:rPr>
                      <w:sz w:val="18"/>
                      <w:szCs w:val="18"/>
                    </w:rPr>
                    <w:t>10</w:t>
                  </w:r>
                </w:p>
              </w:tc>
              <w:tc>
                <w:tcPr>
                  <w:tcW w:w="2453" w:type="pct"/>
                  <w:vAlign w:val="center"/>
                </w:tcPr>
                <w:p w14:paraId="13F31CBF">
                  <w:pPr>
                    <w:adjustRightInd w:val="0"/>
                    <w:snapToGrid w:val="0"/>
                    <w:rPr>
                      <w:sz w:val="18"/>
                      <w:szCs w:val="18"/>
                    </w:rPr>
                  </w:pPr>
                  <w:r>
                    <w:rPr>
                      <w:sz w:val="18"/>
                      <w:szCs w:val="18"/>
                    </w:rPr>
                    <w:t>禁止新建、扩建不符合国家石化、现代煤化工等产业布局规划的项目。</w:t>
                  </w:r>
                </w:p>
              </w:tc>
              <w:tc>
                <w:tcPr>
                  <w:tcW w:w="1930" w:type="pct"/>
                  <w:vAlign w:val="center"/>
                </w:tcPr>
                <w:p w14:paraId="06F4D53C">
                  <w:pPr>
                    <w:adjustRightInd w:val="0"/>
                    <w:snapToGrid w:val="0"/>
                    <w:rPr>
                      <w:sz w:val="18"/>
                      <w:szCs w:val="18"/>
                    </w:rPr>
                  </w:pPr>
                  <w:r>
                    <w:rPr>
                      <w:sz w:val="18"/>
                      <w:szCs w:val="18"/>
                    </w:rPr>
                    <w:t>项目不属于国家石化、现代煤化工等产业布局规划的项目。</w:t>
                  </w:r>
                </w:p>
              </w:tc>
              <w:tc>
                <w:tcPr>
                  <w:tcW w:w="367" w:type="pct"/>
                  <w:vAlign w:val="center"/>
                </w:tcPr>
                <w:p w14:paraId="4C10BEFF">
                  <w:pPr>
                    <w:adjustRightInd w:val="0"/>
                    <w:snapToGrid w:val="0"/>
                    <w:jc w:val="center"/>
                    <w:rPr>
                      <w:sz w:val="18"/>
                      <w:szCs w:val="18"/>
                    </w:rPr>
                  </w:pPr>
                  <w:r>
                    <w:rPr>
                      <w:sz w:val="18"/>
                      <w:szCs w:val="18"/>
                    </w:rPr>
                    <w:t>相符</w:t>
                  </w:r>
                </w:p>
              </w:tc>
            </w:tr>
            <w:tr w14:paraId="0FA130B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334" w:hRule="exact"/>
                <w:jc w:val="center"/>
              </w:trPr>
              <w:tc>
                <w:tcPr>
                  <w:tcW w:w="249" w:type="pct"/>
                  <w:vAlign w:val="center"/>
                </w:tcPr>
                <w:p w14:paraId="346D3C20">
                  <w:pPr>
                    <w:adjustRightInd w:val="0"/>
                    <w:snapToGrid w:val="0"/>
                    <w:jc w:val="center"/>
                    <w:rPr>
                      <w:sz w:val="18"/>
                      <w:szCs w:val="18"/>
                    </w:rPr>
                  </w:pPr>
                  <w:r>
                    <w:rPr>
                      <w:sz w:val="18"/>
                      <w:szCs w:val="18"/>
                    </w:rPr>
                    <w:t>11</w:t>
                  </w:r>
                </w:p>
              </w:tc>
              <w:tc>
                <w:tcPr>
                  <w:tcW w:w="2453" w:type="pct"/>
                  <w:vAlign w:val="center"/>
                </w:tcPr>
                <w:p w14:paraId="4873C34C">
                  <w:pPr>
                    <w:adjustRightInd w:val="0"/>
                    <w:snapToGrid w:val="0"/>
                    <w:rPr>
                      <w:sz w:val="18"/>
                      <w:szCs w:val="18"/>
                    </w:rPr>
                  </w:pPr>
                  <w:r>
                    <w:rPr>
                      <w:sz w:val="18"/>
                      <w:szCs w:val="18"/>
                    </w:rPr>
                    <w:t>禁止新建、扩建法律法规和相关政策明令禁止的落后产能项目。禁止新建、扩建不符合国家产能置换要求的严重过剩产能行业的项目。禁止新建、扩建不符合要求的高耗能高排放项目。</w:t>
                  </w:r>
                </w:p>
              </w:tc>
              <w:tc>
                <w:tcPr>
                  <w:tcW w:w="1930" w:type="pct"/>
                  <w:vAlign w:val="center"/>
                </w:tcPr>
                <w:p w14:paraId="183A52E0">
                  <w:pPr>
                    <w:adjustRightInd w:val="0"/>
                    <w:snapToGrid w:val="0"/>
                    <w:rPr>
                      <w:sz w:val="18"/>
                      <w:szCs w:val="18"/>
                    </w:rPr>
                  </w:pPr>
                  <w:r>
                    <w:rPr>
                      <w:sz w:val="18"/>
                      <w:szCs w:val="18"/>
                    </w:rPr>
                    <w:t>项目不属于落后产能、严重过剩产能行业项目。</w:t>
                  </w:r>
                </w:p>
              </w:tc>
              <w:tc>
                <w:tcPr>
                  <w:tcW w:w="367" w:type="pct"/>
                  <w:vAlign w:val="center"/>
                </w:tcPr>
                <w:p w14:paraId="30521C1D">
                  <w:pPr>
                    <w:adjustRightInd w:val="0"/>
                    <w:snapToGrid w:val="0"/>
                    <w:jc w:val="center"/>
                    <w:rPr>
                      <w:sz w:val="18"/>
                      <w:szCs w:val="18"/>
                    </w:rPr>
                  </w:pPr>
                  <w:r>
                    <w:rPr>
                      <w:sz w:val="18"/>
                      <w:szCs w:val="18"/>
                    </w:rPr>
                    <w:t>相符</w:t>
                  </w:r>
                </w:p>
              </w:tc>
            </w:tr>
          </w:tbl>
          <w:p w14:paraId="46604832">
            <w:pPr>
              <w:spacing w:line="500" w:lineRule="exact"/>
              <w:ind w:firstLine="420" w:firstLineChars="200"/>
              <w:rPr>
                <w:szCs w:val="21"/>
              </w:rPr>
            </w:pPr>
            <w:r>
              <w:rPr>
                <w:szCs w:val="21"/>
              </w:rPr>
              <w:t>B</w:t>
            </w:r>
            <w:r>
              <w:rPr>
                <w:rFonts w:hint="eastAsia"/>
                <w:szCs w:val="21"/>
                <w:lang w:eastAsia="zh-CN"/>
              </w:rPr>
              <w:t>.</w:t>
            </w:r>
            <w:r>
              <w:rPr>
                <w:szCs w:val="21"/>
              </w:rPr>
              <w:t>对照《关于印发</w:t>
            </w:r>
            <w:r>
              <w:rPr>
                <w:rFonts w:hint="eastAsia"/>
                <w:szCs w:val="21"/>
                <w:lang w:eastAsia="zh-CN"/>
              </w:rPr>
              <w:t>〈</w:t>
            </w:r>
            <w:r>
              <w:rPr>
                <w:szCs w:val="21"/>
              </w:rPr>
              <w:t>长江经济带发展负面清单指南</w:t>
            </w:r>
            <w:r>
              <w:rPr>
                <w:rFonts w:hint="eastAsia"/>
                <w:szCs w:val="21"/>
                <w:lang w:eastAsia="zh-CN"/>
              </w:rPr>
              <w:t>〉</w:t>
            </w:r>
            <w:r>
              <w:rPr>
                <w:szCs w:val="21"/>
              </w:rPr>
              <w:t>（试行，2022年版）江苏省实施细则的通知》（苏长江办发〔2022〕55号），本项目属于</w:t>
            </w:r>
            <w:r>
              <w:rPr>
                <w:rFonts w:hint="eastAsia"/>
                <w:lang w:eastAsia="zh-CN"/>
              </w:rPr>
              <w:t>固体废物治理</w:t>
            </w:r>
            <w:r>
              <w:rPr>
                <w:szCs w:val="21"/>
              </w:rPr>
              <w:t>，不在长江经济带发展负面清单指南江苏省实施细则条款提出的禁止范畴内，因此符合指导意见要求。</w:t>
            </w:r>
          </w:p>
          <w:p w14:paraId="38C3A2D7">
            <w:pPr>
              <w:spacing w:line="500" w:lineRule="exact"/>
              <w:jc w:val="center"/>
              <w:rPr>
                <w:b/>
                <w:bCs/>
                <w:szCs w:val="21"/>
              </w:rPr>
            </w:pPr>
            <w:r>
              <w:rPr>
                <w:b/>
                <w:bCs/>
                <w:szCs w:val="21"/>
              </w:rPr>
              <w:t>表1-</w:t>
            </w:r>
            <w:r>
              <w:rPr>
                <w:rFonts w:hint="eastAsia"/>
                <w:b/>
                <w:bCs/>
                <w:szCs w:val="21"/>
                <w:lang w:val="en-US" w:eastAsia="zh-CN"/>
              </w:rPr>
              <w:t>3</w:t>
            </w:r>
            <w:r>
              <w:rPr>
                <w:rFonts w:hint="eastAsia"/>
                <w:b/>
                <w:bCs/>
                <w:szCs w:val="21"/>
              </w:rPr>
              <w:t xml:space="preserve"> </w:t>
            </w:r>
            <w:r>
              <w:rPr>
                <w:b/>
                <w:bCs/>
                <w:szCs w:val="21"/>
              </w:rPr>
              <w:t>与《</w:t>
            </w:r>
            <w:r>
              <w:rPr>
                <w:rFonts w:hint="eastAsia"/>
                <w:b/>
                <w:bCs/>
                <w:szCs w:val="21"/>
                <w:lang w:eastAsia="zh-CN"/>
              </w:rPr>
              <w:t>〈</w:t>
            </w:r>
            <w:r>
              <w:rPr>
                <w:b/>
                <w:bCs/>
                <w:szCs w:val="21"/>
              </w:rPr>
              <w:t>长江经济带发展负面清单指南</w:t>
            </w:r>
            <w:r>
              <w:rPr>
                <w:rFonts w:hint="eastAsia"/>
                <w:b/>
                <w:bCs/>
                <w:szCs w:val="21"/>
                <w:lang w:eastAsia="zh-CN"/>
              </w:rPr>
              <w:t>〉</w:t>
            </w:r>
            <w:r>
              <w:rPr>
                <w:b/>
                <w:bCs/>
                <w:szCs w:val="21"/>
              </w:rPr>
              <w:t>江苏省实施细则</w:t>
            </w:r>
            <w:r>
              <w:rPr>
                <w:rFonts w:hint="eastAsia"/>
                <w:b/>
                <w:bCs/>
                <w:szCs w:val="21"/>
                <w:lang w:eastAsia="zh-CN"/>
              </w:rPr>
              <w:t>（</w:t>
            </w:r>
            <w:r>
              <w:rPr>
                <w:b/>
                <w:bCs/>
                <w:szCs w:val="21"/>
              </w:rPr>
              <w:t>试行</w:t>
            </w:r>
            <w:r>
              <w:rPr>
                <w:rFonts w:hint="eastAsia"/>
                <w:b/>
                <w:bCs/>
                <w:szCs w:val="21"/>
                <w:lang w:eastAsia="zh-CN"/>
              </w:rPr>
              <w:t>）</w:t>
            </w:r>
            <w:r>
              <w:rPr>
                <w:b/>
                <w:bCs/>
                <w:szCs w:val="21"/>
              </w:rPr>
              <w:t>》相符性分析</w:t>
            </w:r>
          </w:p>
          <w:tbl>
            <w:tblPr>
              <w:tblStyle w:val="1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5"/>
              <w:gridCol w:w="3556"/>
              <w:gridCol w:w="1727"/>
              <w:gridCol w:w="940"/>
            </w:tblGrid>
            <w:tr w14:paraId="336605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18A0D7F8">
                  <w:pPr>
                    <w:adjustRightInd w:val="0"/>
                    <w:snapToGrid w:val="0"/>
                    <w:jc w:val="center"/>
                    <w:rPr>
                      <w:b/>
                      <w:bCs/>
                      <w:sz w:val="18"/>
                      <w:szCs w:val="18"/>
                    </w:rPr>
                  </w:pPr>
                  <w:r>
                    <w:rPr>
                      <w:b/>
                      <w:bCs/>
                      <w:sz w:val="18"/>
                      <w:szCs w:val="18"/>
                    </w:rPr>
                    <w:t>序号</w:t>
                  </w:r>
                </w:p>
              </w:tc>
              <w:tc>
                <w:tcPr>
                  <w:tcW w:w="3556" w:type="dxa"/>
                  <w:vAlign w:val="center"/>
                </w:tcPr>
                <w:p w14:paraId="322F8ED9">
                  <w:pPr>
                    <w:adjustRightInd w:val="0"/>
                    <w:snapToGrid w:val="0"/>
                    <w:jc w:val="center"/>
                    <w:rPr>
                      <w:b/>
                      <w:bCs/>
                      <w:sz w:val="18"/>
                      <w:szCs w:val="18"/>
                    </w:rPr>
                  </w:pPr>
                  <w:r>
                    <w:rPr>
                      <w:b/>
                      <w:bCs/>
                      <w:sz w:val="18"/>
                      <w:szCs w:val="18"/>
                    </w:rPr>
                    <w:t>管控条款</w:t>
                  </w:r>
                </w:p>
              </w:tc>
              <w:tc>
                <w:tcPr>
                  <w:tcW w:w="1727" w:type="dxa"/>
                  <w:vAlign w:val="center"/>
                </w:tcPr>
                <w:p w14:paraId="5E9E6C6C">
                  <w:pPr>
                    <w:adjustRightInd w:val="0"/>
                    <w:snapToGrid w:val="0"/>
                    <w:jc w:val="center"/>
                    <w:rPr>
                      <w:b/>
                      <w:bCs/>
                      <w:sz w:val="18"/>
                      <w:szCs w:val="18"/>
                    </w:rPr>
                  </w:pPr>
                  <w:r>
                    <w:rPr>
                      <w:b/>
                      <w:bCs/>
                      <w:sz w:val="18"/>
                      <w:szCs w:val="18"/>
                    </w:rPr>
                    <w:t>本项目情况</w:t>
                  </w:r>
                </w:p>
              </w:tc>
              <w:tc>
                <w:tcPr>
                  <w:tcW w:w="940" w:type="dxa"/>
                  <w:vAlign w:val="center"/>
                </w:tcPr>
                <w:p w14:paraId="055C5298">
                  <w:pPr>
                    <w:adjustRightInd w:val="0"/>
                    <w:snapToGrid w:val="0"/>
                    <w:jc w:val="center"/>
                    <w:rPr>
                      <w:b/>
                      <w:bCs/>
                      <w:sz w:val="18"/>
                      <w:szCs w:val="18"/>
                    </w:rPr>
                  </w:pPr>
                  <w:r>
                    <w:rPr>
                      <w:b/>
                      <w:bCs/>
                      <w:sz w:val="18"/>
                      <w:szCs w:val="18"/>
                    </w:rPr>
                    <w:t>相符性</w:t>
                  </w:r>
                </w:p>
              </w:tc>
            </w:tr>
            <w:tr w14:paraId="7AFEF0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878" w:type="dxa"/>
                  <w:gridSpan w:val="4"/>
                  <w:vAlign w:val="center"/>
                </w:tcPr>
                <w:p w14:paraId="50B984DE">
                  <w:pPr>
                    <w:adjustRightInd w:val="0"/>
                    <w:snapToGrid w:val="0"/>
                    <w:jc w:val="center"/>
                    <w:rPr>
                      <w:b/>
                      <w:bCs/>
                      <w:sz w:val="18"/>
                      <w:szCs w:val="18"/>
                    </w:rPr>
                  </w:pPr>
                  <w:r>
                    <w:rPr>
                      <w:b/>
                      <w:bCs/>
                      <w:sz w:val="18"/>
                      <w:szCs w:val="18"/>
                    </w:rPr>
                    <w:t>一、河段利用与岸线开发</w:t>
                  </w:r>
                </w:p>
              </w:tc>
            </w:tr>
            <w:tr w14:paraId="1DD9E6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53606046">
                  <w:pPr>
                    <w:jc w:val="center"/>
                    <w:rPr>
                      <w:sz w:val="18"/>
                      <w:szCs w:val="18"/>
                    </w:rPr>
                  </w:pPr>
                  <w:r>
                    <w:rPr>
                      <w:sz w:val="18"/>
                      <w:szCs w:val="18"/>
                    </w:rPr>
                    <w:t>1</w:t>
                  </w:r>
                </w:p>
              </w:tc>
              <w:tc>
                <w:tcPr>
                  <w:tcW w:w="3556" w:type="dxa"/>
                  <w:vAlign w:val="center"/>
                </w:tcPr>
                <w:p w14:paraId="55D8DE51">
                  <w:pPr>
                    <w:jc w:val="left"/>
                    <w:rPr>
                      <w:sz w:val="18"/>
                      <w:szCs w:val="18"/>
                    </w:rPr>
                  </w:pPr>
                  <w:r>
                    <w:rPr>
                      <w:sz w:val="18"/>
                      <w:szCs w:val="18"/>
                    </w:rPr>
                    <w:t>禁止建设不符合国家港口布局规划和《江苏省沿江沿海港口布局规划（2015</w:t>
                  </w:r>
                  <w:r>
                    <w:rPr>
                      <w:rFonts w:hint="eastAsia"/>
                      <w:sz w:val="18"/>
                      <w:szCs w:val="18"/>
                      <w:lang w:eastAsia="zh-CN"/>
                    </w:rPr>
                    <w:t>—</w:t>
                  </w:r>
                  <w:r>
                    <w:rPr>
                      <w:sz w:val="18"/>
                      <w:szCs w:val="18"/>
                    </w:rPr>
                    <w:t>2030年）》《江苏省内河港口布局规划（2017</w:t>
                  </w:r>
                  <w:r>
                    <w:rPr>
                      <w:rFonts w:hint="eastAsia"/>
                      <w:sz w:val="18"/>
                      <w:szCs w:val="18"/>
                      <w:lang w:eastAsia="zh-CN"/>
                    </w:rPr>
                    <w:t>—</w:t>
                  </w:r>
                  <w:r>
                    <w:rPr>
                      <w:sz w:val="18"/>
                      <w:szCs w:val="18"/>
                    </w:rPr>
                    <w:t>2035年）》以及我省有关港口总体规划的码头项目，禁止建设未纳入《长江干线过江通道布局规划》的过长江通道项目。</w:t>
                  </w:r>
                </w:p>
              </w:tc>
              <w:tc>
                <w:tcPr>
                  <w:tcW w:w="1727" w:type="dxa"/>
                  <w:vAlign w:val="center"/>
                </w:tcPr>
                <w:p w14:paraId="4DC43C59">
                  <w:pPr>
                    <w:rPr>
                      <w:sz w:val="18"/>
                      <w:szCs w:val="18"/>
                    </w:rPr>
                  </w:pPr>
                  <w:r>
                    <w:rPr>
                      <w:sz w:val="18"/>
                      <w:szCs w:val="18"/>
                    </w:rPr>
                    <w:t>项目不属于码头及过长江干线通道项目。</w:t>
                  </w:r>
                </w:p>
              </w:tc>
              <w:tc>
                <w:tcPr>
                  <w:tcW w:w="940" w:type="dxa"/>
                  <w:vAlign w:val="center"/>
                </w:tcPr>
                <w:p w14:paraId="3860A797">
                  <w:pPr>
                    <w:jc w:val="center"/>
                    <w:rPr>
                      <w:sz w:val="18"/>
                      <w:szCs w:val="18"/>
                    </w:rPr>
                  </w:pPr>
                  <w:r>
                    <w:rPr>
                      <w:sz w:val="18"/>
                      <w:szCs w:val="18"/>
                    </w:rPr>
                    <w:t>相符</w:t>
                  </w:r>
                </w:p>
              </w:tc>
            </w:tr>
            <w:tr w14:paraId="72C865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654BDA89">
                  <w:pPr>
                    <w:jc w:val="center"/>
                    <w:rPr>
                      <w:sz w:val="18"/>
                      <w:szCs w:val="18"/>
                    </w:rPr>
                  </w:pPr>
                  <w:r>
                    <w:rPr>
                      <w:sz w:val="18"/>
                      <w:szCs w:val="18"/>
                    </w:rPr>
                    <w:t>2</w:t>
                  </w:r>
                </w:p>
              </w:tc>
              <w:tc>
                <w:tcPr>
                  <w:tcW w:w="3556" w:type="dxa"/>
                  <w:vAlign w:val="center"/>
                </w:tcPr>
                <w:p w14:paraId="4BC45938">
                  <w:pPr>
                    <w:rPr>
                      <w:sz w:val="18"/>
                      <w:szCs w:val="18"/>
                    </w:rPr>
                  </w:pPr>
                  <w:r>
                    <w:rPr>
                      <w:sz w:val="18"/>
                      <w:szCs w:val="18"/>
                    </w:rPr>
                    <w:t>严格执行《中华人民共和国自然保护区条例》，禁止在自然保护区核心区、缓冲区的岸线和河段范围内投资建设旅游和生产经营项目。严格执行《风景名胜区条例》《江苏省风景名胜区管理条例》，禁止在国家级和省级风景名胜区核心景区的岸线和河段范围内投资建设与风景名胜资源保护无关的项目。</w:t>
                  </w:r>
                </w:p>
              </w:tc>
              <w:tc>
                <w:tcPr>
                  <w:tcW w:w="1727" w:type="dxa"/>
                  <w:vAlign w:val="center"/>
                </w:tcPr>
                <w:p w14:paraId="50DC16AD">
                  <w:pPr>
                    <w:adjustRightInd w:val="0"/>
                    <w:snapToGrid w:val="0"/>
                    <w:rPr>
                      <w:sz w:val="18"/>
                      <w:szCs w:val="18"/>
                    </w:rPr>
                  </w:pPr>
                  <w:r>
                    <w:rPr>
                      <w:sz w:val="18"/>
                      <w:szCs w:val="18"/>
                    </w:rPr>
                    <w:t>项目位于</w:t>
                  </w:r>
                  <w:r>
                    <w:rPr>
                      <w:rFonts w:hint="eastAsia"/>
                      <w:sz w:val="18"/>
                      <w:szCs w:val="18"/>
                    </w:rPr>
                    <w:t>南通市启东市启东生命健康产业园常州路38号</w:t>
                  </w:r>
                  <w:r>
                    <w:rPr>
                      <w:sz w:val="18"/>
                      <w:szCs w:val="18"/>
                    </w:rPr>
                    <w:t>，项目位置不属于自然保护核心区、缓冲区，也不属于国家级和省级风景名胜区核心景区的岸线和河段。</w:t>
                  </w:r>
                </w:p>
              </w:tc>
              <w:tc>
                <w:tcPr>
                  <w:tcW w:w="940" w:type="dxa"/>
                  <w:vAlign w:val="center"/>
                </w:tcPr>
                <w:p w14:paraId="2C02D2D3">
                  <w:pPr>
                    <w:jc w:val="center"/>
                    <w:rPr>
                      <w:sz w:val="18"/>
                      <w:szCs w:val="18"/>
                    </w:rPr>
                  </w:pPr>
                  <w:r>
                    <w:rPr>
                      <w:sz w:val="18"/>
                      <w:szCs w:val="18"/>
                    </w:rPr>
                    <w:t>相符</w:t>
                  </w:r>
                </w:p>
              </w:tc>
            </w:tr>
            <w:tr w14:paraId="456674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443AFC7B">
                  <w:pPr>
                    <w:jc w:val="center"/>
                    <w:rPr>
                      <w:sz w:val="18"/>
                      <w:szCs w:val="18"/>
                    </w:rPr>
                  </w:pPr>
                  <w:r>
                    <w:rPr>
                      <w:sz w:val="18"/>
                      <w:szCs w:val="18"/>
                    </w:rPr>
                    <w:t>3</w:t>
                  </w:r>
                </w:p>
              </w:tc>
              <w:tc>
                <w:tcPr>
                  <w:tcW w:w="3556" w:type="dxa"/>
                  <w:vAlign w:val="center"/>
                </w:tcPr>
                <w:p w14:paraId="1B53AE43">
                  <w:pPr>
                    <w:rPr>
                      <w:sz w:val="18"/>
                      <w:szCs w:val="18"/>
                    </w:rPr>
                  </w:pPr>
                  <w:r>
                    <w:rPr>
                      <w:sz w:val="18"/>
                      <w:szCs w:val="18"/>
                    </w:rPr>
                    <w:t>严格执行《中华人民共和国水污染防治法》《江苏省人民代表大会常务委员会关于加强饮用水源地保护的决定》《江苏省水污染防治条例》，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禁止在饮用水水源准保护区的岸线和河道范围内新建、扩建对水体污染严重的投资建设项目，改建项目应当消减排污量。</w:t>
                  </w:r>
                </w:p>
              </w:tc>
              <w:tc>
                <w:tcPr>
                  <w:tcW w:w="1727" w:type="dxa"/>
                  <w:vAlign w:val="center"/>
                </w:tcPr>
                <w:p w14:paraId="2EA4C16A">
                  <w:pPr>
                    <w:adjustRightInd w:val="0"/>
                    <w:snapToGrid w:val="0"/>
                    <w:rPr>
                      <w:sz w:val="18"/>
                      <w:szCs w:val="18"/>
                    </w:rPr>
                  </w:pPr>
                  <w:r>
                    <w:rPr>
                      <w:sz w:val="18"/>
                      <w:szCs w:val="18"/>
                    </w:rPr>
                    <w:t>项目所在区域不在饮用水源一级和二级保护区范围。</w:t>
                  </w:r>
                </w:p>
              </w:tc>
              <w:tc>
                <w:tcPr>
                  <w:tcW w:w="940" w:type="dxa"/>
                  <w:vAlign w:val="center"/>
                </w:tcPr>
                <w:p w14:paraId="33966587">
                  <w:pPr>
                    <w:jc w:val="center"/>
                    <w:rPr>
                      <w:sz w:val="18"/>
                      <w:szCs w:val="18"/>
                    </w:rPr>
                  </w:pPr>
                  <w:r>
                    <w:rPr>
                      <w:sz w:val="18"/>
                      <w:szCs w:val="18"/>
                    </w:rPr>
                    <w:t>相符</w:t>
                  </w:r>
                </w:p>
              </w:tc>
            </w:tr>
            <w:tr w14:paraId="3B8E2E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6B59DFBC">
                  <w:pPr>
                    <w:jc w:val="center"/>
                    <w:rPr>
                      <w:sz w:val="18"/>
                      <w:szCs w:val="18"/>
                    </w:rPr>
                  </w:pPr>
                  <w:r>
                    <w:rPr>
                      <w:sz w:val="18"/>
                      <w:szCs w:val="18"/>
                    </w:rPr>
                    <w:t>4</w:t>
                  </w:r>
                </w:p>
              </w:tc>
              <w:tc>
                <w:tcPr>
                  <w:tcW w:w="3556" w:type="dxa"/>
                  <w:vAlign w:val="center"/>
                </w:tcPr>
                <w:p w14:paraId="163ECB30">
                  <w:pPr>
                    <w:rPr>
                      <w:sz w:val="18"/>
                      <w:szCs w:val="18"/>
                    </w:rPr>
                  </w:pPr>
                  <w:r>
                    <w:rPr>
                      <w:sz w:val="18"/>
                      <w:szCs w:val="18"/>
                    </w:rPr>
                    <w:t>严格执行《水产种质资源保护区管理暂行办法》，禁止在国家级和省级水产种质资源保护区的岸线和河段范围内新建排污口，以及围湖造田、围海造地或围填海等投资建设项目。严格执行《中华人民共和国湿地保护法》《江苏省湿地保护条例》，禁止在国家湿地公园的岸线和河段范围内挖沙、采矿，以及任何不符合主体功能定位的投资建设项目。</w:t>
                  </w:r>
                </w:p>
              </w:tc>
              <w:tc>
                <w:tcPr>
                  <w:tcW w:w="1727" w:type="dxa"/>
                  <w:vAlign w:val="center"/>
                </w:tcPr>
                <w:p w14:paraId="31861E19">
                  <w:pPr>
                    <w:adjustRightInd w:val="0"/>
                    <w:snapToGrid w:val="0"/>
                    <w:rPr>
                      <w:sz w:val="18"/>
                      <w:szCs w:val="18"/>
                    </w:rPr>
                  </w:pPr>
                  <w:r>
                    <w:rPr>
                      <w:sz w:val="18"/>
                      <w:szCs w:val="18"/>
                    </w:rPr>
                    <w:t>项目所在区域不在国家级或省级水产种质资源保护区范围内，也不在国家湿地公园的岸线和河段范围内。</w:t>
                  </w:r>
                </w:p>
                <w:p w14:paraId="6BB768B8">
                  <w:pPr>
                    <w:adjustRightInd w:val="0"/>
                    <w:snapToGrid w:val="0"/>
                    <w:rPr>
                      <w:sz w:val="18"/>
                      <w:szCs w:val="18"/>
                    </w:rPr>
                  </w:pPr>
                </w:p>
              </w:tc>
              <w:tc>
                <w:tcPr>
                  <w:tcW w:w="940" w:type="dxa"/>
                  <w:vAlign w:val="center"/>
                </w:tcPr>
                <w:p w14:paraId="0EAABCCB">
                  <w:pPr>
                    <w:jc w:val="center"/>
                    <w:rPr>
                      <w:sz w:val="18"/>
                      <w:szCs w:val="18"/>
                    </w:rPr>
                  </w:pPr>
                  <w:r>
                    <w:rPr>
                      <w:sz w:val="18"/>
                      <w:szCs w:val="18"/>
                    </w:rPr>
                    <w:t>相符</w:t>
                  </w:r>
                </w:p>
              </w:tc>
            </w:tr>
            <w:tr w14:paraId="45DA24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2" w:hRule="atLeast"/>
                <w:jc w:val="center"/>
              </w:trPr>
              <w:tc>
                <w:tcPr>
                  <w:tcW w:w="655" w:type="dxa"/>
                  <w:vAlign w:val="center"/>
                </w:tcPr>
                <w:p w14:paraId="41A2EB67">
                  <w:pPr>
                    <w:jc w:val="center"/>
                    <w:rPr>
                      <w:sz w:val="18"/>
                      <w:szCs w:val="18"/>
                    </w:rPr>
                  </w:pPr>
                  <w:r>
                    <w:rPr>
                      <w:sz w:val="18"/>
                      <w:szCs w:val="18"/>
                    </w:rPr>
                    <w:t>5</w:t>
                  </w:r>
                </w:p>
              </w:tc>
              <w:tc>
                <w:tcPr>
                  <w:tcW w:w="3556" w:type="dxa"/>
                  <w:vAlign w:val="center"/>
                </w:tcPr>
                <w:p w14:paraId="6EFFE1A5">
                  <w:pPr>
                    <w:rPr>
                      <w:sz w:val="18"/>
                      <w:szCs w:val="18"/>
                    </w:rPr>
                  </w:pPr>
                  <w:r>
                    <w:rPr>
                      <w:sz w:val="18"/>
                      <w:szCs w:val="18"/>
                    </w:rPr>
                    <w:t>禁止违法利用、占用长江流域河湖岸线。禁止在《长江岸线保护和开发利用总体规划》划定的岸线保护区和保留区内投资建设除事关公共安全及公共利益的防洪护岸、河道治理、供水、生态环境保护、航道整治、国家重要基础设施以外的项目。长江干支流基础设施项目应按照《长江岸线保护和开发利用总体规划》和生态环境保护、岸线保护等要求，按规定开展项目前期论证并办理相关手续。禁止在《全国重要江河湖泊水功能区划》划定的河段及湖泊保护区、保留区内投资建设不利于水资源及自然生态保护的项目。</w:t>
                  </w:r>
                </w:p>
              </w:tc>
              <w:tc>
                <w:tcPr>
                  <w:tcW w:w="1727" w:type="dxa"/>
                  <w:vAlign w:val="center"/>
                </w:tcPr>
                <w:p w14:paraId="09081D64">
                  <w:pPr>
                    <w:adjustRightInd w:val="0"/>
                    <w:snapToGrid w:val="0"/>
                    <w:rPr>
                      <w:sz w:val="18"/>
                      <w:szCs w:val="18"/>
                    </w:rPr>
                  </w:pPr>
                  <w:r>
                    <w:rPr>
                      <w:sz w:val="18"/>
                      <w:szCs w:val="18"/>
                    </w:rPr>
                    <w:t>项目不在《长江岸线保护和开发利用总体规划》范围内。</w:t>
                  </w:r>
                </w:p>
              </w:tc>
              <w:tc>
                <w:tcPr>
                  <w:tcW w:w="940" w:type="dxa"/>
                  <w:vAlign w:val="center"/>
                </w:tcPr>
                <w:p w14:paraId="36D07FC8">
                  <w:pPr>
                    <w:jc w:val="center"/>
                    <w:rPr>
                      <w:sz w:val="18"/>
                      <w:szCs w:val="18"/>
                    </w:rPr>
                  </w:pPr>
                  <w:r>
                    <w:rPr>
                      <w:sz w:val="18"/>
                      <w:szCs w:val="18"/>
                    </w:rPr>
                    <w:t>相符</w:t>
                  </w:r>
                </w:p>
              </w:tc>
            </w:tr>
            <w:tr w14:paraId="2ECDDC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3E9D7576">
                  <w:pPr>
                    <w:jc w:val="center"/>
                    <w:rPr>
                      <w:sz w:val="18"/>
                      <w:szCs w:val="18"/>
                    </w:rPr>
                  </w:pPr>
                  <w:r>
                    <w:rPr>
                      <w:sz w:val="18"/>
                      <w:szCs w:val="18"/>
                    </w:rPr>
                    <w:t>6</w:t>
                  </w:r>
                </w:p>
              </w:tc>
              <w:tc>
                <w:tcPr>
                  <w:tcW w:w="3556" w:type="dxa"/>
                  <w:vAlign w:val="center"/>
                </w:tcPr>
                <w:p w14:paraId="33B6BE79">
                  <w:pPr>
                    <w:rPr>
                      <w:sz w:val="18"/>
                      <w:szCs w:val="18"/>
                    </w:rPr>
                  </w:pPr>
                  <w:r>
                    <w:rPr>
                      <w:sz w:val="18"/>
                      <w:szCs w:val="18"/>
                    </w:rPr>
                    <w:t>禁止未经许可在长江干支流及湖泊新设、改设或扩大排污口。</w:t>
                  </w:r>
                </w:p>
              </w:tc>
              <w:tc>
                <w:tcPr>
                  <w:tcW w:w="1727" w:type="dxa"/>
                  <w:vAlign w:val="center"/>
                </w:tcPr>
                <w:p w14:paraId="4838618D">
                  <w:pPr>
                    <w:rPr>
                      <w:sz w:val="18"/>
                      <w:szCs w:val="18"/>
                    </w:rPr>
                  </w:pPr>
                  <w:r>
                    <w:rPr>
                      <w:sz w:val="18"/>
                      <w:szCs w:val="18"/>
                    </w:rPr>
                    <w:t>本项目位于</w:t>
                  </w:r>
                  <w:r>
                    <w:rPr>
                      <w:rFonts w:hint="eastAsia"/>
                      <w:sz w:val="18"/>
                      <w:szCs w:val="18"/>
                    </w:rPr>
                    <w:t>南通市启东市启东生命健康产业园常州路38号</w:t>
                  </w:r>
                  <w:r>
                    <w:rPr>
                      <w:sz w:val="18"/>
                      <w:szCs w:val="18"/>
                    </w:rPr>
                    <w:t>，不在长江干支流及湖泊旁，且项目为间接排放。</w:t>
                  </w:r>
                </w:p>
              </w:tc>
              <w:tc>
                <w:tcPr>
                  <w:tcW w:w="940" w:type="dxa"/>
                  <w:vAlign w:val="center"/>
                </w:tcPr>
                <w:p w14:paraId="1050E375">
                  <w:pPr>
                    <w:jc w:val="center"/>
                    <w:rPr>
                      <w:sz w:val="18"/>
                      <w:szCs w:val="18"/>
                    </w:rPr>
                  </w:pPr>
                  <w:r>
                    <w:rPr>
                      <w:sz w:val="18"/>
                      <w:szCs w:val="18"/>
                    </w:rPr>
                    <w:t>相符</w:t>
                  </w:r>
                </w:p>
              </w:tc>
            </w:tr>
            <w:tr w14:paraId="3D1EA9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78" w:type="dxa"/>
                  <w:gridSpan w:val="4"/>
                  <w:vAlign w:val="center"/>
                </w:tcPr>
                <w:p w14:paraId="4416A01A">
                  <w:pPr>
                    <w:jc w:val="center"/>
                    <w:rPr>
                      <w:sz w:val="18"/>
                      <w:szCs w:val="18"/>
                    </w:rPr>
                  </w:pPr>
                  <w:r>
                    <w:rPr>
                      <w:b/>
                      <w:bCs/>
                      <w:sz w:val="18"/>
                      <w:szCs w:val="18"/>
                    </w:rPr>
                    <w:t>二、区域活动</w:t>
                  </w:r>
                </w:p>
              </w:tc>
            </w:tr>
            <w:tr w14:paraId="57752A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14A0D10E">
                  <w:pPr>
                    <w:jc w:val="center"/>
                    <w:rPr>
                      <w:sz w:val="18"/>
                      <w:szCs w:val="18"/>
                    </w:rPr>
                  </w:pPr>
                  <w:r>
                    <w:rPr>
                      <w:sz w:val="18"/>
                      <w:szCs w:val="18"/>
                    </w:rPr>
                    <w:t>7</w:t>
                  </w:r>
                </w:p>
              </w:tc>
              <w:tc>
                <w:tcPr>
                  <w:tcW w:w="3556" w:type="dxa"/>
                  <w:vAlign w:val="center"/>
                </w:tcPr>
                <w:p w14:paraId="5DB4606D">
                  <w:pPr>
                    <w:rPr>
                      <w:sz w:val="18"/>
                      <w:szCs w:val="18"/>
                    </w:rPr>
                  </w:pPr>
                  <w:r>
                    <w:rPr>
                      <w:sz w:val="18"/>
                      <w:szCs w:val="18"/>
                    </w:rPr>
                    <w:t>禁止长江干流、长江口、34个列入《率先全面禁捕的长江流域水生生物保护区名录》的水生生物保护区以及省规定的其他禁渔水域开展生产性捕捞。</w:t>
                  </w:r>
                </w:p>
              </w:tc>
              <w:tc>
                <w:tcPr>
                  <w:tcW w:w="1727" w:type="dxa"/>
                  <w:vAlign w:val="center"/>
                </w:tcPr>
                <w:p w14:paraId="0A8B50F5">
                  <w:pPr>
                    <w:rPr>
                      <w:sz w:val="18"/>
                      <w:szCs w:val="18"/>
                    </w:rPr>
                  </w:pPr>
                  <w:r>
                    <w:rPr>
                      <w:sz w:val="18"/>
                      <w:szCs w:val="18"/>
                    </w:rPr>
                    <w:t>项目不涉及生产性捕捞。</w:t>
                  </w:r>
                </w:p>
              </w:tc>
              <w:tc>
                <w:tcPr>
                  <w:tcW w:w="940" w:type="dxa"/>
                  <w:vAlign w:val="center"/>
                </w:tcPr>
                <w:p w14:paraId="540C6740">
                  <w:pPr>
                    <w:jc w:val="center"/>
                    <w:rPr>
                      <w:sz w:val="18"/>
                      <w:szCs w:val="18"/>
                    </w:rPr>
                  </w:pPr>
                  <w:r>
                    <w:rPr>
                      <w:sz w:val="18"/>
                      <w:szCs w:val="18"/>
                    </w:rPr>
                    <w:t>相符</w:t>
                  </w:r>
                </w:p>
              </w:tc>
            </w:tr>
            <w:tr w14:paraId="231E07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707BA1DE">
                  <w:pPr>
                    <w:jc w:val="center"/>
                    <w:rPr>
                      <w:sz w:val="18"/>
                      <w:szCs w:val="18"/>
                    </w:rPr>
                  </w:pPr>
                  <w:r>
                    <w:rPr>
                      <w:sz w:val="18"/>
                      <w:szCs w:val="18"/>
                    </w:rPr>
                    <w:t>8</w:t>
                  </w:r>
                </w:p>
              </w:tc>
              <w:tc>
                <w:tcPr>
                  <w:tcW w:w="3556" w:type="dxa"/>
                  <w:vAlign w:val="center"/>
                </w:tcPr>
                <w:p w14:paraId="53B3DB70">
                  <w:pPr>
                    <w:rPr>
                      <w:sz w:val="18"/>
                      <w:szCs w:val="18"/>
                    </w:rPr>
                  </w:pPr>
                  <w:r>
                    <w:rPr>
                      <w:sz w:val="18"/>
                      <w:szCs w:val="18"/>
                    </w:rPr>
                    <w:t>禁止在距离长江干支流岸线一公里范围内新建、扩建化工园区和化工项目。长江干支流一公里按照长江干支流岸线边界（即水利部门河道管理范围边界）向陆域纵深一公里执行。</w:t>
                  </w:r>
                </w:p>
              </w:tc>
              <w:tc>
                <w:tcPr>
                  <w:tcW w:w="1727" w:type="dxa"/>
                  <w:vAlign w:val="center"/>
                </w:tcPr>
                <w:p w14:paraId="118B73D0">
                  <w:pPr>
                    <w:rPr>
                      <w:sz w:val="18"/>
                      <w:szCs w:val="18"/>
                    </w:rPr>
                  </w:pPr>
                  <w:r>
                    <w:rPr>
                      <w:sz w:val="18"/>
                      <w:szCs w:val="18"/>
                    </w:rPr>
                    <w:t>项目位于</w:t>
                  </w:r>
                  <w:r>
                    <w:rPr>
                      <w:rFonts w:hint="eastAsia"/>
                      <w:sz w:val="18"/>
                      <w:szCs w:val="18"/>
                    </w:rPr>
                    <w:t>南通市启东市启东生命健康产业园常州路38号</w:t>
                  </w:r>
                  <w:r>
                    <w:rPr>
                      <w:sz w:val="18"/>
                      <w:szCs w:val="18"/>
                    </w:rPr>
                    <w:t>，不在长江干支流、重要湖泊岸线一公里范围内。</w:t>
                  </w:r>
                </w:p>
              </w:tc>
              <w:tc>
                <w:tcPr>
                  <w:tcW w:w="940" w:type="dxa"/>
                  <w:vAlign w:val="center"/>
                </w:tcPr>
                <w:p w14:paraId="6A64A0FA">
                  <w:pPr>
                    <w:jc w:val="center"/>
                    <w:rPr>
                      <w:sz w:val="18"/>
                      <w:szCs w:val="18"/>
                    </w:rPr>
                  </w:pPr>
                  <w:r>
                    <w:rPr>
                      <w:sz w:val="18"/>
                      <w:szCs w:val="18"/>
                    </w:rPr>
                    <w:t>相符</w:t>
                  </w:r>
                </w:p>
              </w:tc>
            </w:tr>
            <w:tr w14:paraId="0EE589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23CA6786">
                  <w:pPr>
                    <w:jc w:val="center"/>
                    <w:rPr>
                      <w:sz w:val="18"/>
                      <w:szCs w:val="18"/>
                    </w:rPr>
                  </w:pPr>
                  <w:r>
                    <w:rPr>
                      <w:sz w:val="18"/>
                      <w:szCs w:val="18"/>
                    </w:rPr>
                    <w:t>9</w:t>
                  </w:r>
                </w:p>
              </w:tc>
              <w:tc>
                <w:tcPr>
                  <w:tcW w:w="3556" w:type="dxa"/>
                  <w:vAlign w:val="center"/>
                </w:tcPr>
                <w:p w14:paraId="614B2556">
                  <w:pPr>
                    <w:rPr>
                      <w:sz w:val="18"/>
                      <w:szCs w:val="18"/>
                    </w:rPr>
                  </w:pPr>
                  <w:r>
                    <w:rPr>
                      <w:sz w:val="18"/>
                      <w:szCs w:val="18"/>
                    </w:rPr>
                    <w:t>禁止在长江干流岸线三公里范围内新建、改建、扩建尾矿库、冶炼渣库和磷石膏库，以提升安全、生态环境保护水平为目的的改建除外。</w:t>
                  </w:r>
                </w:p>
              </w:tc>
              <w:tc>
                <w:tcPr>
                  <w:tcW w:w="1727" w:type="dxa"/>
                  <w:vAlign w:val="center"/>
                </w:tcPr>
                <w:p w14:paraId="29A88302">
                  <w:pPr>
                    <w:rPr>
                      <w:sz w:val="18"/>
                      <w:szCs w:val="18"/>
                    </w:rPr>
                  </w:pPr>
                  <w:r>
                    <w:rPr>
                      <w:sz w:val="18"/>
                      <w:szCs w:val="18"/>
                    </w:rPr>
                    <w:t>项目不涉及尾矿库、冶炼渣库和磷石膏库。</w:t>
                  </w:r>
                </w:p>
              </w:tc>
              <w:tc>
                <w:tcPr>
                  <w:tcW w:w="940" w:type="dxa"/>
                  <w:vAlign w:val="center"/>
                </w:tcPr>
                <w:p w14:paraId="72555E97">
                  <w:pPr>
                    <w:jc w:val="center"/>
                    <w:rPr>
                      <w:sz w:val="18"/>
                      <w:szCs w:val="18"/>
                    </w:rPr>
                  </w:pPr>
                  <w:r>
                    <w:rPr>
                      <w:sz w:val="18"/>
                      <w:szCs w:val="18"/>
                    </w:rPr>
                    <w:t>相符</w:t>
                  </w:r>
                </w:p>
              </w:tc>
            </w:tr>
            <w:tr w14:paraId="412304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4924E3B5">
                  <w:pPr>
                    <w:jc w:val="center"/>
                    <w:rPr>
                      <w:sz w:val="18"/>
                      <w:szCs w:val="18"/>
                    </w:rPr>
                  </w:pPr>
                  <w:r>
                    <w:rPr>
                      <w:sz w:val="18"/>
                      <w:szCs w:val="18"/>
                    </w:rPr>
                    <w:t>10</w:t>
                  </w:r>
                </w:p>
              </w:tc>
              <w:tc>
                <w:tcPr>
                  <w:tcW w:w="3556" w:type="dxa"/>
                  <w:vAlign w:val="center"/>
                </w:tcPr>
                <w:p w14:paraId="185DE091">
                  <w:pPr>
                    <w:rPr>
                      <w:sz w:val="18"/>
                      <w:szCs w:val="18"/>
                    </w:rPr>
                  </w:pPr>
                  <w:r>
                    <w:rPr>
                      <w:sz w:val="18"/>
                      <w:szCs w:val="18"/>
                    </w:rPr>
                    <w:t>禁止在太湖流域一、二、三级保护区内开展《江苏省太湖水污染防治条例》禁止的投资建设活动。</w:t>
                  </w:r>
                </w:p>
              </w:tc>
              <w:tc>
                <w:tcPr>
                  <w:tcW w:w="1727" w:type="dxa"/>
                  <w:vAlign w:val="center"/>
                </w:tcPr>
                <w:p w14:paraId="6FDBF7EA">
                  <w:pPr>
                    <w:rPr>
                      <w:sz w:val="18"/>
                      <w:szCs w:val="18"/>
                    </w:rPr>
                  </w:pPr>
                  <w:r>
                    <w:rPr>
                      <w:sz w:val="18"/>
                      <w:szCs w:val="18"/>
                    </w:rPr>
                    <w:t>项目位于</w:t>
                  </w:r>
                  <w:r>
                    <w:rPr>
                      <w:rFonts w:hint="eastAsia"/>
                      <w:sz w:val="18"/>
                      <w:szCs w:val="18"/>
                    </w:rPr>
                    <w:t>南通市启东市启东生命健康产业园常州路38号</w:t>
                  </w:r>
                  <w:r>
                    <w:rPr>
                      <w:sz w:val="18"/>
                      <w:szCs w:val="18"/>
                    </w:rPr>
                    <w:t>，不在太湖流域内。</w:t>
                  </w:r>
                </w:p>
              </w:tc>
              <w:tc>
                <w:tcPr>
                  <w:tcW w:w="940" w:type="dxa"/>
                  <w:vAlign w:val="center"/>
                </w:tcPr>
                <w:p w14:paraId="5542ECBB">
                  <w:pPr>
                    <w:jc w:val="center"/>
                    <w:rPr>
                      <w:sz w:val="18"/>
                      <w:szCs w:val="18"/>
                    </w:rPr>
                  </w:pPr>
                  <w:r>
                    <w:rPr>
                      <w:sz w:val="18"/>
                      <w:szCs w:val="18"/>
                    </w:rPr>
                    <w:t>相符</w:t>
                  </w:r>
                </w:p>
              </w:tc>
            </w:tr>
            <w:tr w14:paraId="3B2065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65ED16FF">
                  <w:pPr>
                    <w:jc w:val="center"/>
                    <w:rPr>
                      <w:sz w:val="18"/>
                      <w:szCs w:val="18"/>
                    </w:rPr>
                  </w:pPr>
                  <w:r>
                    <w:rPr>
                      <w:sz w:val="18"/>
                      <w:szCs w:val="18"/>
                    </w:rPr>
                    <w:t>11</w:t>
                  </w:r>
                </w:p>
              </w:tc>
              <w:tc>
                <w:tcPr>
                  <w:tcW w:w="3556" w:type="dxa"/>
                  <w:vAlign w:val="center"/>
                </w:tcPr>
                <w:p w14:paraId="77006846">
                  <w:pPr>
                    <w:rPr>
                      <w:sz w:val="18"/>
                      <w:szCs w:val="18"/>
                    </w:rPr>
                  </w:pPr>
                  <w:r>
                    <w:rPr>
                      <w:sz w:val="18"/>
                      <w:szCs w:val="18"/>
                    </w:rPr>
                    <w:t>禁止在沿江地区新建、扩建未纳入国家和省布局规划的燃煤发电项目。</w:t>
                  </w:r>
                </w:p>
              </w:tc>
              <w:tc>
                <w:tcPr>
                  <w:tcW w:w="1727" w:type="dxa"/>
                  <w:vAlign w:val="center"/>
                </w:tcPr>
                <w:p w14:paraId="7B9C2E0E">
                  <w:pPr>
                    <w:rPr>
                      <w:sz w:val="18"/>
                      <w:szCs w:val="18"/>
                    </w:rPr>
                  </w:pPr>
                  <w:r>
                    <w:rPr>
                      <w:sz w:val="18"/>
                      <w:szCs w:val="18"/>
                    </w:rPr>
                    <w:t>项目不属于燃煤发电项目。</w:t>
                  </w:r>
                </w:p>
              </w:tc>
              <w:tc>
                <w:tcPr>
                  <w:tcW w:w="940" w:type="dxa"/>
                  <w:vAlign w:val="center"/>
                </w:tcPr>
                <w:p w14:paraId="0ACCDAB9">
                  <w:pPr>
                    <w:jc w:val="center"/>
                    <w:rPr>
                      <w:sz w:val="18"/>
                      <w:szCs w:val="18"/>
                    </w:rPr>
                  </w:pPr>
                  <w:r>
                    <w:rPr>
                      <w:sz w:val="18"/>
                      <w:szCs w:val="18"/>
                    </w:rPr>
                    <w:t>相符</w:t>
                  </w:r>
                </w:p>
              </w:tc>
            </w:tr>
            <w:tr w14:paraId="595895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66162DB5">
                  <w:pPr>
                    <w:jc w:val="center"/>
                    <w:rPr>
                      <w:sz w:val="18"/>
                      <w:szCs w:val="18"/>
                    </w:rPr>
                  </w:pPr>
                  <w:r>
                    <w:rPr>
                      <w:sz w:val="18"/>
                      <w:szCs w:val="18"/>
                    </w:rPr>
                    <w:t>12</w:t>
                  </w:r>
                </w:p>
              </w:tc>
              <w:tc>
                <w:tcPr>
                  <w:tcW w:w="3556" w:type="dxa"/>
                  <w:vAlign w:val="center"/>
                </w:tcPr>
                <w:p w14:paraId="5DBFA363">
                  <w:pPr>
                    <w:rPr>
                      <w:sz w:val="18"/>
                      <w:szCs w:val="18"/>
                    </w:rPr>
                  </w:pPr>
                  <w:r>
                    <w:rPr>
                      <w:sz w:val="18"/>
                      <w:szCs w:val="18"/>
                    </w:rPr>
                    <w:t>禁止在合规园区外新建、扩建钢铁、石化、化工、焦化、建材、有色、制浆造纸等高污染项目。合规园区名录按照《</w:t>
                  </w:r>
                  <w:r>
                    <w:rPr>
                      <w:rFonts w:hint="eastAsia"/>
                      <w:sz w:val="18"/>
                      <w:szCs w:val="18"/>
                      <w:lang w:eastAsia="zh-CN"/>
                    </w:rPr>
                    <w:t>〈</w:t>
                  </w:r>
                  <w:r>
                    <w:rPr>
                      <w:sz w:val="18"/>
                      <w:szCs w:val="18"/>
                    </w:rPr>
                    <w:t>长江经济带发展负面清单指南（试行，2022年版）江苏省实施细则合规园区名录》执行</w:t>
                  </w:r>
                </w:p>
              </w:tc>
              <w:tc>
                <w:tcPr>
                  <w:tcW w:w="1727" w:type="dxa"/>
                  <w:vAlign w:val="center"/>
                </w:tcPr>
                <w:p w14:paraId="31287EF0">
                  <w:pPr>
                    <w:rPr>
                      <w:sz w:val="18"/>
                      <w:szCs w:val="18"/>
                    </w:rPr>
                  </w:pPr>
                  <w:r>
                    <w:rPr>
                      <w:sz w:val="18"/>
                      <w:szCs w:val="18"/>
                    </w:rPr>
                    <w:t>项目不属于钢铁、石化、化工、焦化、建材、有色、制浆造纸等高污染项目。</w:t>
                  </w:r>
                </w:p>
              </w:tc>
              <w:tc>
                <w:tcPr>
                  <w:tcW w:w="940" w:type="dxa"/>
                  <w:vAlign w:val="center"/>
                </w:tcPr>
                <w:p w14:paraId="3248278B">
                  <w:pPr>
                    <w:jc w:val="center"/>
                    <w:rPr>
                      <w:sz w:val="18"/>
                      <w:szCs w:val="18"/>
                    </w:rPr>
                  </w:pPr>
                  <w:r>
                    <w:rPr>
                      <w:sz w:val="18"/>
                      <w:szCs w:val="18"/>
                    </w:rPr>
                    <w:t>相符</w:t>
                  </w:r>
                </w:p>
              </w:tc>
            </w:tr>
            <w:tr w14:paraId="3264B4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7FDE9615">
                  <w:pPr>
                    <w:jc w:val="center"/>
                    <w:rPr>
                      <w:sz w:val="18"/>
                      <w:szCs w:val="18"/>
                    </w:rPr>
                  </w:pPr>
                  <w:r>
                    <w:rPr>
                      <w:sz w:val="18"/>
                      <w:szCs w:val="18"/>
                    </w:rPr>
                    <w:t>13</w:t>
                  </w:r>
                </w:p>
              </w:tc>
              <w:tc>
                <w:tcPr>
                  <w:tcW w:w="3556" w:type="dxa"/>
                  <w:vAlign w:val="center"/>
                </w:tcPr>
                <w:p w14:paraId="499503B9">
                  <w:pPr>
                    <w:rPr>
                      <w:sz w:val="18"/>
                      <w:szCs w:val="18"/>
                    </w:rPr>
                  </w:pPr>
                  <w:r>
                    <w:rPr>
                      <w:sz w:val="18"/>
                      <w:szCs w:val="18"/>
                    </w:rPr>
                    <w:t>禁止在取消化工定位的园区（集中区）内新建化工项目。</w:t>
                  </w:r>
                </w:p>
              </w:tc>
              <w:tc>
                <w:tcPr>
                  <w:tcW w:w="1727" w:type="dxa"/>
                  <w:vAlign w:val="center"/>
                </w:tcPr>
                <w:p w14:paraId="61A721F9">
                  <w:pPr>
                    <w:rPr>
                      <w:sz w:val="18"/>
                      <w:szCs w:val="18"/>
                    </w:rPr>
                  </w:pPr>
                  <w:r>
                    <w:rPr>
                      <w:sz w:val="18"/>
                      <w:szCs w:val="18"/>
                    </w:rPr>
                    <w:t>项目不属于化工项目。</w:t>
                  </w:r>
                </w:p>
              </w:tc>
              <w:tc>
                <w:tcPr>
                  <w:tcW w:w="940" w:type="dxa"/>
                  <w:vAlign w:val="center"/>
                </w:tcPr>
                <w:p w14:paraId="5D5C678F">
                  <w:pPr>
                    <w:jc w:val="center"/>
                    <w:rPr>
                      <w:sz w:val="18"/>
                      <w:szCs w:val="18"/>
                    </w:rPr>
                  </w:pPr>
                  <w:r>
                    <w:rPr>
                      <w:sz w:val="18"/>
                      <w:szCs w:val="18"/>
                    </w:rPr>
                    <w:t>相符</w:t>
                  </w:r>
                </w:p>
              </w:tc>
            </w:tr>
            <w:tr w14:paraId="09B30A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66DCF231">
                  <w:pPr>
                    <w:jc w:val="center"/>
                    <w:rPr>
                      <w:sz w:val="18"/>
                      <w:szCs w:val="18"/>
                    </w:rPr>
                  </w:pPr>
                  <w:r>
                    <w:rPr>
                      <w:sz w:val="18"/>
                      <w:szCs w:val="18"/>
                    </w:rPr>
                    <w:t>14</w:t>
                  </w:r>
                </w:p>
              </w:tc>
              <w:tc>
                <w:tcPr>
                  <w:tcW w:w="3556" w:type="dxa"/>
                  <w:vAlign w:val="center"/>
                </w:tcPr>
                <w:p w14:paraId="2DC2444F">
                  <w:pPr>
                    <w:rPr>
                      <w:sz w:val="18"/>
                      <w:szCs w:val="18"/>
                    </w:rPr>
                  </w:pPr>
                  <w:r>
                    <w:rPr>
                      <w:sz w:val="18"/>
                      <w:szCs w:val="18"/>
                    </w:rPr>
                    <w:t>禁止在化工企业周边建设不符合安全距离规定的劳动密集型的非化工项目和其他人员密集的公共设施项目。</w:t>
                  </w:r>
                </w:p>
              </w:tc>
              <w:tc>
                <w:tcPr>
                  <w:tcW w:w="1727" w:type="dxa"/>
                  <w:vAlign w:val="center"/>
                </w:tcPr>
                <w:p w14:paraId="461EC19E">
                  <w:pPr>
                    <w:rPr>
                      <w:sz w:val="18"/>
                      <w:szCs w:val="18"/>
                    </w:rPr>
                  </w:pPr>
                  <w:r>
                    <w:rPr>
                      <w:sz w:val="18"/>
                      <w:szCs w:val="18"/>
                    </w:rPr>
                    <w:t>项目周边无化工企业。</w:t>
                  </w:r>
                </w:p>
              </w:tc>
              <w:tc>
                <w:tcPr>
                  <w:tcW w:w="940" w:type="dxa"/>
                  <w:vAlign w:val="center"/>
                </w:tcPr>
                <w:p w14:paraId="0A27C933">
                  <w:pPr>
                    <w:jc w:val="center"/>
                    <w:rPr>
                      <w:sz w:val="18"/>
                      <w:szCs w:val="18"/>
                    </w:rPr>
                  </w:pPr>
                  <w:r>
                    <w:rPr>
                      <w:sz w:val="18"/>
                      <w:szCs w:val="18"/>
                    </w:rPr>
                    <w:t>相符</w:t>
                  </w:r>
                </w:p>
              </w:tc>
            </w:tr>
            <w:tr w14:paraId="686DCB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78" w:type="dxa"/>
                  <w:gridSpan w:val="4"/>
                  <w:vAlign w:val="center"/>
                </w:tcPr>
                <w:p w14:paraId="6C897CCB">
                  <w:pPr>
                    <w:jc w:val="center"/>
                    <w:rPr>
                      <w:sz w:val="18"/>
                      <w:szCs w:val="18"/>
                    </w:rPr>
                  </w:pPr>
                  <w:r>
                    <w:rPr>
                      <w:b/>
                      <w:bCs/>
                      <w:sz w:val="18"/>
                      <w:szCs w:val="18"/>
                    </w:rPr>
                    <w:t>三、产业发展</w:t>
                  </w:r>
                </w:p>
              </w:tc>
            </w:tr>
            <w:tr w14:paraId="76E324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5C26CE8C">
                  <w:pPr>
                    <w:jc w:val="center"/>
                    <w:rPr>
                      <w:sz w:val="18"/>
                      <w:szCs w:val="18"/>
                    </w:rPr>
                  </w:pPr>
                  <w:r>
                    <w:rPr>
                      <w:sz w:val="18"/>
                      <w:szCs w:val="18"/>
                    </w:rPr>
                    <w:t>15</w:t>
                  </w:r>
                </w:p>
              </w:tc>
              <w:tc>
                <w:tcPr>
                  <w:tcW w:w="3556" w:type="dxa"/>
                  <w:vAlign w:val="center"/>
                </w:tcPr>
                <w:p w14:paraId="7EE5ACC9">
                  <w:pPr>
                    <w:rPr>
                      <w:sz w:val="18"/>
                      <w:szCs w:val="18"/>
                    </w:rPr>
                  </w:pPr>
                  <w:r>
                    <w:rPr>
                      <w:sz w:val="18"/>
                      <w:szCs w:val="18"/>
                    </w:rPr>
                    <w:t>禁止新建、扩建不符合国家和省产业政策的尿素、磷铵、电石、烧碱、聚氯乙烯、纯碱等行业新增产能项目。</w:t>
                  </w:r>
                </w:p>
              </w:tc>
              <w:tc>
                <w:tcPr>
                  <w:tcW w:w="1727" w:type="dxa"/>
                  <w:vAlign w:val="center"/>
                </w:tcPr>
                <w:p w14:paraId="74171BE9">
                  <w:pPr>
                    <w:rPr>
                      <w:sz w:val="18"/>
                      <w:szCs w:val="18"/>
                    </w:rPr>
                  </w:pPr>
                  <w:r>
                    <w:rPr>
                      <w:sz w:val="18"/>
                      <w:szCs w:val="18"/>
                    </w:rPr>
                    <w:t>项目不属于尿素、磷铵、电石、烧碱、聚氯乙烯、纯碱等行业</w:t>
                  </w:r>
                </w:p>
              </w:tc>
              <w:tc>
                <w:tcPr>
                  <w:tcW w:w="940" w:type="dxa"/>
                  <w:vAlign w:val="center"/>
                </w:tcPr>
                <w:p w14:paraId="09A3C9D2">
                  <w:pPr>
                    <w:jc w:val="center"/>
                    <w:rPr>
                      <w:sz w:val="18"/>
                      <w:szCs w:val="18"/>
                    </w:rPr>
                  </w:pPr>
                  <w:r>
                    <w:rPr>
                      <w:sz w:val="18"/>
                      <w:szCs w:val="18"/>
                    </w:rPr>
                    <w:t>相符</w:t>
                  </w:r>
                </w:p>
              </w:tc>
            </w:tr>
            <w:tr w14:paraId="615933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655" w:type="dxa"/>
                  <w:vAlign w:val="center"/>
                </w:tcPr>
                <w:p w14:paraId="72D9A11C">
                  <w:pPr>
                    <w:jc w:val="center"/>
                    <w:rPr>
                      <w:sz w:val="18"/>
                      <w:szCs w:val="18"/>
                    </w:rPr>
                  </w:pPr>
                  <w:r>
                    <w:rPr>
                      <w:sz w:val="18"/>
                      <w:szCs w:val="18"/>
                    </w:rPr>
                    <w:t>16</w:t>
                  </w:r>
                </w:p>
              </w:tc>
              <w:tc>
                <w:tcPr>
                  <w:tcW w:w="3556" w:type="dxa"/>
                  <w:vAlign w:val="center"/>
                </w:tcPr>
                <w:p w14:paraId="46F3DF73">
                  <w:pPr>
                    <w:rPr>
                      <w:sz w:val="18"/>
                      <w:szCs w:val="18"/>
                    </w:rPr>
                  </w:pPr>
                  <w:r>
                    <w:rPr>
                      <w:sz w:val="18"/>
                      <w:szCs w:val="18"/>
                    </w:rPr>
                    <w:t>禁止新建、改建、扩建高毒、高残留以及对环境影响大的农药原药（化学合成类）项目，禁止新建、扩建不符合国家和省产业政策的农药、医药和染料中间体化工项目。</w:t>
                  </w:r>
                </w:p>
              </w:tc>
              <w:tc>
                <w:tcPr>
                  <w:tcW w:w="1727" w:type="dxa"/>
                  <w:vAlign w:val="center"/>
                </w:tcPr>
                <w:p w14:paraId="27FDD39B">
                  <w:pPr>
                    <w:rPr>
                      <w:sz w:val="18"/>
                      <w:szCs w:val="18"/>
                    </w:rPr>
                  </w:pPr>
                  <w:r>
                    <w:rPr>
                      <w:sz w:val="18"/>
                      <w:szCs w:val="18"/>
                    </w:rPr>
                    <w:t>项目不属于农药、医药和染料中间体化工项目。</w:t>
                  </w:r>
                </w:p>
              </w:tc>
              <w:tc>
                <w:tcPr>
                  <w:tcW w:w="940" w:type="dxa"/>
                  <w:vAlign w:val="center"/>
                </w:tcPr>
                <w:p w14:paraId="3583AE33">
                  <w:pPr>
                    <w:jc w:val="center"/>
                    <w:rPr>
                      <w:sz w:val="18"/>
                      <w:szCs w:val="18"/>
                    </w:rPr>
                  </w:pPr>
                  <w:r>
                    <w:rPr>
                      <w:sz w:val="18"/>
                      <w:szCs w:val="18"/>
                    </w:rPr>
                    <w:t>相符</w:t>
                  </w:r>
                </w:p>
              </w:tc>
            </w:tr>
            <w:tr w14:paraId="4401FE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6D4174B7">
                  <w:pPr>
                    <w:jc w:val="center"/>
                    <w:rPr>
                      <w:sz w:val="18"/>
                      <w:szCs w:val="18"/>
                    </w:rPr>
                  </w:pPr>
                  <w:r>
                    <w:rPr>
                      <w:sz w:val="18"/>
                      <w:szCs w:val="18"/>
                    </w:rPr>
                    <w:t>17</w:t>
                  </w:r>
                </w:p>
              </w:tc>
              <w:tc>
                <w:tcPr>
                  <w:tcW w:w="3556" w:type="dxa"/>
                  <w:vAlign w:val="center"/>
                </w:tcPr>
                <w:p w14:paraId="1E171EB6">
                  <w:pPr>
                    <w:rPr>
                      <w:sz w:val="18"/>
                      <w:szCs w:val="18"/>
                    </w:rPr>
                  </w:pPr>
                  <w:r>
                    <w:rPr>
                      <w:sz w:val="18"/>
                      <w:szCs w:val="18"/>
                    </w:rPr>
                    <w:t>禁止新建、扩建不符合国家石化、现代煤化工等产业布局规划的项目，禁止新建独立焦化项目。</w:t>
                  </w:r>
                </w:p>
              </w:tc>
              <w:tc>
                <w:tcPr>
                  <w:tcW w:w="1727" w:type="dxa"/>
                  <w:vAlign w:val="center"/>
                </w:tcPr>
                <w:p w14:paraId="4D37DBBB">
                  <w:pPr>
                    <w:adjustRightInd w:val="0"/>
                    <w:snapToGrid w:val="0"/>
                    <w:rPr>
                      <w:sz w:val="18"/>
                      <w:szCs w:val="18"/>
                    </w:rPr>
                  </w:pPr>
                  <w:r>
                    <w:rPr>
                      <w:sz w:val="18"/>
                      <w:szCs w:val="18"/>
                    </w:rPr>
                    <w:t>项目不属于国家石化、现代煤化工等产业布局规划的项目。</w:t>
                  </w:r>
                </w:p>
              </w:tc>
              <w:tc>
                <w:tcPr>
                  <w:tcW w:w="940" w:type="dxa"/>
                  <w:vAlign w:val="center"/>
                </w:tcPr>
                <w:p w14:paraId="06EE609E">
                  <w:pPr>
                    <w:jc w:val="center"/>
                    <w:rPr>
                      <w:sz w:val="18"/>
                      <w:szCs w:val="18"/>
                    </w:rPr>
                  </w:pPr>
                  <w:r>
                    <w:rPr>
                      <w:sz w:val="18"/>
                      <w:szCs w:val="18"/>
                    </w:rPr>
                    <w:t>相符</w:t>
                  </w:r>
                </w:p>
              </w:tc>
            </w:tr>
            <w:tr w14:paraId="0E9FA2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71EAD733">
                  <w:pPr>
                    <w:jc w:val="center"/>
                    <w:rPr>
                      <w:sz w:val="18"/>
                      <w:szCs w:val="18"/>
                    </w:rPr>
                  </w:pPr>
                  <w:r>
                    <w:rPr>
                      <w:sz w:val="18"/>
                      <w:szCs w:val="18"/>
                    </w:rPr>
                    <w:t>18</w:t>
                  </w:r>
                </w:p>
              </w:tc>
              <w:tc>
                <w:tcPr>
                  <w:tcW w:w="3556" w:type="dxa"/>
                  <w:vAlign w:val="center"/>
                </w:tcPr>
                <w:p w14:paraId="2FB9C86C">
                  <w:pPr>
                    <w:rPr>
                      <w:sz w:val="18"/>
                      <w:szCs w:val="18"/>
                    </w:rPr>
                  </w:pPr>
                  <w:r>
                    <w:rPr>
                      <w:sz w:val="18"/>
                      <w:szCs w:val="18"/>
                    </w:rPr>
                    <w:t>禁止新建、扩建国家《产业结构调整指导目录》《江苏省产业结构调整限制、淘汰和禁止目录》明确的限制类、淘汰类、禁止类项目，法律法规和相关政策明令禁止的落后产能项目，以及明令淘汰的安全生产落后工艺及装备项目。</w:t>
                  </w:r>
                </w:p>
              </w:tc>
              <w:tc>
                <w:tcPr>
                  <w:tcW w:w="1727" w:type="dxa"/>
                  <w:vAlign w:val="center"/>
                </w:tcPr>
                <w:p w14:paraId="26B9ABAA">
                  <w:pPr>
                    <w:adjustRightInd w:val="0"/>
                    <w:snapToGrid w:val="0"/>
                    <w:rPr>
                      <w:sz w:val="18"/>
                      <w:szCs w:val="18"/>
                    </w:rPr>
                  </w:pPr>
                  <w:r>
                    <w:rPr>
                      <w:sz w:val="18"/>
                      <w:szCs w:val="18"/>
                    </w:rPr>
                    <w:t>项目不属于限制类、淘汰类、禁止类项目。</w:t>
                  </w:r>
                </w:p>
              </w:tc>
              <w:tc>
                <w:tcPr>
                  <w:tcW w:w="940" w:type="dxa"/>
                  <w:vAlign w:val="center"/>
                </w:tcPr>
                <w:p w14:paraId="32FDD71B">
                  <w:pPr>
                    <w:jc w:val="center"/>
                    <w:rPr>
                      <w:sz w:val="18"/>
                      <w:szCs w:val="18"/>
                    </w:rPr>
                  </w:pPr>
                  <w:r>
                    <w:rPr>
                      <w:sz w:val="18"/>
                      <w:szCs w:val="18"/>
                    </w:rPr>
                    <w:t>相符</w:t>
                  </w:r>
                </w:p>
              </w:tc>
            </w:tr>
            <w:tr w14:paraId="40EC0A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10756249">
                  <w:pPr>
                    <w:jc w:val="center"/>
                    <w:rPr>
                      <w:sz w:val="18"/>
                      <w:szCs w:val="18"/>
                    </w:rPr>
                  </w:pPr>
                  <w:r>
                    <w:rPr>
                      <w:sz w:val="18"/>
                      <w:szCs w:val="18"/>
                    </w:rPr>
                    <w:t>19</w:t>
                  </w:r>
                </w:p>
              </w:tc>
              <w:tc>
                <w:tcPr>
                  <w:tcW w:w="3556" w:type="dxa"/>
                  <w:vAlign w:val="center"/>
                </w:tcPr>
                <w:p w14:paraId="143991B0">
                  <w:pPr>
                    <w:rPr>
                      <w:sz w:val="18"/>
                      <w:szCs w:val="18"/>
                    </w:rPr>
                  </w:pPr>
                  <w:r>
                    <w:rPr>
                      <w:sz w:val="18"/>
                      <w:szCs w:val="18"/>
                    </w:rPr>
                    <w:t>禁止新建、扩建不符合国家产能置换要求的严重过剩产能行业的项目。禁止新建、扩建不符合要求的高耗能高排放项目。</w:t>
                  </w:r>
                </w:p>
              </w:tc>
              <w:tc>
                <w:tcPr>
                  <w:tcW w:w="1727" w:type="dxa"/>
                  <w:vAlign w:val="center"/>
                </w:tcPr>
                <w:p w14:paraId="165ABCD4">
                  <w:pPr>
                    <w:adjustRightInd w:val="0"/>
                    <w:snapToGrid w:val="0"/>
                    <w:rPr>
                      <w:sz w:val="18"/>
                      <w:szCs w:val="18"/>
                    </w:rPr>
                  </w:pPr>
                  <w:r>
                    <w:rPr>
                      <w:sz w:val="18"/>
                      <w:szCs w:val="18"/>
                    </w:rPr>
                    <w:t>项目不属于落后产能、严重过剩产能行业项目。</w:t>
                  </w:r>
                </w:p>
              </w:tc>
              <w:tc>
                <w:tcPr>
                  <w:tcW w:w="940" w:type="dxa"/>
                  <w:vAlign w:val="center"/>
                </w:tcPr>
                <w:p w14:paraId="39CD3074">
                  <w:pPr>
                    <w:jc w:val="center"/>
                    <w:rPr>
                      <w:sz w:val="18"/>
                      <w:szCs w:val="18"/>
                    </w:rPr>
                  </w:pPr>
                  <w:r>
                    <w:rPr>
                      <w:sz w:val="18"/>
                      <w:szCs w:val="18"/>
                    </w:rPr>
                    <w:t>相符</w:t>
                  </w:r>
                </w:p>
              </w:tc>
            </w:tr>
          </w:tbl>
          <w:p w14:paraId="11AD8846">
            <w:pPr>
              <w:snapToGrid w:val="0"/>
              <w:spacing w:line="500" w:lineRule="exact"/>
              <w:ind w:firstLine="422" w:firstLineChars="200"/>
              <w:rPr>
                <w:b/>
                <w:bCs/>
                <w:szCs w:val="21"/>
              </w:rPr>
            </w:pPr>
            <w:r>
              <w:rPr>
                <w:rFonts w:hint="eastAsia"/>
                <w:b/>
                <w:bCs/>
                <w:szCs w:val="21"/>
                <w:lang w:val="en-US" w:eastAsia="zh-CN"/>
              </w:rPr>
              <w:t>4</w:t>
            </w:r>
            <w:r>
              <w:rPr>
                <w:b/>
                <w:bCs/>
                <w:szCs w:val="21"/>
              </w:rPr>
              <w:t>、与《关于加强高耗能、高排放建设项目生态环境源头防控的指导意见》（环环评〔2021〕45号）相符性分析</w:t>
            </w:r>
          </w:p>
          <w:p w14:paraId="41111EE4">
            <w:pPr>
              <w:adjustRightInd w:val="0"/>
              <w:snapToGrid w:val="0"/>
              <w:spacing w:line="500" w:lineRule="exact"/>
              <w:ind w:firstLine="420" w:firstLineChars="200"/>
            </w:pPr>
            <w:r>
              <w:rPr>
                <w:kern w:val="0"/>
                <w:szCs w:val="21"/>
              </w:rPr>
              <w:t>对照《关于加强高耗能、高排放建设项目生态环境源头防控的指导意见》（环环评〔2021〕45号），本项目与</w:t>
            </w:r>
            <w:bookmarkStart w:id="2" w:name="OLE_LINK131"/>
            <w:r>
              <w:rPr>
                <w:kern w:val="0"/>
                <w:szCs w:val="21"/>
              </w:rPr>
              <w:t>《关于加强高耗能、高排放建设项目生态环境源头防控的指导意见》（环环评〔2021〕45号）相符性分析</w:t>
            </w:r>
            <w:bookmarkEnd w:id="2"/>
            <w:r>
              <w:rPr>
                <w:kern w:val="0"/>
                <w:szCs w:val="21"/>
              </w:rPr>
              <w:t>见表1-</w:t>
            </w:r>
            <w:r>
              <w:rPr>
                <w:rFonts w:hint="eastAsia"/>
                <w:kern w:val="0"/>
                <w:szCs w:val="21"/>
                <w:lang w:val="en-US" w:eastAsia="zh-CN"/>
              </w:rPr>
              <w:t>5</w:t>
            </w:r>
            <w:r>
              <w:rPr>
                <w:kern w:val="0"/>
                <w:szCs w:val="21"/>
              </w:rPr>
              <w:t>。</w:t>
            </w:r>
          </w:p>
          <w:p w14:paraId="4C34622E">
            <w:pPr>
              <w:spacing w:line="500" w:lineRule="exact"/>
              <w:ind w:firstLine="422" w:firstLineChars="200"/>
              <w:jc w:val="center"/>
              <w:rPr>
                <w:b/>
                <w:szCs w:val="21"/>
              </w:rPr>
            </w:pPr>
            <w:r>
              <w:rPr>
                <w:b/>
                <w:szCs w:val="21"/>
              </w:rPr>
              <w:t>表1-</w:t>
            </w:r>
            <w:r>
              <w:rPr>
                <w:rFonts w:hint="eastAsia"/>
                <w:b/>
                <w:szCs w:val="21"/>
                <w:lang w:val="en-US" w:eastAsia="zh-CN"/>
              </w:rPr>
              <w:t>4</w:t>
            </w:r>
            <w:r>
              <w:rPr>
                <w:rFonts w:hint="eastAsia"/>
                <w:b/>
                <w:szCs w:val="21"/>
              </w:rPr>
              <w:t xml:space="preserve"> </w:t>
            </w:r>
            <w:r>
              <w:rPr>
                <w:b/>
                <w:szCs w:val="21"/>
              </w:rPr>
              <w:t>项目与环环评〔2021〕45号相符性分析</w:t>
            </w:r>
          </w:p>
          <w:tbl>
            <w:tblPr>
              <w:tblStyle w:val="19"/>
              <w:tblW w:w="697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2566"/>
              <w:gridCol w:w="1185"/>
            </w:tblGrid>
            <w:tr w14:paraId="1203F4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227" w:type="dxa"/>
                  <w:vAlign w:val="center"/>
                </w:tcPr>
                <w:p w14:paraId="5DF90309">
                  <w:pPr>
                    <w:tabs>
                      <w:tab w:val="left" w:pos="6379"/>
                    </w:tabs>
                    <w:overflowPunct w:val="0"/>
                    <w:adjustRightInd w:val="0"/>
                    <w:snapToGrid w:val="0"/>
                    <w:jc w:val="center"/>
                    <w:rPr>
                      <w:sz w:val="18"/>
                      <w:szCs w:val="21"/>
                    </w:rPr>
                  </w:pPr>
                  <w:r>
                    <w:rPr>
                      <w:sz w:val="18"/>
                      <w:szCs w:val="21"/>
                    </w:rPr>
                    <w:t>相关要求</w:t>
                  </w:r>
                </w:p>
              </w:tc>
              <w:tc>
                <w:tcPr>
                  <w:tcW w:w="2566" w:type="dxa"/>
                  <w:vAlign w:val="center"/>
                </w:tcPr>
                <w:p w14:paraId="1D86BD3D">
                  <w:pPr>
                    <w:tabs>
                      <w:tab w:val="left" w:pos="6379"/>
                    </w:tabs>
                    <w:overflowPunct w:val="0"/>
                    <w:adjustRightInd w:val="0"/>
                    <w:snapToGrid w:val="0"/>
                    <w:jc w:val="center"/>
                    <w:rPr>
                      <w:sz w:val="18"/>
                      <w:szCs w:val="21"/>
                    </w:rPr>
                  </w:pPr>
                  <w:r>
                    <w:rPr>
                      <w:sz w:val="18"/>
                      <w:szCs w:val="21"/>
                    </w:rPr>
                    <w:t>相符性分析</w:t>
                  </w:r>
                </w:p>
              </w:tc>
              <w:tc>
                <w:tcPr>
                  <w:tcW w:w="1185" w:type="dxa"/>
                  <w:vAlign w:val="center"/>
                </w:tcPr>
                <w:p w14:paraId="012C0961">
                  <w:pPr>
                    <w:tabs>
                      <w:tab w:val="left" w:pos="6379"/>
                    </w:tabs>
                    <w:overflowPunct w:val="0"/>
                    <w:adjustRightInd w:val="0"/>
                    <w:snapToGrid w:val="0"/>
                    <w:jc w:val="center"/>
                    <w:rPr>
                      <w:sz w:val="18"/>
                      <w:szCs w:val="21"/>
                    </w:rPr>
                  </w:pPr>
                  <w:r>
                    <w:rPr>
                      <w:sz w:val="18"/>
                      <w:szCs w:val="21"/>
                    </w:rPr>
                    <w:t>符合情况</w:t>
                  </w:r>
                </w:p>
              </w:tc>
            </w:tr>
            <w:tr w14:paraId="581EF5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227" w:type="dxa"/>
                  <w:vAlign w:val="center"/>
                </w:tcPr>
                <w:p w14:paraId="47851774">
                  <w:pPr>
                    <w:tabs>
                      <w:tab w:val="left" w:pos="6379"/>
                    </w:tabs>
                    <w:overflowPunct w:val="0"/>
                    <w:adjustRightInd w:val="0"/>
                    <w:snapToGrid w:val="0"/>
                    <w:jc w:val="center"/>
                    <w:rPr>
                      <w:sz w:val="18"/>
                      <w:szCs w:val="21"/>
                    </w:rPr>
                  </w:pPr>
                  <w:r>
                    <w:rPr>
                      <w:sz w:val="18"/>
                      <w:szCs w:val="21"/>
                    </w:rPr>
                    <w:t>坚决遏制高耗能、高排放（以下简称“两高”）项目盲目发展</w:t>
                  </w:r>
                </w:p>
              </w:tc>
              <w:tc>
                <w:tcPr>
                  <w:tcW w:w="2566" w:type="dxa"/>
                  <w:vAlign w:val="center"/>
                </w:tcPr>
                <w:p w14:paraId="3FA4CE4F">
                  <w:pPr>
                    <w:tabs>
                      <w:tab w:val="left" w:pos="6379"/>
                    </w:tabs>
                    <w:overflowPunct w:val="0"/>
                    <w:adjustRightInd w:val="0"/>
                    <w:snapToGrid w:val="0"/>
                    <w:jc w:val="center"/>
                    <w:rPr>
                      <w:sz w:val="18"/>
                      <w:szCs w:val="21"/>
                    </w:rPr>
                  </w:pPr>
                  <w:r>
                    <w:rPr>
                      <w:sz w:val="18"/>
                      <w:szCs w:val="21"/>
                    </w:rPr>
                    <w:t>本项目不属于“两高”项目</w:t>
                  </w:r>
                </w:p>
              </w:tc>
              <w:tc>
                <w:tcPr>
                  <w:tcW w:w="1185" w:type="dxa"/>
                  <w:vAlign w:val="center"/>
                </w:tcPr>
                <w:p w14:paraId="7ACF5011">
                  <w:pPr>
                    <w:tabs>
                      <w:tab w:val="left" w:pos="6379"/>
                    </w:tabs>
                    <w:overflowPunct w:val="0"/>
                    <w:adjustRightInd w:val="0"/>
                    <w:snapToGrid w:val="0"/>
                    <w:jc w:val="center"/>
                    <w:rPr>
                      <w:sz w:val="18"/>
                      <w:szCs w:val="21"/>
                    </w:rPr>
                  </w:pPr>
                  <w:bookmarkStart w:id="3" w:name="OLE_LINK133"/>
                  <w:r>
                    <w:rPr>
                      <w:sz w:val="18"/>
                      <w:szCs w:val="21"/>
                    </w:rPr>
                    <w:t>符合</w:t>
                  </w:r>
                  <w:bookmarkEnd w:id="3"/>
                </w:p>
              </w:tc>
            </w:tr>
            <w:tr w14:paraId="77D4DD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227" w:type="dxa"/>
                  <w:vAlign w:val="center"/>
                </w:tcPr>
                <w:p w14:paraId="4D873AC3">
                  <w:pPr>
                    <w:tabs>
                      <w:tab w:val="left" w:pos="6379"/>
                    </w:tabs>
                    <w:overflowPunct w:val="0"/>
                    <w:adjustRightInd w:val="0"/>
                    <w:snapToGrid w:val="0"/>
                    <w:jc w:val="center"/>
                    <w:rPr>
                      <w:sz w:val="18"/>
                      <w:szCs w:val="21"/>
                    </w:rPr>
                  </w:pPr>
                  <w:r>
                    <w:rPr>
                      <w:sz w:val="18"/>
                      <w:szCs w:val="21"/>
                    </w:rPr>
                    <w:t>严格“两高”项目环评审批</w:t>
                  </w:r>
                </w:p>
              </w:tc>
              <w:tc>
                <w:tcPr>
                  <w:tcW w:w="2566" w:type="dxa"/>
                  <w:vAlign w:val="center"/>
                </w:tcPr>
                <w:p w14:paraId="1C42FBA9">
                  <w:pPr>
                    <w:tabs>
                      <w:tab w:val="left" w:pos="6379"/>
                    </w:tabs>
                    <w:overflowPunct w:val="0"/>
                    <w:adjustRightInd w:val="0"/>
                    <w:snapToGrid w:val="0"/>
                    <w:jc w:val="center"/>
                    <w:rPr>
                      <w:sz w:val="18"/>
                      <w:szCs w:val="21"/>
                    </w:rPr>
                  </w:pPr>
                  <w:r>
                    <w:rPr>
                      <w:sz w:val="18"/>
                      <w:szCs w:val="21"/>
                    </w:rPr>
                    <w:t>本项目不属于“两高”项目</w:t>
                  </w:r>
                </w:p>
              </w:tc>
              <w:tc>
                <w:tcPr>
                  <w:tcW w:w="1185" w:type="dxa"/>
                  <w:vAlign w:val="center"/>
                </w:tcPr>
                <w:p w14:paraId="7B1AF8DF">
                  <w:pPr>
                    <w:tabs>
                      <w:tab w:val="left" w:pos="6379"/>
                    </w:tabs>
                    <w:overflowPunct w:val="0"/>
                    <w:adjustRightInd w:val="0"/>
                    <w:snapToGrid w:val="0"/>
                    <w:jc w:val="center"/>
                    <w:rPr>
                      <w:sz w:val="18"/>
                      <w:szCs w:val="21"/>
                    </w:rPr>
                  </w:pPr>
                  <w:r>
                    <w:rPr>
                      <w:sz w:val="18"/>
                      <w:szCs w:val="21"/>
                    </w:rPr>
                    <w:t>符合</w:t>
                  </w:r>
                </w:p>
              </w:tc>
            </w:tr>
            <w:tr w14:paraId="2BEB49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227" w:type="dxa"/>
                  <w:vAlign w:val="center"/>
                </w:tcPr>
                <w:p w14:paraId="2FF067AD">
                  <w:pPr>
                    <w:tabs>
                      <w:tab w:val="left" w:pos="6379"/>
                    </w:tabs>
                    <w:overflowPunct w:val="0"/>
                    <w:adjustRightInd w:val="0"/>
                    <w:snapToGrid w:val="0"/>
                    <w:jc w:val="center"/>
                    <w:rPr>
                      <w:sz w:val="18"/>
                      <w:szCs w:val="21"/>
                    </w:rPr>
                  </w:pPr>
                  <w:r>
                    <w:rPr>
                      <w:sz w:val="18"/>
                      <w:szCs w:val="21"/>
                    </w:rPr>
                    <w:t>推进“两高”行业减污降碳协同控制</w:t>
                  </w:r>
                </w:p>
              </w:tc>
              <w:tc>
                <w:tcPr>
                  <w:tcW w:w="2566" w:type="dxa"/>
                  <w:vAlign w:val="center"/>
                </w:tcPr>
                <w:p w14:paraId="20367DA9">
                  <w:pPr>
                    <w:tabs>
                      <w:tab w:val="left" w:pos="6379"/>
                    </w:tabs>
                    <w:overflowPunct w:val="0"/>
                    <w:adjustRightInd w:val="0"/>
                    <w:snapToGrid w:val="0"/>
                    <w:jc w:val="center"/>
                    <w:rPr>
                      <w:sz w:val="18"/>
                      <w:szCs w:val="21"/>
                    </w:rPr>
                  </w:pPr>
                  <w:r>
                    <w:rPr>
                      <w:sz w:val="18"/>
                      <w:szCs w:val="21"/>
                    </w:rPr>
                    <w:t>本项目不属于“两高”项目</w:t>
                  </w:r>
                </w:p>
              </w:tc>
              <w:tc>
                <w:tcPr>
                  <w:tcW w:w="1185" w:type="dxa"/>
                  <w:vAlign w:val="center"/>
                </w:tcPr>
                <w:p w14:paraId="1BE31C5D">
                  <w:pPr>
                    <w:tabs>
                      <w:tab w:val="left" w:pos="6379"/>
                    </w:tabs>
                    <w:overflowPunct w:val="0"/>
                    <w:adjustRightInd w:val="0"/>
                    <w:snapToGrid w:val="0"/>
                    <w:jc w:val="center"/>
                    <w:rPr>
                      <w:sz w:val="18"/>
                      <w:szCs w:val="21"/>
                    </w:rPr>
                  </w:pPr>
                  <w:r>
                    <w:rPr>
                      <w:sz w:val="18"/>
                      <w:szCs w:val="21"/>
                    </w:rPr>
                    <w:t>符合</w:t>
                  </w:r>
                </w:p>
              </w:tc>
            </w:tr>
            <w:tr w14:paraId="3EB3DD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27" w:type="dxa"/>
                  <w:vAlign w:val="center"/>
                </w:tcPr>
                <w:p w14:paraId="36F3F9B2">
                  <w:pPr>
                    <w:tabs>
                      <w:tab w:val="left" w:pos="6379"/>
                    </w:tabs>
                    <w:overflowPunct w:val="0"/>
                    <w:adjustRightInd w:val="0"/>
                    <w:snapToGrid w:val="0"/>
                    <w:jc w:val="center"/>
                    <w:rPr>
                      <w:sz w:val="18"/>
                      <w:szCs w:val="21"/>
                    </w:rPr>
                  </w:pPr>
                  <w:r>
                    <w:rPr>
                      <w:sz w:val="18"/>
                      <w:szCs w:val="21"/>
                    </w:rPr>
                    <w:t>依排污许可证强化监管执法</w:t>
                  </w:r>
                </w:p>
              </w:tc>
              <w:tc>
                <w:tcPr>
                  <w:tcW w:w="2566" w:type="dxa"/>
                  <w:vAlign w:val="center"/>
                </w:tcPr>
                <w:p w14:paraId="7E582888">
                  <w:pPr>
                    <w:tabs>
                      <w:tab w:val="left" w:pos="6379"/>
                    </w:tabs>
                    <w:overflowPunct w:val="0"/>
                    <w:adjustRightInd w:val="0"/>
                    <w:snapToGrid w:val="0"/>
                    <w:jc w:val="center"/>
                    <w:rPr>
                      <w:sz w:val="18"/>
                      <w:szCs w:val="21"/>
                    </w:rPr>
                  </w:pPr>
                  <w:r>
                    <w:rPr>
                      <w:sz w:val="18"/>
                      <w:szCs w:val="21"/>
                    </w:rPr>
                    <w:t>本项目不属于“两高”项目</w:t>
                  </w:r>
                </w:p>
              </w:tc>
              <w:tc>
                <w:tcPr>
                  <w:tcW w:w="1185" w:type="dxa"/>
                  <w:vAlign w:val="center"/>
                </w:tcPr>
                <w:p w14:paraId="2E75143D">
                  <w:pPr>
                    <w:tabs>
                      <w:tab w:val="left" w:pos="6379"/>
                    </w:tabs>
                    <w:overflowPunct w:val="0"/>
                    <w:adjustRightInd w:val="0"/>
                    <w:snapToGrid w:val="0"/>
                    <w:jc w:val="center"/>
                    <w:rPr>
                      <w:sz w:val="18"/>
                      <w:szCs w:val="21"/>
                    </w:rPr>
                  </w:pPr>
                  <w:r>
                    <w:rPr>
                      <w:sz w:val="18"/>
                      <w:szCs w:val="21"/>
                    </w:rPr>
                    <w:t>符合</w:t>
                  </w:r>
                </w:p>
              </w:tc>
            </w:tr>
          </w:tbl>
          <w:p w14:paraId="66CE75F1">
            <w:pPr>
              <w:adjustRightInd w:val="0"/>
              <w:snapToGrid w:val="0"/>
              <w:spacing w:line="500" w:lineRule="exact"/>
              <w:ind w:firstLine="422" w:firstLineChars="200"/>
              <w:rPr>
                <w:b/>
                <w:color w:val="auto"/>
                <w:szCs w:val="21"/>
              </w:rPr>
            </w:pPr>
            <w:r>
              <w:rPr>
                <w:rFonts w:hint="eastAsia"/>
                <w:b/>
                <w:bCs/>
                <w:szCs w:val="21"/>
                <w:lang w:val="en-US" w:eastAsia="zh-CN"/>
              </w:rPr>
              <w:t>5</w:t>
            </w:r>
            <w:r>
              <w:rPr>
                <w:b/>
                <w:bCs/>
                <w:szCs w:val="21"/>
              </w:rPr>
              <w:t>、与</w:t>
            </w:r>
            <w:r>
              <w:rPr>
                <w:rFonts w:hint="eastAsia"/>
                <w:b/>
                <w:bCs/>
                <w:szCs w:val="21"/>
              </w:rPr>
              <w:t>《南通市关于加强减污降碳协同推进重点行业绿色发展的指导意见》（通办〔2024〕6号）</w:t>
            </w:r>
            <w:r>
              <w:rPr>
                <w:b/>
                <w:bCs/>
                <w:szCs w:val="21"/>
              </w:rPr>
              <w:t>》的</w:t>
            </w:r>
            <w:r>
              <w:rPr>
                <w:rFonts w:hint="eastAsia"/>
                <w:b/>
                <w:bCs/>
                <w:szCs w:val="21"/>
              </w:rPr>
              <w:t>（通办〔</w:t>
            </w:r>
            <w:r>
              <w:rPr>
                <w:rFonts w:hint="eastAsia"/>
                <w:b/>
                <w:bCs/>
                <w:color w:val="auto"/>
                <w:szCs w:val="21"/>
              </w:rPr>
              <w:t>2024〕6号）的</w:t>
            </w:r>
            <w:r>
              <w:rPr>
                <w:b/>
                <w:bCs/>
                <w:color w:val="auto"/>
                <w:szCs w:val="21"/>
              </w:rPr>
              <w:t>相符性分析</w:t>
            </w:r>
          </w:p>
          <w:p w14:paraId="5A5FB2C1">
            <w:pPr>
              <w:spacing w:line="500" w:lineRule="exact"/>
              <w:ind w:firstLine="422" w:firstLineChars="200"/>
              <w:jc w:val="center"/>
              <w:rPr>
                <w:b/>
                <w:color w:val="auto"/>
                <w:szCs w:val="21"/>
              </w:rPr>
            </w:pPr>
            <w:r>
              <w:rPr>
                <w:b/>
                <w:color w:val="auto"/>
                <w:szCs w:val="21"/>
              </w:rPr>
              <w:t>表1-</w:t>
            </w:r>
            <w:r>
              <w:rPr>
                <w:rFonts w:hint="eastAsia"/>
                <w:b/>
                <w:color w:val="auto"/>
                <w:szCs w:val="21"/>
                <w:lang w:val="en-US" w:eastAsia="zh-CN"/>
              </w:rPr>
              <w:t>5</w:t>
            </w:r>
            <w:r>
              <w:rPr>
                <w:b/>
                <w:color w:val="auto"/>
                <w:szCs w:val="21"/>
              </w:rPr>
              <w:t xml:space="preserve"> 与《</w:t>
            </w:r>
            <w:r>
              <w:rPr>
                <w:rFonts w:hint="eastAsia"/>
                <w:b/>
                <w:color w:val="auto"/>
                <w:szCs w:val="21"/>
              </w:rPr>
              <w:t>《南通市关于加强减污降碳协同推进重点行业绿色发展的指导意见》</w:t>
            </w:r>
            <w:r>
              <w:rPr>
                <w:b/>
                <w:color w:val="auto"/>
                <w:szCs w:val="21"/>
              </w:rPr>
              <w:t>（通办</w:t>
            </w:r>
            <w:r>
              <w:rPr>
                <w:rFonts w:hint="eastAsia"/>
                <w:b/>
                <w:color w:val="auto"/>
                <w:szCs w:val="21"/>
              </w:rPr>
              <w:t>〔</w:t>
            </w:r>
            <w:r>
              <w:rPr>
                <w:b/>
                <w:color w:val="auto"/>
                <w:szCs w:val="21"/>
              </w:rPr>
              <w:t>202</w:t>
            </w:r>
            <w:r>
              <w:rPr>
                <w:rFonts w:hint="eastAsia"/>
                <w:b/>
                <w:color w:val="auto"/>
                <w:szCs w:val="21"/>
                <w:lang w:val="en-US" w:eastAsia="zh-CN"/>
              </w:rPr>
              <w:t>4</w:t>
            </w:r>
            <w:r>
              <w:rPr>
                <w:rFonts w:hint="eastAsia"/>
                <w:b/>
                <w:color w:val="auto"/>
                <w:szCs w:val="21"/>
              </w:rPr>
              <w:t>〕</w:t>
            </w:r>
            <w:r>
              <w:rPr>
                <w:rFonts w:hint="eastAsia"/>
                <w:b/>
                <w:color w:val="auto"/>
                <w:szCs w:val="21"/>
                <w:lang w:val="en-US" w:eastAsia="zh-CN"/>
              </w:rPr>
              <w:t>6</w:t>
            </w:r>
            <w:r>
              <w:rPr>
                <w:b/>
                <w:color w:val="auto"/>
                <w:szCs w:val="21"/>
              </w:rPr>
              <w:t>号）的相符性分析</w:t>
            </w:r>
          </w:p>
          <w:tbl>
            <w:tblPr>
              <w:tblStyle w:val="19"/>
              <w:tblW w:w="714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9"/>
              <w:gridCol w:w="700"/>
              <w:gridCol w:w="3727"/>
              <w:gridCol w:w="1307"/>
              <w:gridCol w:w="870"/>
            </w:tblGrid>
            <w:tr w14:paraId="60C46A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39" w:type="dxa"/>
                  <w:noWrap/>
                  <w:vAlign w:val="center"/>
                </w:tcPr>
                <w:p w14:paraId="17CCEBAA">
                  <w:pPr>
                    <w:tabs>
                      <w:tab w:val="left" w:pos="6379"/>
                    </w:tabs>
                    <w:overflowPunct w:val="0"/>
                    <w:adjustRightInd w:val="0"/>
                    <w:snapToGrid w:val="0"/>
                    <w:jc w:val="center"/>
                    <w:rPr>
                      <w:bCs/>
                      <w:sz w:val="18"/>
                      <w:szCs w:val="21"/>
                    </w:rPr>
                  </w:pPr>
                  <w:r>
                    <w:rPr>
                      <w:bCs/>
                      <w:sz w:val="18"/>
                      <w:szCs w:val="21"/>
                    </w:rPr>
                    <w:t>序号</w:t>
                  </w:r>
                </w:p>
              </w:tc>
              <w:tc>
                <w:tcPr>
                  <w:tcW w:w="700" w:type="dxa"/>
                  <w:noWrap/>
                  <w:vAlign w:val="center"/>
                </w:tcPr>
                <w:p w14:paraId="0F592603">
                  <w:pPr>
                    <w:tabs>
                      <w:tab w:val="left" w:pos="6379"/>
                    </w:tabs>
                    <w:overflowPunct w:val="0"/>
                    <w:adjustRightInd w:val="0"/>
                    <w:snapToGrid w:val="0"/>
                    <w:jc w:val="center"/>
                    <w:rPr>
                      <w:bCs/>
                      <w:sz w:val="18"/>
                      <w:szCs w:val="21"/>
                    </w:rPr>
                  </w:pPr>
                  <w:r>
                    <w:rPr>
                      <w:bCs/>
                      <w:sz w:val="18"/>
                      <w:szCs w:val="21"/>
                    </w:rPr>
                    <w:t>类别</w:t>
                  </w:r>
                </w:p>
              </w:tc>
              <w:tc>
                <w:tcPr>
                  <w:tcW w:w="3727" w:type="dxa"/>
                  <w:noWrap/>
                  <w:vAlign w:val="center"/>
                </w:tcPr>
                <w:p w14:paraId="5B9DEC36">
                  <w:pPr>
                    <w:tabs>
                      <w:tab w:val="left" w:pos="6379"/>
                    </w:tabs>
                    <w:overflowPunct w:val="0"/>
                    <w:adjustRightInd w:val="0"/>
                    <w:snapToGrid w:val="0"/>
                    <w:jc w:val="center"/>
                    <w:rPr>
                      <w:bCs/>
                      <w:sz w:val="18"/>
                      <w:szCs w:val="21"/>
                    </w:rPr>
                  </w:pPr>
                  <w:r>
                    <w:rPr>
                      <w:bCs/>
                      <w:sz w:val="18"/>
                      <w:szCs w:val="21"/>
                    </w:rPr>
                    <w:t>方案相关内容</w:t>
                  </w:r>
                </w:p>
              </w:tc>
              <w:tc>
                <w:tcPr>
                  <w:tcW w:w="1307" w:type="dxa"/>
                  <w:noWrap/>
                  <w:vAlign w:val="center"/>
                </w:tcPr>
                <w:p w14:paraId="682BCFF0">
                  <w:pPr>
                    <w:tabs>
                      <w:tab w:val="left" w:pos="6379"/>
                    </w:tabs>
                    <w:overflowPunct w:val="0"/>
                    <w:adjustRightInd w:val="0"/>
                    <w:snapToGrid w:val="0"/>
                    <w:jc w:val="center"/>
                    <w:rPr>
                      <w:bCs/>
                      <w:sz w:val="18"/>
                      <w:szCs w:val="21"/>
                    </w:rPr>
                  </w:pPr>
                  <w:r>
                    <w:rPr>
                      <w:bCs/>
                      <w:sz w:val="18"/>
                      <w:szCs w:val="21"/>
                    </w:rPr>
                    <w:t>本项目情况</w:t>
                  </w:r>
                </w:p>
              </w:tc>
              <w:tc>
                <w:tcPr>
                  <w:tcW w:w="870" w:type="dxa"/>
                  <w:noWrap/>
                  <w:vAlign w:val="center"/>
                </w:tcPr>
                <w:p w14:paraId="2101151A">
                  <w:pPr>
                    <w:tabs>
                      <w:tab w:val="left" w:pos="6379"/>
                    </w:tabs>
                    <w:overflowPunct w:val="0"/>
                    <w:adjustRightInd w:val="0"/>
                    <w:snapToGrid w:val="0"/>
                    <w:jc w:val="center"/>
                    <w:rPr>
                      <w:bCs/>
                      <w:sz w:val="18"/>
                      <w:szCs w:val="21"/>
                    </w:rPr>
                  </w:pPr>
                  <w:r>
                    <w:rPr>
                      <w:bCs/>
                      <w:sz w:val="18"/>
                      <w:szCs w:val="21"/>
                    </w:rPr>
                    <w:t>相符性分析</w:t>
                  </w:r>
                </w:p>
              </w:tc>
            </w:tr>
            <w:tr w14:paraId="312BD9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96" w:hRule="atLeast"/>
                <w:jc w:val="center"/>
              </w:trPr>
              <w:tc>
                <w:tcPr>
                  <w:tcW w:w="539" w:type="dxa"/>
                  <w:noWrap/>
                  <w:vAlign w:val="center"/>
                </w:tcPr>
                <w:p w14:paraId="76C1AC88">
                  <w:pPr>
                    <w:tabs>
                      <w:tab w:val="left" w:pos="6379"/>
                    </w:tabs>
                    <w:overflowPunct w:val="0"/>
                    <w:adjustRightInd w:val="0"/>
                    <w:snapToGrid w:val="0"/>
                    <w:jc w:val="center"/>
                    <w:rPr>
                      <w:rFonts w:hint="eastAsia" w:ascii="Times New Roman" w:hAnsi="Times New Roman" w:eastAsia="宋体" w:cs="Times New Roman"/>
                      <w:kern w:val="2"/>
                      <w:sz w:val="18"/>
                      <w:szCs w:val="21"/>
                      <w:lang w:val="en-US" w:eastAsia="zh-CN" w:bidi="ar-SA"/>
                    </w:rPr>
                  </w:pPr>
                  <w:r>
                    <w:rPr>
                      <w:rFonts w:hint="eastAsia"/>
                      <w:sz w:val="18"/>
                      <w:szCs w:val="21"/>
                      <w:lang w:val="en-US" w:eastAsia="zh-CN"/>
                    </w:rPr>
                    <w:t>1</w:t>
                  </w:r>
                </w:p>
              </w:tc>
              <w:tc>
                <w:tcPr>
                  <w:tcW w:w="700" w:type="dxa"/>
                  <w:noWrap/>
                  <w:vAlign w:val="center"/>
                </w:tcPr>
                <w:p w14:paraId="0ED0180F">
                  <w:pPr>
                    <w:tabs>
                      <w:tab w:val="left" w:pos="6379"/>
                    </w:tabs>
                    <w:overflowPunct w:val="0"/>
                    <w:adjustRightInd w:val="0"/>
                    <w:snapToGrid w:val="0"/>
                    <w:jc w:val="center"/>
                    <w:rPr>
                      <w:sz w:val="18"/>
                      <w:szCs w:val="21"/>
                    </w:rPr>
                  </w:pPr>
                  <w:r>
                    <w:rPr>
                      <w:sz w:val="18"/>
                      <w:szCs w:val="21"/>
                    </w:rPr>
                    <w:t>优化空间布局</w:t>
                  </w:r>
                </w:p>
              </w:tc>
              <w:tc>
                <w:tcPr>
                  <w:tcW w:w="3727" w:type="dxa"/>
                  <w:noWrap/>
                  <w:vAlign w:val="center"/>
                </w:tcPr>
                <w:p w14:paraId="1CFAEFFF">
                  <w:pPr>
                    <w:tabs>
                      <w:tab w:val="left" w:pos="6379"/>
                    </w:tabs>
                    <w:overflowPunct w:val="0"/>
                    <w:adjustRightInd w:val="0"/>
                    <w:snapToGrid w:val="0"/>
                    <w:jc w:val="center"/>
                    <w:rPr>
                      <w:sz w:val="18"/>
                      <w:szCs w:val="21"/>
                    </w:rPr>
                  </w:pPr>
                  <w:r>
                    <w:rPr>
                      <w:sz w:val="18"/>
                      <w:szCs w:val="21"/>
                    </w:rPr>
                    <w:t>严格落实长江经济带“共抓大保护、不搞大开发”要求，坚持生态优先、绿色发展，突出沿江向沿海布局、区外分散向园区集聚的总体方向。结合国土空间规划编制，优化重点产业空间格局；协调江海河关系，加大生态保护力度，凸显江海生态资源特色，建设品质优良的长江口生态区；综合考量不同区域资源环境承载能力，兼顾不同领域和行业发展特点，注重差异化发展，引导不同区域打造特色产业园区。</w:t>
                  </w:r>
                </w:p>
              </w:tc>
              <w:tc>
                <w:tcPr>
                  <w:tcW w:w="1307" w:type="dxa"/>
                  <w:noWrap/>
                  <w:vAlign w:val="center"/>
                </w:tcPr>
                <w:p w14:paraId="30E32AFC">
                  <w:pPr>
                    <w:tabs>
                      <w:tab w:val="left" w:pos="6379"/>
                    </w:tabs>
                    <w:overflowPunct w:val="0"/>
                    <w:adjustRightInd w:val="0"/>
                    <w:snapToGrid w:val="0"/>
                    <w:jc w:val="center"/>
                    <w:rPr>
                      <w:rFonts w:hint="eastAsia" w:eastAsia="宋体"/>
                      <w:sz w:val="18"/>
                      <w:szCs w:val="21"/>
                      <w:lang w:eastAsia="zh-CN"/>
                    </w:rPr>
                  </w:pPr>
                  <w:r>
                    <w:rPr>
                      <w:sz w:val="18"/>
                      <w:szCs w:val="21"/>
                    </w:rPr>
                    <w:t>本项目位于</w:t>
                  </w:r>
                  <w:r>
                    <w:rPr>
                      <w:rFonts w:hint="eastAsia"/>
                      <w:sz w:val="18"/>
                      <w:szCs w:val="21"/>
                    </w:rPr>
                    <w:t>启东市启东生命健康产业园常州路38号</w:t>
                  </w:r>
                  <w:r>
                    <w:rPr>
                      <w:rFonts w:hint="eastAsia"/>
                      <w:sz w:val="18"/>
                      <w:szCs w:val="21"/>
                      <w:lang w:eastAsia="zh-CN"/>
                    </w:rPr>
                    <w:t>，位于启东生命健康产业园</w:t>
                  </w:r>
                </w:p>
              </w:tc>
              <w:tc>
                <w:tcPr>
                  <w:tcW w:w="870" w:type="dxa"/>
                  <w:noWrap/>
                  <w:vAlign w:val="center"/>
                </w:tcPr>
                <w:p w14:paraId="029C633F">
                  <w:pPr>
                    <w:tabs>
                      <w:tab w:val="left" w:pos="6379"/>
                    </w:tabs>
                    <w:overflowPunct w:val="0"/>
                    <w:adjustRightInd w:val="0"/>
                    <w:snapToGrid w:val="0"/>
                    <w:jc w:val="center"/>
                    <w:rPr>
                      <w:sz w:val="18"/>
                      <w:szCs w:val="21"/>
                    </w:rPr>
                  </w:pPr>
                  <w:r>
                    <w:rPr>
                      <w:sz w:val="18"/>
                      <w:szCs w:val="21"/>
                    </w:rPr>
                    <w:t>符合</w:t>
                  </w:r>
                </w:p>
              </w:tc>
            </w:tr>
            <w:tr w14:paraId="71B15E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39" w:type="dxa"/>
                  <w:noWrap/>
                  <w:vAlign w:val="center"/>
                </w:tcPr>
                <w:p w14:paraId="00F27C19">
                  <w:pPr>
                    <w:tabs>
                      <w:tab w:val="left" w:pos="6379"/>
                    </w:tabs>
                    <w:overflowPunct w:val="0"/>
                    <w:adjustRightInd w:val="0"/>
                    <w:snapToGrid w:val="0"/>
                    <w:jc w:val="center"/>
                    <w:rPr>
                      <w:rFonts w:hint="eastAsia" w:ascii="Times New Roman" w:hAnsi="Times New Roman" w:eastAsia="宋体" w:cs="Times New Roman"/>
                      <w:kern w:val="2"/>
                      <w:sz w:val="18"/>
                      <w:szCs w:val="21"/>
                      <w:lang w:val="en-US" w:eastAsia="zh-CN" w:bidi="ar-SA"/>
                    </w:rPr>
                  </w:pPr>
                  <w:r>
                    <w:rPr>
                      <w:rFonts w:hint="eastAsia"/>
                      <w:sz w:val="18"/>
                      <w:szCs w:val="21"/>
                      <w:lang w:val="en-US" w:eastAsia="zh-CN"/>
                    </w:rPr>
                    <w:t>2</w:t>
                  </w:r>
                </w:p>
              </w:tc>
              <w:tc>
                <w:tcPr>
                  <w:tcW w:w="700" w:type="dxa"/>
                  <w:noWrap/>
                  <w:vAlign w:val="center"/>
                </w:tcPr>
                <w:p w14:paraId="014F9349">
                  <w:pPr>
                    <w:tabs>
                      <w:tab w:val="left" w:pos="6379"/>
                    </w:tabs>
                    <w:overflowPunct w:val="0"/>
                    <w:adjustRightInd w:val="0"/>
                    <w:snapToGrid w:val="0"/>
                    <w:jc w:val="center"/>
                    <w:rPr>
                      <w:rFonts w:hint="eastAsia" w:eastAsia="宋体"/>
                      <w:sz w:val="18"/>
                      <w:szCs w:val="21"/>
                      <w:lang w:eastAsia="zh-CN"/>
                    </w:rPr>
                  </w:pPr>
                  <w:r>
                    <w:rPr>
                      <w:rFonts w:hint="eastAsia"/>
                      <w:sz w:val="18"/>
                      <w:szCs w:val="21"/>
                      <w:lang w:eastAsia="zh-CN"/>
                    </w:rPr>
                    <w:t>打造绿色产业</w:t>
                  </w:r>
                </w:p>
              </w:tc>
              <w:tc>
                <w:tcPr>
                  <w:tcW w:w="3727" w:type="dxa"/>
                  <w:noWrap/>
                  <w:vAlign w:val="center"/>
                </w:tcPr>
                <w:p w14:paraId="2B443939">
                  <w:pPr>
                    <w:tabs>
                      <w:tab w:val="left" w:pos="6379"/>
                    </w:tabs>
                    <w:overflowPunct w:val="0"/>
                    <w:adjustRightInd w:val="0"/>
                    <w:snapToGrid w:val="0"/>
                    <w:jc w:val="center"/>
                    <w:rPr>
                      <w:sz w:val="18"/>
                      <w:szCs w:val="21"/>
                    </w:rPr>
                  </w:pPr>
                  <w:r>
                    <w:rPr>
                      <w:rFonts w:hint="eastAsia"/>
                      <w:sz w:val="18"/>
                      <w:szCs w:val="21"/>
                    </w:rPr>
                    <w:t>扎实推进产业倍增三年行动，围绕传统产业焕新、新兴产业壮大、未来产业培育，进一步明确产业发展方向，加快形成新质生产力。突出强链补链延链，以创新驱动、项目支撑、集群发展加快推进制造强市建设。推动制造业绿色化发展，推动传统产业转型升级，推动重点领域企业积极采用绿色工艺技术装备实施节能降碳改造升级，建立健全碳排放管理机制和产品碳足迹管理体系。以打造环境友好型、资源节约型现代化企业为目标，实施钢铁、化工、建材、煤电、纺织、造纸等产业改造提升，深度推进传统制造业节能减排、两化融合、产品结构调整和工艺技术创新。推行高效能、低能耗、可循环、少排放的绿色生产模式。优化能源结构，减少煤炭消费比重。完善政策措施，充分发挥市场机制的决定性作用，加快碳市场建设，降低经济的碳强度。</w:t>
                  </w:r>
                </w:p>
              </w:tc>
              <w:tc>
                <w:tcPr>
                  <w:tcW w:w="1307" w:type="dxa"/>
                  <w:noWrap/>
                  <w:vAlign w:val="center"/>
                </w:tcPr>
                <w:p w14:paraId="5F8B81CB">
                  <w:pPr>
                    <w:tabs>
                      <w:tab w:val="left" w:pos="6379"/>
                    </w:tabs>
                    <w:overflowPunct w:val="0"/>
                    <w:adjustRightInd w:val="0"/>
                    <w:snapToGrid w:val="0"/>
                    <w:jc w:val="center"/>
                    <w:rPr>
                      <w:rFonts w:hint="eastAsia" w:eastAsia="宋体"/>
                      <w:sz w:val="18"/>
                      <w:szCs w:val="21"/>
                      <w:lang w:eastAsia="zh-CN"/>
                    </w:rPr>
                  </w:pPr>
                  <w:r>
                    <w:rPr>
                      <w:rFonts w:hint="eastAsia"/>
                      <w:sz w:val="18"/>
                      <w:szCs w:val="21"/>
                      <w:lang w:eastAsia="zh-CN"/>
                    </w:rPr>
                    <w:t>本项目不属于钢铁、化工。建材、煤电、纺织、造纸行业，项目使用清洁能源，不使用煤炭等。</w:t>
                  </w:r>
                </w:p>
              </w:tc>
              <w:tc>
                <w:tcPr>
                  <w:tcW w:w="870" w:type="dxa"/>
                  <w:noWrap/>
                  <w:vAlign w:val="center"/>
                </w:tcPr>
                <w:p w14:paraId="4A35A113">
                  <w:pPr>
                    <w:tabs>
                      <w:tab w:val="left" w:pos="6379"/>
                    </w:tabs>
                    <w:overflowPunct w:val="0"/>
                    <w:adjustRightInd w:val="0"/>
                    <w:snapToGrid w:val="0"/>
                    <w:jc w:val="center"/>
                    <w:rPr>
                      <w:sz w:val="18"/>
                      <w:szCs w:val="21"/>
                    </w:rPr>
                  </w:pPr>
                  <w:r>
                    <w:rPr>
                      <w:sz w:val="18"/>
                      <w:szCs w:val="21"/>
                    </w:rPr>
                    <w:t>符合</w:t>
                  </w:r>
                </w:p>
              </w:tc>
            </w:tr>
            <w:tr w14:paraId="7A1382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24" w:hRule="atLeast"/>
                <w:jc w:val="center"/>
              </w:trPr>
              <w:tc>
                <w:tcPr>
                  <w:tcW w:w="539" w:type="dxa"/>
                  <w:noWrap/>
                  <w:vAlign w:val="center"/>
                </w:tcPr>
                <w:p w14:paraId="4BFD7AE6">
                  <w:pPr>
                    <w:tabs>
                      <w:tab w:val="left" w:pos="6379"/>
                    </w:tabs>
                    <w:overflowPunct w:val="0"/>
                    <w:adjustRightInd w:val="0"/>
                    <w:snapToGrid w:val="0"/>
                    <w:jc w:val="center"/>
                    <w:rPr>
                      <w:rFonts w:hint="eastAsia" w:ascii="Times New Roman" w:hAnsi="Times New Roman" w:eastAsia="宋体" w:cs="Times New Roman"/>
                      <w:kern w:val="2"/>
                      <w:sz w:val="18"/>
                      <w:szCs w:val="21"/>
                      <w:lang w:val="en-US" w:eastAsia="zh-CN" w:bidi="ar-SA"/>
                    </w:rPr>
                  </w:pPr>
                  <w:r>
                    <w:rPr>
                      <w:rFonts w:hint="eastAsia"/>
                      <w:sz w:val="18"/>
                      <w:szCs w:val="21"/>
                      <w:lang w:val="en-US" w:eastAsia="zh-CN"/>
                    </w:rPr>
                    <w:t>3</w:t>
                  </w:r>
                </w:p>
              </w:tc>
              <w:tc>
                <w:tcPr>
                  <w:tcW w:w="700" w:type="dxa"/>
                  <w:noWrap/>
                  <w:vAlign w:val="center"/>
                </w:tcPr>
                <w:p w14:paraId="121920A8">
                  <w:pPr>
                    <w:tabs>
                      <w:tab w:val="left" w:pos="6379"/>
                    </w:tabs>
                    <w:overflowPunct w:val="0"/>
                    <w:adjustRightInd w:val="0"/>
                    <w:snapToGrid w:val="0"/>
                    <w:jc w:val="center"/>
                    <w:rPr>
                      <w:sz w:val="18"/>
                      <w:szCs w:val="21"/>
                    </w:rPr>
                  </w:pPr>
                  <w:r>
                    <w:rPr>
                      <w:sz w:val="18"/>
                      <w:szCs w:val="21"/>
                    </w:rPr>
                    <w:t>建设生态园区</w:t>
                  </w:r>
                </w:p>
              </w:tc>
              <w:tc>
                <w:tcPr>
                  <w:tcW w:w="3727" w:type="dxa"/>
                  <w:noWrap/>
                  <w:vAlign w:val="center"/>
                </w:tcPr>
                <w:p w14:paraId="0F0FDAEE">
                  <w:pPr>
                    <w:tabs>
                      <w:tab w:val="left" w:pos="6379"/>
                    </w:tabs>
                    <w:overflowPunct w:val="0"/>
                    <w:adjustRightInd w:val="0"/>
                    <w:snapToGrid w:val="0"/>
                    <w:jc w:val="center"/>
                    <w:rPr>
                      <w:sz w:val="18"/>
                      <w:szCs w:val="21"/>
                    </w:rPr>
                  </w:pPr>
                  <w:r>
                    <w:rPr>
                      <w:rFonts w:hint="eastAsia"/>
                      <w:sz w:val="18"/>
                      <w:szCs w:val="21"/>
                    </w:rPr>
                    <w:t>推动园区产业向“专精特新”方向发展。引导每个省级以上园区重点打造1～2 个特色主导产业、1～2个新兴产业。实施园区循环化改造，推动企业循环式生产、产业循环式组合，搭建资源共享、废物处理公共平台，提高能源资源综合利用效率。推动园区基础公共设施共建共享、能源梯级利用、资源循环利用和污染物集中安全处置等。因地制宜布局污水资源化利用设施，提高水重复利用率。强化工业园区用能管理，鼓励优先利用可再生能源，支持园区探索开展环境管家、绿色联盟、产业共生等创新发展模式，推广绿色整体服务和全过程服务。</w:t>
                  </w:r>
                </w:p>
              </w:tc>
              <w:tc>
                <w:tcPr>
                  <w:tcW w:w="1307" w:type="dxa"/>
                  <w:noWrap/>
                  <w:vAlign w:val="center"/>
                </w:tcPr>
                <w:p w14:paraId="42DCF60C">
                  <w:pPr>
                    <w:tabs>
                      <w:tab w:val="left" w:pos="6379"/>
                    </w:tabs>
                    <w:overflowPunct w:val="0"/>
                    <w:adjustRightInd w:val="0"/>
                    <w:snapToGrid w:val="0"/>
                    <w:jc w:val="center"/>
                    <w:rPr>
                      <w:sz w:val="18"/>
                      <w:szCs w:val="21"/>
                    </w:rPr>
                  </w:pPr>
                  <w:r>
                    <w:rPr>
                      <w:sz w:val="18"/>
                      <w:szCs w:val="21"/>
                    </w:rPr>
                    <w:t>/</w:t>
                  </w:r>
                </w:p>
              </w:tc>
              <w:tc>
                <w:tcPr>
                  <w:tcW w:w="870" w:type="dxa"/>
                  <w:noWrap/>
                  <w:vAlign w:val="center"/>
                </w:tcPr>
                <w:p w14:paraId="33A3FF2E">
                  <w:pPr>
                    <w:tabs>
                      <w:tab w:val="left" w:pos="6379"/>
                    </w:tabs>
                    <w:overflowPunct w:val="0"/>
                    <w:adjustRightInd w:val="0"/>
                    <w:snapToGrid w:val="0"/>
                    <w:jc w:val="center"/>
                    <w:rPr>
                      <w:sz w:val="18"/>
                      <w:szCs w:val="21"/>
                    </w:rPr>
                  </w:pPr>
                  <w:r>
                    <w:rPr>
                      <w:sz w:val="18"/>
                      <w:szCs w:val="21"/>
                    </w:rPr>
                    <w:t>/</w:t>
                  </w:r>
                </w:p>
              </w:tc>
            </w:tr>
            <w:tr w14:paraId="1BA4F2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539" w:type="dxa"/>
                  <w:noWrap/>
                  <w:vAlign w:val="center"/>
                </w:tcPr>
                <w:p w14:paraId="0495BB6F">
                  <w:pPr>
                    <w:tabs>
                      <w:tab w:val="left" w:pos="6379"/>
                    </w:tabs>
                    <w:overflowPunct w:val="0"/>
                    <w:adjustRightInd w:val="0"/>
                    <w:snapToGrid w:val="0"/>
                    <w:jc w:val="center"/>
                    <w:rPr>
                      <w:rFonts w:hint="eastAsia" w:ascii="Times New Roman" w:hAnsi="Times New Roman" w:eastAsia="宋体" w:cs="Times New Roman"/>
                      <w:kern w:val="2"/>
                      <w:sz w:val="18"/>
                      <w:szCs w:val="21"/>
                      <w:lang w:val="en-US" w:eastAsia="zh-CN" w:bidi="ar-SA"/>
                    </w:rPr>
                  </w:pPr>
                  <w:r>
                    <w:rPr>
                      <w:rFonts w:hint="eastAsia"/>
                      <w:sz w:val="18"/>
                      <w:szCs w:val="21"/>
                      <w:lang w:val="en-US" w:eastAsia="zh-CN"/>
                    </w:rPr>
                    <w:t>4</w:t>
                  </w:r>
                </w:p>
              </w:tc>
              <w:tc>
                <w:tcPr>
                  <w:tcW w:w="700" w:type="dxa"/>
                  <w:noWrap/>
                  <w:vAlign w:val="center"/>
                </w:tcPr>
                <w:p w14:paraId="1B186155">
                  <w:pPr>
                    <w:tabs>
                      <w:tab w:val="left" w:pos="6379"/>
                    </w:tabs>
                    <w:overflowPunct w:val="0"/>
                    <w:adjustRightInd w:val="0"/>
                    <w:snapToGrid w:val="0"/>
                    <w:jc w:val="center"/>
                    <w:rPr>
                      <w:rFonts w:hint="eastAsia" w:eastAsia="宋体"/>
                      <w:sz w:val="18"/>
                      <w:szCs w:val="21"/>
                      <w:lang w:eastAsia="zh-CN"/>
                    </w:rPr>
                  </w:pPr>
                  <w:r>
                    <w:rPr>
                      <w:rFonts w:hint="eastAsia"/>
                      <w:sz w:val="18"/>
                      <w:szCs w:val="21"/>
                      <w:lang w:eastAsia="zh-CN"/>
                    </w:rPr>
                    <w:t>推进清洁生产</w:t>
                  </w:r>
                </w:p>
              </w:tc>
              <w:tc>
                <w:tcPr>
                  <w:tcW w:w="3727" w:type="dxa"/>
                  <w:noWrap/>
                  <w:vAlign w:val="center"/>
                </w:tcPr>
                <w:p w14:paraId="116D2647">
                  <w:pPr>
                    <w:tabs>
                      <w:tab w:val="left" w:pos="6379"/>
                    </w:tabs>
                    <w:overflowPunct w:val="0"/>
                    <w:adjustRightInd w:val="0"/>
                    <w:snapToGrid w:val="0"/>
                    <w:jc w:val="both"/>
                    <w:rPr>
                      <w:sz w:val="18"/>
                      <w:szCs w:val="21"/>
                    </w:rPr>
                  </w:pPr>
                  <w:r>
                    <w:rPr>
                      <w:rFonts w:hint="eastAsia"/>
                      <w:sz w:val="18"/>
                      <w:szCs w:val="21"/>
                    </w:rPr>
                    <w:t>在重点行业现有企业全面推行强制性清洁生产审核，提高精细化管理水平，推广节水技术，改进生产工艺，降低能耗、减少污染排放。鼓励集成电路封装、电子专用材料制造等重点排放企业开展中水回用示范工程，力争将非金属传统行业环境绩效提升至清洁生产Ⅰ级标准。将国际国内清洁生产一流标准作为新项目招引、落户的关键因素。</w:t>
                  </w:r>
                </w:p>
              </w:tc>
              <w:tc>
                <w:tcPr>
                  <w:tcW w:w="1307" w:type="dxa"/>
                  <w:noWrap/>
                  <w:vAlign w:val="center"/>
                </w:tcPr>
                <w:p w14:paraId="6E735D31">
                  <w:pPr>
                    <w:tabs>
                      <w:tab w:val="left" w:pos="6379"/>
                    </w:tabs>
                    <w:overflowPunct w:val="0"/>
                    <w:adjustRightInd w:val="0"/>
                    <w:snapToGrid w:val="0"/>
                    <w:jc w:val="center"/>
                    <w:rPr>
                      <w:sz w:val="18"/>
                      <w:szCs w:val="21"/>
                    </w:rPr>
                  </w:pPr>
                  <w:r>
                    <w:rPr>
                      <w:sz w:val="18"/>
                      <w:szCs w:val="21"/>
                    </w:rPr>
                    <w:t>项目产生“三废”均有效治理；不涉及“散乱污”问题。</w:t>
                  </w:r>
                </w:p>
              </w:tc>
              <w:tc>
                <w:tcPr>
                  <w:tcW w:w="870" w:type="dxa"/>
                  <w:noWrap/>
                  <w:vAlign w:val="center"/>
                </w:tcPr>
                <w:p w14:paraId="2D1732DF">
                  <w:pPr>
                    <w:tabs>
                      <w:tab w:val="left" w:pos="6379"/>
                    </w:tabs>
                    <w:overflowPunct w:val="0"/>
                    <w:adjustRightInd w:val="0"/>
                    <w:snapToGrid w:val="0"/>
                    <w:jc w:val="center"/>
                    <w:rPr>
                      <w:rFonts w:hint="eastAsia" w:eastAsia="宋体"/>
                      <w:sz w:val="18"/>
                      <w:szCs w:val="21"/>
                      <w:lang w:eastAsia="zh-CN"/>
                    </w:rPr>
                  </w:pPr>
                  <w:r>
                    <w:rPr>
                      <w:rFonts w:hint="eastAsia"/>
                      <w:sz w:val="18"/>
                      <w:szCs w:val="21"/>
                      <w:lang w:eastAsia="zh-CN"/>
                    </w:rPr>
                    <w:t>符合</w:t>
                  </w:r>
                </w:p>
              </w:tc>
            </w:tr>
            <w:tr w14:paraId="682160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24" w:hRule="atLeast"/>
                <w:jc w:val="center"/>
              </w:trPr>
              <w:tc>
                <w:tcPr>
                  <w:tcW w:w="539" w:type="dxa"/>
                  <w:noWrap/>
                  <w:vAlign w:val="center"/>
                </w:tcPr>
                <w:p w14:paraId="4862AB33">
                  <w:pPr>
                    <w:tabs>
                      <w:tab w:val="left" w:pos="6379"/>
                    </w:tabs>
                    <w:overflowPunct w:val="0"/>
                    <w:adjustRightInd w:val="0"/>
                    <w:snapToGrid w:val="0"/>
                    <w:jc w:val="center"/>
                    <w:rPr>
                      <w:rFonts w:hint="eastAsia" w:ascii="Times New Roman" w:hAnsi="Times New Roman" w:eastAsia="宋体" w:cs="Times New Roman"/>
                      <w:kern w:val="2"/>
                      <w:sz w:val="18"/>
                      <w:szCs w:val="21"/>
                      <w:lang w:val="en-US" w:eastAsia="zh-CN" w:bidi="ar-SA"/>
                    </w:rPr>
                  </w:pPr>
                  <w:r>
                    <w:rPr>
                      <w:rFonts w:hint="eastAsia"/>
                      <w:sz w:val="18"/>
                      <w:szCs w:val="21"/>
                      <w:lang w:val="en-US" w:eastAsia="zh-CN"/>
                    </w:rPr>
                    <w:t>5</w:t>
                  </w:r>
                </w:p>
              </w:tc>
              <w:tc>
                <w:tcPr>
                  <w:tcW w:w="700" w:type="dxa"/>
                  <w:noWrap/>
                  <w:vAlign w:val="center"/>
                </w:tcPr>
                <w:p w14:paraId="021267E5">
                  <w:pPr>
                    <w:tabs>
                      <w:tab w:val="left" w:pos="6379"/>
                    </w:tabs>
                    <w:overflowPunct w:val="0"/>
                    <w:adjustRightInd w:val="0"/>
                    <w:snapToGrid w:val="0"/>
                    <w:jc w:val="center"/>
                    <w:rPr>
                      <w:sz w:val="18"/>
                      <w:szCs w:val="21"/>
                    </w:rPr>
                  </w:pPr>
                  <w:r>
                    <w:rPr>
                      <w:sz w:val="18"/>
                      <w:szCs w:val="21"/>
                    </w:rPr>
                    <w:t>严守准入门槛</w:t>
                  </w:r>
                </w:p>
              </w:tc>
              <w:tc>
                <w:tcPr>
                  <w:tcW w:w="3727" w:type="dxa"/>
                  <w:noWrap/>
                  <w:vAlign w:val="center"/>
                </w:tcPr>
                <w:p w14:paraId="048F3519">
                  <w:pPr>
                    <w:tabs>
                      <w:tab w:val="left" w:pos="6379"/>
                    </w:tabs>
                    <w:overflowPunct w:val="0"/>
                    <w:adjustRightInd w:val="0"/>
                    <w:snapToGrid w:val="0"/>
                    <w:jc w:val="center"/>
                    <w:rPr>
                      <w:sz w:val="18"/>
                      <w:szCs w:val="21"/>
                    </w:rPr>
                  </w:pPr>
                  <w:r>
                    <w:rPr>
                      <w:rFonts w:hint="eastAsia"/>
                      <w:sz w:val="18"/>
                      <w:szCs w:val="21"/>
                    </w:rPr>
                    <w:t>全面深化生态环境分区管控方案、细化管控单元及行业准入条件，建立重点产业项目准入机制，优化产业发展。严格执行《长江经济带发展负面清单指南（试行，2022年版）》及江苏省实施细则，严守国家生态保护红线及江苏省生态空间管控区域。着力提升项目招引质效，以省级以上园区为主阵地，以大项目、好项目、新项目为切入点，注重项目的含金量、含新量、含绿量，招新引特、招大引强，带动行业提质增效。强化项目可研、环评、安评、能评、稳评等许可（备案）联动，严控高能耗高排放项目建设、严禁高污染不安全项目落地，坚决杜绝未批先建违法行为。</w:t>
                  </w:r>
                </w:p>
              </w:tc>
              <w:tc>
                <w:tcPr>
                  <w:tcW w:w="1307" w:type="dxa"/>
                  <w:noWrap/>
                  <w:vAlign w:val="center"/>
                </w:tcPr>
                <w:p w14:paraId="5120C28E">
                  <w:pPr>
                    <w:tabs>
                      <w:tab w:val="left" w:pos="6379"/>
                    </w:tabs>
                    <w:overflowPunct w:val="0"/>
                    <w:adjustRightInd w:val="0"/>
                    <w:snapToGrid w:val="0"/>
                    <w:rPr>
                      <w:sz w:val="18"/>
                      <w:szCs w:val="21"/>
                    </w:rPr>
                  </w:pPr>
                  <w:r>
                    <w:rPr>
                      <w:sz w:val="18"/>
                      <w:szCs w:val="21"/>
                    </w:rPr>
                    <w:t>本项目符合“三线一单”管控要求；与《长江经济带发展负面清单指南（试行）》及江苏省实施细则、国家生态保护红线及江苏省生态空间管控区域规划相符。</w:t>
                  </w:r>
                </w:p>
              </w:tc>
              <w:tc>
                <w:tcPr>
                  <w:tcW w:w="870" w:type="dxa"/>
                  <w:noWrap/>
                  <w:vAlign w:val="center"/>
                </w:tcPr>
                <w:p w14:paraId="7A81A4C6">
                  <w:pPr>
                    <w:tabs>
                      <w:tab w:val="left" w:pos="6379"/>
                    </w:tabs>
                    <w:overflowPunct w:val="0"/>
                    <w:adjustRightInd w:val="0"/>
                    <w:snapToGrid w:val="0"/>
                    <w:jc w:val="center"/>
                    <w:rPr>
                      <w:sz w:val="18"/>
                      <w:szCs w:val="21"/>
                    </w:rPr>
                  </w:pPr>
                  <w:r>
                    <w:rPr>
                      <w:sz w:val="18"/>
                      <w:szCs w:val="21"/>
                    </w:rPr>
                    <w:t>符合</w:t>
                  </w:r>
                </w:p>
              </w:tc>
            </w:tr>
            <w:tr w14:paraId="42A4E6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2" w:hRule="atLeast"/>
                <w:jc w:val="center"/>
              </w:trPr>
              <w:tc>
                <w:tcPr>
                  <w:tcW w:w="539" w:type="dxa"/>
                  <w:noWrap/>
                  <w:vAlign w:val="center"/>
                </w:tcPr>
                <w:p w14:paraId="279B5DFA">
                  <w:pPr>
                    <w:tabs>
                      <w:tab w:val="left" w:pos="6379"/>
                    </w:tabs>
                    <w:overflowPunct w:val="0"/>
                    <w:adjustRightInd w:val="0"/>
                    <w:snapToGrid w:val="0"/>
                    <w:jc w:val="center"/>
                    <w:rPr>
                      <w:rFonts w:hint="eastAsia" w:ascii="Times New Roman" w:hAnsi="Times New Roman" w:eastAsia="宋体" w:cs="Times New Roman"/>
                      <w:kern w:val="2"/>
                      <w:sz w:val="18"/>
                      <w:szCs w:val="21"/>
                      <w:lang w:val="en-US" w:eastAsia="zh-CN" w:bidi="ar-SA"/>
                    </w:rPr>
                  </w:pPr>
                  <w:r>
                    <w:rPr>
                      <w:rFonts w:hint="eastAsia"/>
                      <w:sz w:val="18"/>
                      <w:szCs w:val="21"/>
                      <w:lang w:val="en-US" w:eastAsia="zh-CN"/>
                    </w:rPr>
                    <w:t>6</w:t>
                  </w:r>
                </w:p>
              </w:tc>
              <w:tc>
                <w:tcPr>
                  <w:tcW w:w="700" w:type="dxa"/>
                  <w:noWrap/>
                  <w:vAlign w:val="center"/>
                </w:tcPr>
                <w:p w14:paraId="5D6F2D31">
                  <w:pPr>
                    <w:tabs>
                      <w:tab w:val="left" w:pos="6379"/>
                    </w:tabs>
                    <w:overflowPunct w:val="0"/>
                    <w:adjustRightInd w:val="0"/>
                    <w:snapToGrid w:val="0"/>
                    <w:jc w:val="center"/>
                    <w:rPr>
                      <w:sz w:val="18"/>
                      <w:szCs w:val="21"/>
                    </w:rPr>
                  </w:pPr>
                  <w:r>
                    <w:rPr>
                      <w:sz w:val="18"/>
                      <w:szCs w:val="21"/>
                    </w:rPr>
                    <w:t>鼓励科技创新</w:t>
                  </w:r>
                </w:p>
              </w:tc>
              <w:tc>
                <w:tcPr>
                  <w:tcW w:w="3727" w:type="dxa"/>
                  <w:noWrap/>
                  <w:vAlign w:val="center"/>
                </w:tcPr>
                <w:p w14:paraId="01DDC1C3">
                  <w:pPr>
                    <w:tabs>
                      <w:tab w:val="left" w:pos="6379"/>
                    </w:tabs>
                    <w:overflowPunct w:val="0"/>
                    <w:adjustRightInd w:val="0"/>
                    <w:snapToGrid w:val="0"/>
                    <w:jc w:val="center"/>
                    <w:rPr>
                      <w:sz w:val="18"/>
                      <w:szCs w:val="21"/>
                    </w:rPr>
                  </w:pPr>
                  <w:r>
                    <w:rPr>
                      <w:rFonts w:hint="eastAsia"/>
                      <w:sz w:val="18"/>
                      <w:szCs w:val="21"/>
                    </w:rPr>
                    <w:t>健全以企业为主体的产学研用协同创新体系，推动“揭榜挂帅”攻坚计划项目，支持联合攻关。培育科技创新企业，强化平台载体建设，深化开发合作创新，广聚创新创业人才，加强知识产权保护。加强节能降耗、清洁生产、污染治理、循环利用等领域的技术创新和成果转化，大力推进原始创新和集成创新。增强创新储备，提升创新全链条支撑能力，为实现重大创新突破、培育高端产业奠定重要基础。鼓励科研机构、高等院校和企业等单位开展重点行业节能减排领域应用基础研究，提高科学研究支撑能力。</w:t>
                  </w:r>
                </w:p>
              </w:tc>
              <w:tc>
                <w:tcPr>
                  <w:tcW w:w="1307" w:type="dxa"/>
                  <w:noWrap/>
                  <w:vAlign w:val="center"/>
                </w:tcPr>
                <w:p w14:paraId="543B4AE5">
                  <w:pPr>
                    <w:tabs>
                      <w:tab w:val="left" w:pos="6379"/>
                    </w:tabs>
                    <w:overflowPunct w:val="0"/>
                    <w:adjustRightInd w:val="0"/>
                    <w:snapToGrid w:val="0"/>
                    <w:jc w:val="center"/>
                    <w:rPr>
                      <w:rFonts w:hint="eastAsia" w:eastAsia="宋体"/>
                      <w:sz w:val="18"/>
                      <w:szCs w:val="21"/>
                      <w:lang w:val="en-US" w:eastAsia="zh-CN"/>
                    </w:rPr>
                  </w:pPr>
                  <w:r>
                    <w:rPr>
                      <w:rFonts w:hint="eastAsia"/>
                      <w:sz w:val="18"/>
                      <w:szCs w:val="21"/>
                      <w:lang w:val="en-US" w:eastAsia="zh-CN"/>
                    </w:rPr>
                    <w:t>/</w:t>
                  </w:r>
                </w:p>
              </w:tc>
              <w:tc>
                <w:tcPr>
                  <w:tcW w:w="870" w:type="dxa"/>
                  <w:noWrap/>
                  <w:vAlign w:val="center"/>
                </w:tcPr>
                <w:p w14:paraId="60A396A2">
                  <w:pPr>
                    <w:tabs>
                      <w:tab w:val="left" w:pos="6379"/>
                    </w:tabs>
                    <w:overflowPunct w:val="0"/>
                    <w:adjustRightInd w:val="0"/>
                    <w:snapToGrid w:val="0"/>
                    <w:jc w:val="center"/>
                    <w:rPr>
                      <w:sz w:val="18"/>
                      <w:szCs w:val="21"/>
                    </w:rPr>
                  </w:pPr>
                  <w:r>
                    <w:rPr>
                      <w:sz w:val="18"/>
                      <w:szCs w:val="21"/>
                    </w:rPr>
                    <w:t>符合</w:t>
                  </w:r>
                </w:p>
              </w:tc>
            </w:tr>
            <w:tr w14:paraId="5C42D2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539" w:type="dxa"/>
                  <w:noWrap/>
                  <w:vAlign w:val="center"/>
                </w:tcPr>
                <w:p w14:paraId="0DDCFCB2">
                  <w:pPr>
                    <w:tabs>
                      <w:tab w:val="left" w:pos="6379"/>
                    </w:tabs>
                    <w:overflowPunct w:val="0"/>
                    <w:adjustRightInd w:val="0"/>
                    <w:snapToGrid w:val="0"/>
                    <w:jc w:val="center"/>
                    <w:rPr>
                      <w:rFonts w:hint="eastAsia" w:ascii="Times New Roman" w:hAnsi="Times New Roman" w:eastAsia="宋体" w:cs="Times New Roman"/>
                      <w:kern w:val="2"/>
                      <w:sz w:val="18"/>
                      <w:szCs w:val="21"/>
                      <w:lang w:val="en-US" w:eastAsia="zh-CN" w:bidi="ar-SA"/>
                    </w:rPr>
                  </w:pPr>
                  <w:r>
                    <w:rPr>
                      <w:rFonts w:hint="eastAsia"/>
                      <w:sz w:val="18"/>
                      <w:szCs w:val="21"/>
                      <w:lang w:val="en-US" w:eastAsia="zh-CN"/>
                    </w:rPr>
                    <w:t>7</w:t>
                  </w:r>
                </w:p>
              </w:tc>
              <w:tc>
                <w:tcPr>
                  <w:tcW w:w="700" w:type="dxa"/>
                  <w:noWrap/>
                  <w:vAlign w:val="center"/>
                </w:tcPr>
                <w:p w14:paraId="03BFEFC7">
                  <w:pPr>
                    <w:tabs>
                      <w:tab w:val="left" w:pos="6379"/>
                    </w:tabs>
                    <w:overflowPunct w:val="0"/>
                    <w:adjustRightInd w:val="0"/>
                    <w:snapToGrid w:val="0"/>
                    <w:jc w:val="center"/>
                    <w:rPr>
                      <w:sz w:val="18"/>
                      <w:szCs w:val="21"/>
                    </w:rPr>
                  </w:pPr>
                  <w:r>
                    <w:rPr>
                      <w:sz w:val="18"/>
                      <w:szCs w:val="21"/>
                    </w:rPr>
                    <w:t>构建绿色供应链</w:t>
                  </w:r>
                </w:p>
              </w:tc>
              <w:tc>
                <w:tcPr>
                  <w:tcW w:w="3727" w:type="dxa"/>
                  <w:noWrap/>
                  <w:vAlign w:val="center"/>
                </w:tcPr>
                <w:p w14:paraId="56DB11C1">
                  <w:pPr>
                    <w:tabs>
                      <w:tab w:val="left" w:pos="6379"/>
                    </w:tabs>
                    <w:overflowPunct w:val="0"/>
                    <w:adjustRightInd w:val="0"/>
                    <w:snapToGrid w:val="0"/>
                    <w:jc w:val="center"/>
                    <w:rPr>
                      <w:sz w:val="18"/>
                      <w:szCs w:val="21"/>
                    </w:rPr>
                  </w:pPr>
                  <w:r>
                    <w:rPr>
                      <w:sz w:val="18"/>
                      <w:szCs w:val="21"/>
                    </w:rPr>
                    <w:t>加快建设绿色制造体系，实施一批绿色制造示范项目，打造一批具有示范带动作用的绿色工厂和绿色供应链。鼓励企业开展绿色设计、选择绿色材料、实施绿色采购、打造绿色制造工艺、推行绿色包装、开展绿色运输、做好废弃产品回收处理，实现产品全周期的绿色环保。鼓励行业协会通过制定规范、咨询服务、行业自律等方式提高行业供应链绿色化水平。</w:t>
                  </w:r>
                </w:p>
              </w:tc>
              <w:tc>
                <w:tcPr>
                  <w:tcW w:w="1307" w:type="dxa"/>
                  <w:noWrap/>
                  <w:vAlign w:val="center"/>
                </w:tcPr>
                <w:p w14:paraId="51A5F212">
                  <w:pPr>
                    <w:tabs>
                      <w:tab w:val="left" w:pos="6379"/>
                    </w:tabs>
                    <w:overflowPunct w:val="0"/>
                    <w:adjustRightInd w:val="0"/>
                    <w:snapToGrid w:val="0"/>
                    <w:jc w:val="center"/>
                    <w:rPr>
                      <w:rFonts w:hint="eastAsia" w:eastAsia="宋体"/>
                      <w:sz w:val="18"/>
                      <w:szCs w:val="21"/>
                      <w:lang w:eastAsia="zh-CN"/>
                    </w:rPr>
                  </w:pPr>
                  <w:r>
                    <w:rPr>
                      <w:rFonts w:hint="eastAsia"/>
                      <w:sz w:val="18"/>
                      <w:szCs w:val="21"/>
                    </w:rPr>
                    <w:t>项目采用</w:t>
                  </w:r>
                  <w:r>
                    <w:rPr>
                      <w:rFonts w:hint="eastAsia"/>
                      <w:sz w:val="18"/>
                      <w:szCs w:val="21"/>
                      <w:lang w:eastAsia="zh-CN"/>
                    </w:rPr>
                    <w:t>不使用涂料等溶剂</w:t>
                  </w:r>
                  <w:r>
                    <w:rPr>
                      <w:rFonts w:hint="eastAsia"/>
                      <w:sz w:val="18"/>
                      <w:szCs w:val="21"/>
                    </w:rPr>
                    <w:t>。</w:t>
                  </w:r>
                  <w:r>
                    <w:rPr>
                      <w:rFonts w:hint="eastAsia"/>
                      <w:color w:val="auto"/>
                      <w:sz w:val="18"/>
                      <w:szCs w:val="21"/>
                    </w:rPr>
                    <w:t>废气</w:t>
                  </w:r>
                  <w:r>
                    <w:rPr>
                      <w:rFonts w:hint="eastAsia"/>
                      <w:color w:val="auto"/>
                      <w:sz w:val="18"/>
                      <w:szCs w:val="21"/>
                      <w:lang w:eastAsia="zh-CN"/>
                    </w:rPr>
                    <w:t>经处理后排放</w:t>
                  </w:r>
                  <w:r>
                    <w:rPr>
                      <w:rFonts w:hint="eastAsia"/>
                      <w:sz w:val="18"/>
                      <w:szCs w:val="21"/>
                    </w:rPr>
                    <w:t>；危废均密闭存放于危废暂存库，委托有资质单位进行处置。</w:t>
                  </w:r>
                </w:p>
              </w:tc>
              <w:tc>
                <w:tcPr>
                  <w:tcW w:w="870" w:type="dxa"/>
                  <w:noWrap/>
                  <w:vAlign w:val="center"/>
                </w:tcPr>
                <w:p w14:paraId="017096AA">
                  <w:pPr>
                    <w:tabs>
                      <w:tab w:val="left" w:pos="6379"/>
                    </w:tabs>
                    <w:overflowPunct w:val="0"/>
                    <w:adjustRightInd w:val="0"/>
                    <w:snapToGrid w:val="0"/>
                    <w:jc w:val="center"/>
                    <w:rPr>
                      <w:sz w:val="18"/>
                      <w:szCs w:val="21"/>
                    </w:rPr>
                  </w:pPr>
                  <w:r>
                    <w:rPr>
                      <w:sz w:val="18"/>
                      <w:szCs w:val="21"/>
                    </w:rPr>
                    <w:t>/</w:t>
                  </w:r>
                </w:p>
              </w:tc>
            </w:tr>
            <w:tr w14:paraId="44B2AF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15" w:hRule="atLeast"/>
                <w:jc w:val="center"/>
              </w:trPr>
              <w:tc>
                <w:tcPr>
                  <w:tcW w:w="539" w:type="dxa"/>
                  <w:noWrap/>
                  <w:vAlign w:val="center"/>
                </w:tcPr>
                <w:p w14:paraId="6069F2B1">
                  <w:pPr>
                    <w:tabs>
                      <w:tab w:val="left" w:pos="6379"/>
                    </w:tabs>
                    <w:overflowPunct w:val="0"/>
                    <w:adjustRightInd w:val="0"/>
                    <w:snapToGrid w:val="0"/>
                    <w:jc w:val="center"/>
                    <w:rPr>
                      <w:rFonts w:hint="eastAsia" w:ascii="Times New Roman" w:hAnsi="Times New Roman" w:eastAsia="宋体" w:cs="Times New Roman"/>
                      <w:kern w:val="2"/>
                      <w:sz w:val="18"/>
                      <w:szCs w:val="21"/>
                      <w:lang w:val="en-US" w:eastAsia="zh-CN" w:bidi="ar-SA"/>
                    </w:rPr>
                  </w:pPr>
                  <w:r>
                    <w:rPr>
                      <w:rFonts w:hint="eastAsia"/>
                      <w:sz w:val="18"/>
                      <w:szCs w:val="21"/>
                      <w:lang w:val="en-US" w:eastAsia="zh-CN"/>
                    </w:rPr>
                    <w:t>8</w:t>
                  </w:r>
                </w:p>
              </w:tc>
              <w:tc>
                <w:tcPr>
                  <w:tcW w:w="700" w:type="dxa"/>
                  <w:noWrap/>
                  <w:vAlign w:val="center"/>
                </w:tcPr>
                <w:p w14:paraId="2FE2F6AE">
                  <w:pPr>
                    <w:tabs>
                      <w:tab w:val="left" w:pos="6379"/>
                    </w:tabs>
                    <w:overflowPunct w:val="0"/>
                    <w:adjustRightInd w:val="0"/>
                    <w:snapToGrid w:val="0"/>
                    <w:jc w:val="center"/>
                    <w:rPr>
                      <w:rFonts w:hint="eastAsia" w:eastAsia="宋体"/>
                      <w:sz w:val="18"/>
                      <w:szCs w:val="21"/>
                      <w:lang w:eastAsia="zh-CN"/>
                    </w:rPr>
                  </w:pPr>
                  <w:r>
                    <w:rPr>
                      <w:rFonts w:hint="eastAsia"/>
                      <w:sz w:val="18"/>
                      <w:szCs w:val="21"/>
                      <w:lang w:eastAsia="zh-CN"/>
                    </w:rPr>
                    <w:t>提高能源利用效率</w:t>
                  </w:r>
                </w:p>
              </w:tc>
              <w:tc>
                <w:tcPr>
                  <w:tcW w:w="3727" w:type="dxa"/>
                  <w:noWrap/>
                  <w:vAlign w:val="center"/>
                </w:tcPr>
                <w:p w14:paraId="02B7D315">
                  <w:pPr>
                    <w:tabs>
                      <w:tab w:val="left" w:pos="6379"/>
                    </w:tabs>
                    <w:overflowPunct w:val="0"/>
                    <w:adjustRightInd w:val="0"/>
                    <w:snapToGrid w:val="0"/>
                    <w:jc w:val="center"/>
                    <w:rPr>
                      <w:sz w:val="18"/>
                      <w:szCs w:val="21"/>
                    </w:rPr>
                  </w:pPr>
                  <w:r>
                    <w:rPr>
                      <w:rFonts w:hint="eastAsia"/>
                      <w:sz w:val="18"/>
                      <w:szCs w:val="21"/>
                    </w:rPr>
                    <w:t>强化能耗强度刚性约束，对标高耗能行业重点领域能效标杆水平和基准水平，开展全市重点领域项目能效摸底调查，建立重点企业、重点项目能效清单目录和能效台账，有序推进纺织、化工、建材等行业开展节能降碳改造，提升能源利用效率。加强新型基础设施绿色技术耦合，推动既有设施绿色升级改造。深入挖掘存量项目节能潜力，强化用能管理，优化用能结构，规范用能行为，提高设施能效水平。强化高耗能企业绿电（绿证）消费责任，按要求提升绿电（绿证）消费水平，到2025年，高耗能企业电力消费中绿色电力占比不低于30%。支持重点企业、园区高比例消费绿色电力，打造绿色电力企业、绿色电力园区。强化执法监管，建立完善跨部门联动的跟踪节能监察机制，组织开展专项节能监察行动。壮大节能减排队伍，加强节能监察能力建设，健全市、县节能监察体系，提升监察队伍的专业素质和服务意识。</w:t>
                  </w:r>
                </w:p>
              </w:tc>
              <w:tc>
                <w:tcPr>
                  <w:tcW w:w="1307" w:type="dxa"/>
                  <w:noWrap/>
                  <w:vAlign w:val="center"/>
                </w:tcPr>
                <w:p w14:paraId="40611F90">
                  <w:pPr>
                    <w:tabs>
                      <w:tab w:val="left" w:pos="6379"/>
                    </w:tabs>
                    <w:overflowPunct w:val="0"/>
                    <w:adjustRightInd w:val="0"/>
                    <w:snapToGrid w:val="0"/>
                    <w:jc w:val="center"/>
                    <w:rPr>
                      <w:rFonts w:hint="eastAsia" w:eastAsia="宋体"/>
                      <w:sz w:val="18"/>
                      <w:szCs w:val="21"/>
                      <w:lang w:eastAsia="zh-CN"/>
                    </w:rPr>
                  </w:pPr>
                  <w:r>
                    <w:rPr>
                      <w:rFonts w:hint="eastAsia"/>
                      <w:sz w:val="18"/>
                      <w:szCs w:val="21"/>
                      <w:lang w:eastAsia="zh-CN"/>
                    </w:rPr>
                    <w:t>项目不属于高能耗项目</w:t>
                  </w:r>
                </w:p>
              </w:tc>
              <w:tc>
                <w:tcPr>
                  <w:tcW w:w="870" w:type="dxa"/>
                  <w:noWrap/>
                  <w:vAlign w:val="center"/>
                </w:tcPr>
                <w:p w14:paraId="4611A0F8">
                  <w:pPr>
                    <w:tabs>
                      <w:tab w:val="left" w:pos="6379"/>
                    </w:tabs>
                    <w:overflowPunct w:val="0"/>
                    <w:adjustRightInd w:val="0"/>
                    <w:snapToGrid w:val="0"/>
                    <w:jc w:val="center"/>
                    <w:rPr>
                      <w:sz w:val="18"/>
                      <w:szCs w:val="21"/>
                    </w:rPr>
                  </w:pPr>
                  <w:r>
                    <w:rPr>
                      <w:rFonts w:hint="eastAsia"/>
                      <w:sz w:val="18"/>
                      <w:szCs w:val="21"/>
                    </w:rPr>
                    <w:t>/</w:t>
                  </w:r>
                </w:p>
              </w:tc>
            </w:tr>
            <w:tr w14:paraId="68B9C3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539" w:type="dxa"/>
                  <w:noWrap/>
                  <w:vAlign w:val="center"/>
                </w:tcPr>
                <w:p w14:paraId="181A91E0">
                  <w:pPr>
                    <w:tabs>
                      <w:tab w:val="left" w:pos="6379"/>
                    </w:tabs>
                    <w:overflowPunct w:val="0"/>
                    <w:adjustRightInd w:val="0"/>
                    <w:snapToGrid w:val="0"/>
                    <w:jc w:val="center"/>
                    <w:rPr>
                      <w:rFonts w:hint="eastAsia" w:ascii="Times New Roman" w:hAnsi="Times New Roman" w:eastAsia="宋体" w:cs="Times New Roman"/>
                      <w:kern w:val="2"/>
                      <w:sz w:val="18"/>
                      <w:szCs w:val="21"/>
                      <w:lang w:val="en-US" w:eastAsia="zh-CN" w:bidi="ar-SA"/>
                    </w:rPr>
                  </w:pPr>
                  <w:r>
                    <w:rPr>
                      <w:rFonts w:hint="eastAsia"/>
                      <w:sz w:val="18"/>
                      <w:szCs w:val="21"/>
                      <w:lang w:val="en-US" w:eastAsia="zh-CN"/>
                    </w:rPr>
                    <w:t>9</w:t>
                  </w:r>
                </w:p>
              </w:tc>
              <w:tc>
                <w:tcPr>
                  <w:tcW w:w="700" w:type="dxa"/>
                  <w:noWrap/>
                  <w:vAlign w:val="center"/>
                </w:tcPr>
                <w:p w14:paraId="1D74940C">
                  <w:pPr>
                    <w:tabs>
                      <w:tab w:val="left" w:pos="6379"/>
                    </w:tabs>
                    <w:overflowPunct w:val="0"/>
                    <w:adjustRightInd w:val="0"/>
                    <w:snapToGrid w:val="0"/>
                    <w:jc w:val="center"/>
                    <w:rPr>
                      <w:rFonts w:hint="eastAsia" w:eastAsia="宋体"/>
                      <w:sz w:val="18"/>
                      <w:szCs w:val="21"/>
                      <w:lang w:eastAsia="zh-CN"/>
                    </w:rPr>
                  </w:pPr>
                  <w:r>
                    <w:rPr>
                      <w:rFonts w:hint="eastAsia"/>
                      <w:sz w:val="18"/>
                      <w:szCs w:val="21"/>
                      <w:lang w:eastAsia="zh-CN"/>
                    </w:rPr>
                    <w:t>加强统计监测能力</w:t>
                  </w:r>
                </w:p>
              </w:tc>
              <w:tc>
                <w:tcPr>
                  <w:tcW w:w="3727" w:type="dxa"/>
                  <w:noWrap/>
                  <w:vAlign w:val="center"/>
                </w:tcPr>
                <w:p w14:paraId="31AC0CA8">
                  <w:pPr>
                    <w:tabs>
                      <w:tab w:val="left" w:pos="6379"/>
                    </w:tabs>
                    <w:overflowPunct w:val="0"/>
                    <w:adjustRightInd w:val="0"/>
                    <w:snapToGrid w:val="0"/>
                    <w:jc w:val="both"/>
                    <w:rPr>
                      <w:sz w:val="18"/>
                      <w:szCs w:val="21"/>
                    </w:rPr>
                  </w:pPr>
                  <w:r>
                    <w:rPr>
                      <w:rFonts w:hint="eastAsia"/>
                      <w:sz w:val="18"/>
                      <w:szCs w:val="21"/>
                    </w:rPr>
                    <w:t>完善重点用能单位能源利用状况报告制度，健全能源计量体系。推进重点耗能企业能耗在线监测系统建设和应用。健全固定污染源监测监控体系，推进排污单位自动监测监控联网全覆盖。开展农业面源污染试点监测评估。加强船舶和港口污染物排放调查监测。加强统计基层队伍建设，提升统计数据质量。在火电、石化、化工、建材、钢铁、有色、造纸等行业，以及年综合能源消费1万吨标准煤以上的重点污染源企业开展碳排放协同监测</w:t>
                  </w:r>
                </w:p>
              </w:tc>
              <w:tc>
                <w:tcPr>
                  <w:tcW w:w="1307" w:type="dxa"/>
                  <w:noWrap/>
                  <w:vAlign w:val="center"/>
                </w:tcPr>
                <w:p w14:paraId="33CCBC96">
                  <w:pPr>
                    <w:tabs>
                      <w:tab w:val="left" w:pos="6379"/>
                    </w:tabs>
                    <w:overflowPunct w:val="0"/>
                    <w:adjustRightInd w:val="0"/>
                    <w:snapToGrid w:val="0"/>
                    <w:jc w:val="center"/>
                    <w:rPr>
                      <w:sz w:val="18"/>
                      <w:szCs w:val="21"/>
                    </w:rPr>
                  </w:pPr>
                  <w:r>
                    <w:rPr>
                      <w:rFonts w:hint="eastAsia"/>
                      <w:sz w:val="18"/>
                      <w:szCs w:val="18"/>
                    </w:rPr>
                    <w:t>项目已制定自行监测计划，后期项目运营后，按计划进行监测</w:t>
                  </w:r>
                </w:p>
              </w:tc>
              <w:tc>
                <w:tcPr>
                  <w:tcW w:w="870" w:type="dxa"/>
                  <w:noWrap/>
                  <w:vAlign w:val="center"/>
                </w:tcPr>
                <w:p w14:paraId="10C0A776">
                  <w:pPr>
                    <w:tabs>
                      <w:tab w:val="left" w:pos="6379"/>
                    </w:tabs>
                    <w:overflowPunct w:val="0"/>
                    <w:adjustRightInd w:val="0"/>
                    <w:snapToGrid w:val="0"/>
                    <w:jc w:val="center"/>
                    <w:rPr>
                      <w:rFonts w:hint="eastAsia" w:eastAsia="宋体"/>
                      <w:sz w:val="18"/>
                      <w:szCs w:val="21"/>
                      <w:lang w:eastAsia="zh-CN"/>
                    </w:rPr>
                  </w:pPr>
                  <w:r>
                    <w:rPr>
                      <w:rFonts w:hint="eastAsia"/>
                      <w:sz w:val="18"/>
                      <w:szCs w:val="21"/>
                      <w:lang w:eastAsia="zh-CN"/>
                    </w:rPr>
                    <w:t>符合</w:t>
                  </w:r>
                </w:p>
              </w:tc>
            </w:tr>
            <w:tr w14:paraId="59BA10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539" w:type="dxa"/>
                  <w:noWrap/>
                  <w:vAlign w:val="center"/>
                </w:tcPr>
                <w:p w14:paraId="01E9DFB9">
                  <w:pPr>
                    <w:tabs>
                      <w:tab w:val="left" w:pos="6379"/>
                    </w:tabs>
                    <w:overflowPunct w:val="0"/>
                    <w:adjustRightInd w:val="0"/>
                    <w:snapToGrid w:val="0"/>
                    <w:jc w:val="center"/>
                    <w:rPr>
                      <w:rFonts w:hint="default" w:eastAsia="宋体"/>
                      <w:sz w:val="18"/>
                      <w:szCs w:val="21"/>
                      <w:lang w:val="en-US" w:eastAsia="zh-CN"/>
                    </w:rPr>
                  </w:pPr>
                  <w:r>
                    <w:rPr>
                      <w:rFonts w:hint="eastAsia"/>
                      <w:sz w:val="18"/>
                      <w:szCs w:val="21"/>
                      <w:lang w:val="en-US" w:eastAsia="zh-CN"/>
                    </w:rPr>
                    <w:t>10</w:t>
                  </w:r>
                </w:p>
              </w:tc>
              <w:tc>
                <w:tcPr>
                  <w:tcW w:w="700" w:type="dxa"/>
                  <w:noWrap/>
                  <w:vAlign w:val="center"/>
                </w:tcPr>
                <w:p w14:paraId="2DB61947">
                  <w:pPr>
                    <w:tabs>
                      <w:tab w:val="left" w:pos="6379"/>
                    </w:tabs>
                    <w:overflowPunct w:val="0"/>
                    <w:adjustRightInd w:val="0"/>
                    <w:snapToGrid w:val="0"/>
                    <w:jc w:val="center"/>
                    <w:rPr>
                      <w:rFonts w:hint="eastAsia" w:eastAsia="宋体"/>
                      <w:sz w:val="18"/>
                      <w:szCs w:val="21"/>
                      <w:lang w:eastAsia="zh-CN"/>
                    </w:rPr>
                  </w:pPr>
                  <w:r>
                    <w:rPr>
                      <w:rFonts w:hint="eastAsia"/>
                      <w:sz w:val="18"/>
                      <w:szCs w:val="21"/>
                      <w:lang w:eastAsia="zh-CN"/>
                    </w:rPr>
                    <w:t>加快智改数转</w:t>
                  </w:r>
                </w:p>
              </w:tc>
              <w:tc>
                <w:tcPr>
                  <w:tcW w:w="3727" w:type="dxa"/>
                  <w:noWrap/>
                  <w:vAlign w:val="center"/>
                </w:tcPr>
                <w:p w14:paraId="2517F1E7">
                  <w:pPr>
                    <w:tabs>
                      <w:tab w:val="left" w:pos="6379"/>
                    </w:tabs>
                    <w:overflowPunct w:val="0"/>
                    <w:adjustRightInd w:val="0"/>
                    <w:snapToGrid w:val="0"/>
                    <w:jc w:val="center"/>
                    <w:rPr>
                      <w:sz w:val="18"/>
                      <w:szCs w:val="21"/>
                    </w:rPr>
                  </w:pPr>
                  <w:r>
                    <w:rPr>
                      <w:rFonts w:hint="eastAsia"/>
                      <w:sz w:val="18"/>
                      <w:szCs w:val="21"/>
                    </w:rPr>
                    <w:t>大力推进智慧化工园区建设，全面提升园区监督管理信息化、分析决策智能化、应急救援一体化支撑能力。支持园区“链主”企业利用5G、大数据、人工智能等新一代信息技术进行全链条改造，加大核心装备、关键工序智能化改造和载体平台数字化提升等领域的投入，培育一批智能制造示范车间、示范工厂和工业互联网标杆工厂，带动产业链上下游企业数字化转型，推动化工产业转型升级、高质量发展。</w:t>
                  </w:r>
                </w:p>
              </w:tc>
              <w:tc>
                <w:tcPr>
                  <w:tcW w:w="1307" w:type="dxa"/>
                  <w:noWrap/>
                  <w:vAlign w:val="center"/>
                </w:tcPr>
                <w:p w14:paraId="0C643030">
                  <w:pPr>
                    <w:tabs>
                      <w:tab w:val="left" w:pos="6379"/>
                    </w:tabs>
                    <w:overflowPunct w:val="0"/>
                    <w:adjustRightInd w:val="0"/>
                    <w:snapToGrid w:val="0"/>
                    <w:jc w:val="center"/>
                    <w:rPr>
                      <w:rFonts w:hint="eastAsia" w:eastAsia="宋体"/>
                      <w:sz w:val="18"/>
                      <w:szCs w:val="21"/>
                      <w:lang w:eastAsia="zh-CN"/>
                    </w:rPr>
                  </w:pPr>
                  <w:r>
                    <w:rPr>
                      <w:rFonts w:hint="eastAsia"/>
                      <w:sz w:val="18"/>
                      <w:szCs w:val="21"/>
                      <w:lang w:val="en-US" w:eastAsia="zh-CN"/>
                    </w:rPr>
                    <w:t>/</w:t>
                  </w:r>
                </w:p>
              </w:tc>
              <w:tc>
                <w:tcPr>
                  <w:tcW w:w="870" w:type="dxa"/>
                  <w:noWrap/>
                  <w:vAlign w:val="center"/>
                </w:tcPr>
                <w:p w14:paraId="6E5E3173">
                  <w:pPr>
                    <w:tabs>
                      <w:tab w:val="left" w:pos="6379"/>
                    </w:tabs>
                    <w:overflowPunct w:val="0"/>
                    <w:adjustRightInd w:val="0"/>
                    <w:snapToGrid w:val="0"/>
                    <w:jc w:val="center"/>
                    <w:rPr>
                      <w:rFonts w:hint="eastAsia" w:eastAsia="宋体"/>
                      <w:sz w:val="18"/>
                      <w:szCs w:val="21"/>
                      <w:lang w:eastAsia="zh-CN"/>
                    </w:rPr>
                  </w:pPr>
                  <w:r>
                    <w:rPr>
                      <w:rFonts w:hint="eastAsia"/>
                      <w:sz w:val="18"/>
                      <w:szCs w:val="21"/>
                      <w:lang w:val="en-US" w:eastAsia="zh-CN"/>
                    </w:rPr>
                    <w:t>/</w:t>
                  </w:r>
                </w:p>
              </w:tc>
            </w:tr>
          </w:tbl>
          <w:p w14:paraId="39528811">
            <w:pPr>
              <w:spacing w:line="500" w:lineRule="exact"/>
              <w:ind w:firstLine="422" w:firstLineChars="200"/>
              <w:rPr>
                <w:b/>
                <w:bCs/>
              </w:rPr>
            </w:pPr>
            <w:r>
              <w:rPr>
                <w:rFonts w:hint="eastAsia"/>
                <w:b/>
                <w:bCs/>
                <w:lang w:val="en-US" w:eastAsia="zh-CN"/>
              </w:rPr>
              <w:t>9</w:t>
            </w:r>
            <w:r>
              <w:rPr>
                <w:b/>
                <w:bCs/>
              </w:rPr>
              <w:t>、与《关于做好生态环境和应急管理部门联动的工作的意见》（苏环办</w:t>
            </w:r>
            <w:r>
              <w:rPr>
                <w:rFonts w:hint="eastAsia"/>
                <w:b/>
                <w:bCs/>
                <w:lang w:eastAsia="zh-CN"/>
              </w:rPr>
              <w:t>〔</w:t>
            </w:r>
            <w:r>
              <w:rPr>
                <w:b/>
                <w:bCs/>
              </w:rPr>
              <w:t>2020</w:t>
            </w:r>
            <w:r>
              <w:rPr>
                <w:rFonts w:hint="eastAsia"/>
                <w:b/>
                <w:bCs/>
                <w:lang w:eastAsia="zh-CN"/>
              </w:rPr>
              <w:t>〕</w:t>
            </w:r>
            <w:r>
              <w:rPr>
                <w:b/>
                <w:bCs/>
              </w:rPr>
              <w:t>101号）相符性分析</w:t>
            </w:r>
          </w:p>
          <w:p w14:paraId="1B20E3BD">
            <w:pPr>
              <w:spacing w:line="360" w:lineRule="auto"/>
              <w:jc w:val="center"/>
              <w:rPr>
                <w:b/>
                <w:bCs/>
              </w:rPr>
            </w:pPr>
            <w:r>
              <w:rPr>
                <w:b/>
                <w:bCs/>
              </w:rPr>
              <w:t>表1-</w:t>
            </w:r>
            <w:r>
              <w:rPr>
                <w:rFonts w:hint="eastAsia"/>
                <w:b/>
                <w:bCs/>
                <w:lang w:val="en-US" w:eastAsia="zh-CN"/>
              </w:rPr>
              <w:t>6</w:t>
            </w:r>
            <w:r>
              <w:rPr>
                <w:b/>
                <w:bCs/>
              </w:rPr>
              <w:t xml:space="preserve"> 与苏环办</w:t>
            </w:r>
            <w:r>
              <w:rPr>
                <w:rFonts w:hint="eastAsia"/>
                <w:b/>
                <w:bCs/>
                <w:lang w:eastAsia="zh-CN"/>
              </w:rPr>
              <w:t>〔</w:t>
            </w:r>
            <w:r>
              <w:rPr>
                <w:b/>
                <w:bCs/>
              </w:rPr>
              <w:t>2020</w:t>
            </w:r>
            <w:r>
              <w:rPr>
                <w:rFonts w:hint="eastAsia"/>
                <w:b/>
                <w:bCs/>
                <w:lang w:eastAsia="zh-CN"/>
              </w:rPr>
              <w:t>〕</w:t>
            </w:r>
            <w:r>
              <w:rPr>
                <w:b/>
                <w:bCs/>
              </w:rPr>
              <w:t>101号）相符性分析</w:t>
            </w:r>
          </w:p>
          <w:tbl>
            <w:tblPr>
              <w:tblStyle w:val="19"/>
              <w:tblW w:w="723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657"/>
              <w:gridCol w:w="2725"/>
              <w:gridCol w:w="856"/>
            </w:tblGrid>
            <w:tr w14:paraId="2C54EB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657" w:type="dxa"/>
                  <w:vAlign w:val="center"/>
                </w:tcPr>
                <w:p w14:paraId="3099D411">
                  <w:pPr>
                    <w:jc w:val="center"/>
                    <w:rPr>
                      <w:sz w:val="18"/>
                      <w:szCs w:val="18"/>
                    </w:rPr>
                  </w:pPr>
                  <w:r>
                    <w:rPr>
                      <w:sz w:val="18"/>
                      <w:szCs w:val="18"/>
                    </w:rPr>
                    <w:t>相关内容</w:t>
                  </w:r>
                </w:p>
              </w:tc>
              <w:tc>
                <w:tcPr>
                  <w:tcW w:w="2725" w:type="dxa"/>
                  <w:vAlign w:val="center"/>
                </w:tcPr>
                <w:p w14:paraId="748AE215">
                  <w:pPr>
                    <w:jc w:val="center"/>
                    <w:rPr>
                      <w:sz w:val="18"/>
                      <w:szCs w:val="18"/>
                    </w:rPr>
                  </w:pPr>
                  <w:r>
                    <w:rPr>
                      <w:sz w:val="18"/>
                      <w:szCs w:val="18"/>
                    </w:rPr>
                    <w:t>本项目</w:t>
                  </w:r>
                </w:p>
              </w:tc>
              <w:tc>
                <w:tcPr>
                  <w:tcW w:w="856" w:type="dxa"/>
                  <w:vAlign w:val="center"/>
                </w:tcPr>
                <w:p w14:paraId="1D74A72E">
                  <w:pPr>
                    <w:jc w:val="center"/>
                    <w:rPr>
                      <w:sz w:val="18"/>
                      <w:szCs w:val="18"/>
                    </w:rPr>
                  </w:pPr>
                  <w:r>
                    <w:rPr>
                      <w:sz w:val="18"/>
                      <w:szCs w:val="18"/>
                    </w:rPr>
                    <w:t>符合性</w:t>
                  </w:r>
                </w:p>
              </w:tc>
            </w:tr>
            <w:tr w14:paraId="52FC5E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3657" w:type="dxa"/>
                  <w:vAlign w:val="center"/>
                </w:tcPr>
                <w:p w14:paraId="26B88D98">
                  <w:pPr>
                    <w:jc w:val="center"/>
                    <w:rPr>
                      <w:sz w:val="18"/>
                      <w:szCs w:val="18"/>
                    </w:rPr>
                  </w:pPr>
                  <w:r>
                    <w:rPr>
                      <w:sz w:val="18"/>
                      <w:szCs w:val="18"/>
                    </w:rPr>
                    <w:t>二、建立危险废物监管联动机制：企业要切实履行好从危险废物产生、收集、贮存、运输、利用、处置等环节各项环保和安全职责；要制定危险废物管理计划并报属地生态环境部门备案</w:t>
                  </w:r>
                </w:p>
              </w:tc>
              <w:tc>
                <w:tcPr>
                  <w:tcW w:w="2725" w:type="dxa"/>
                  <w:vAlign w:val="center"/>
                </w:tcPr>
                <w:p w14:paraId="31A3AD0B">
                  <w:pPr>
                    <w:jc w:val="center"/>
                    <w:rPr>
                      <w:sz w:val="18"/>
                      <w:szCs w:val="18"/>
                    </w:rPr>
                  </w:pPr>
                  <w:r>
                    <w:rPr>
                      <w:sz w:val="18"/>
                      <w:szCs w:val="18"/>
                    </w:rPr>
                    <w:t>项目产生的危险废物经收集后暂存危废库，定期交由有资质单位处置，在产生、收集、贮存、运输过程中各项环保措施均已落实，同时投产后，每年制定危险废物管理计划并报属地生态环境部门备案</w:t>
                  </w:r>
                </w:p>
              </w:tc>
              <w:tc>
                <w:tcPr>
                  <w:tcW w:w="856" w:type="dxa"/>
                  <w:vAlign w:val="center"/>
                </w:tcPr>
                <w:p w14:paraId="624C4B74">
                  <w:pPr>
                    <w:jc w:val="center"/>
                    <w:rPr>
                      <w:sz w:val="18"/>
                      <w:szCs w:val="18"/>
                    </w:rPr>
                  </w:pPr>
                  <w:r>
                    <w:rPr>
                      <w:sz w:val="18"/>
                      <w:szCs w:val="18"/>
                    </w:rPr>
                    <w:t>符合</w:t>
                  </w:r>
                </w:p>
              </w:tc>
            </w:tr>
            <w:tr w14:paraId="7217CE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3657" w:type="dxa"/>
                  <w:vAlign w:val="center"/>
                </w:tcPr>
                <w:p w14:paraId="1C740073">
                  <w:pPr>
                    <w:jc w:val="center"/>
                    <w:rPr>
                      <w:sz w:val="18"/>
                      <w:szCs w:val="18"/>
                    </w:rPr>
                  </w:pPr>
                  <w:r>
                    <w:rPr>
                      <w:sz w:val="18"/>
                      <w:szCs w:val="18"/>
                    </w:rPr>
                    <w:t>三、建立环境治理设施监管联动机制：企业要对脱硫脱硝、煤改气、挥发性有机物回收、污水处理、粉尘治理、RTO焚烧炉等六类环境治理设施开展安全风险辨识管控，要健全内部污染防治设施稳定运行和管理责任制度</w:t>
                  </w:r>
                  <w:r>
                    <w:rPr>
                      <w:rFonts w:hint="eastAsia"/>
                      <w:sz w:val="18"/>
                      <w:szCs w:val="18"/>
                      <w:lang w:eastAsia="zh-CN"/>
                    </w:rPr>
                    <w:t>，</w:t>
                  </w:r>
                  <w:r>
                    <w:rPr>
                      <w:sz w:val="18"/>
                      <w:szCs w:val="18"/>
                    </w:rPr>
                    <w:t>严格依据标准规范建设环境治理设施</w:t>
                  </w:r>
                  <w:r>
                    <w:rPr>
                      <w:rFonts w:hint="eastAsia"/>
                      <w:sz w:val="18"/>
                      <w:szCs w:val="18"/>
                      <w:lang w:eastAsia="zh-CN"/>
                    </w:rPr>
                    <w:t>，</w:t>
                  </w:r>
                  <w:r>
                    <w:rPr>
                      <w:sz w:val="18"/>
                      <w:szCs w:val="18"/>
                    </w:rPr>
                    <w:t>确保环境治理设施安全、稳定、有效运行。</w:t>
                  </w:r>
                </w:p>
              </w:tc>
              <w:tc>
                <w:tcPr>
                  <w:tcW w:w="2725" w:type="dxa"/>
                  <w:vAlign w:val="center"/>
                </w:tcPr>
                <w:p w14:paraId="2D35B4F2">
                  <w:pPr>
                    <w:jc w:val="center"/>
                    <w:rPr>
                      <w:sz w:val="18"/>
                      <w:szCs w:val="18"/>
                    </w:rPr>
                  </w:pPr>
                  <w:r>
                    <w:rPr>
                      <w:sz w:val="18"/>
                      <w:szCs w:val="18"/>
                    </w:rPr>
                    <w:t>项目不涉及脱硫脱硝、煤改气、RTO焚烧炉，</w:t>
                  </w:r>
                  <w:r>
                    <w:rPr>
                      <w:rFonts w:hint="eastAsia"/>
                      <w:color w:val="auto"/>
                      <w:sz w:val="18"/>
                      <w:szCs w:val="18"/>
                      <w:lang w:eastAsia="zh-CN"/>
                    </w:rPr>
                    <w:t>危废</w:t>
                  </w:r>
                  <w:r>
                    <w:rPr>
                      <w:color w:val="auto"/>
                      <w:sz w:val="18"/>
                      <w:szCs w:val="18"/>
                    </w:rPr>
                    <w:t>存放在危废库内，定</w:t>
                  </w:r>
                  <w:r>
                    <w:rPr>
                      <w:sz w:val="18"/>
                      <w:szCs w:val="18"/>
                    </w:rPr>
                    <w:t>期交由有资质单位处置</w:t>
                  </w:r>
                  <w:r>
                    <w:rPr>
                      <w:rFonts w:hint="eastAsia"/>
                      <w:sz w:val="18"/>
                      <w:szCs w:val="18"/>
                    </w:rPr>
                    <w:t>。</w:t>
                  </w:r>
                </w:p>
              </w:tc>
              <w:tc>
                <w:tcPr>
                  <w:tcW w:w="856" w:type="dxa"/>
                  <w:vAlign w:val="center"/>
                </w:tcPr>
                <w:p w14:paraId="3F1F36D3">
                  <w:pPr>
                    <w:jc w:val="center"/>
                    <w:rPr>
                      <w:sz w:val="18"/>
                      <w:szCs w:val="18"/>
                    </w:rPr>
                  </w:pPr>
                  <w:r>
                    <w:rPr>
                      <w:sz w:val="18"/>
                      <w:szCs w:val="18"/>
                    </w:rPr>
                    <w:t>符合</w:t>
                  </w:r>
                </w:p>
              </w:tc>
            </w:tr>
          </w:tbl>
          <w:p w14:paraId="54E5A71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422" w:firstLineChars="200"/>
              <w:textAlignment w:val="auto"/>
              <w:rPr>
                <w:rFonts w:hint="default" w:ascii="Times New Roman" w:hAnsi="Times New Roman" w:eastAsia="宋体" w:cs="Times New Roman"/>
                <w:b/>
                <w:bCs/>
                <w:color w:val="auto"/>
                <w:lang w:val="en-US" w:eastAsia="zh-CN"/>
              </w:rPr>
            </w:pPr>
            <w:r>
              <w:rPr>
                <w:rFonts w:hint="default" w:ascii="Times New Roman" w:hAnsi="Times New Roman" w:cs="Times New Roman"/>
                <w:b/>
                <w:bCs/>
                <w:color w:val="auto"/>
                <w:lang w:eastAsia="zh-CN"/>
              </w:rPr>
              <w:t>与市政府关于印发南通市空气质量持续改善行动计划实施方案的通知</w:t>
            </w:r>
            <w:r>
              <w:rPr>
                <w:rFonts w:hint="default" w:ascii="Times New Roman" w:hAnsi="Times New Roman" w:cs="Times New Roman"/>
                <w:b/>
                <w:bCs/>
                <w:color w:val="auto"/>
                <w:lang w:val="en-US" w:eastAsia="zh-CN"/>
              </w:rPr>
              <w:t xml:space="preserve"> 通政发</w:t>
            </w:r>
            <w:r>
              <w:rPr>
                <w:rFonts w:hint="default" w:ascii="Times New Roman" w:hAnsi="Times New Roman" w:eastAsia="宋体" w:cs="Times New Roman"/>
                <w:b/>
                <w:bCs/>
                <w:color w:val="auto"/>
                <w:lang w:val="en-US" w:eastAsia="zh-CN"/>
              </w:rPr>
              <w:t>﹝2024﹞24号相符性分析</w:t>
            </w:r>
          </w:p>
          <w:p w14:paraId="37BCC465">
            <w:pPr>
              <w:spacing w:line="500" w:lineRule="exact"/>
              <w:jc w:val="center"/>
              <w:rPr>
                <w:b/>
                <w:bCs/>
              </w:rPr>
            </w:pPr>
            <w:r>
              <w:rPr>
                <w:b/>
                <w:bCs/>
              </w:rPr>
              <w:t>表1-</w:t>
            </w:r>
            <w:r>
              <w:rPr>
                <w:rFonts w:hint="eastAsia"/>
                <w:b/>
                <w:bCs/>
                <w:lang w:val="en-US" w:eastAsia="zh-CN"/>
              </w:rPr>
              <w:t>8</w:t>
            </w:r>
            <w:r>
              <w:rPr>
                <w:b/>
                <w:bCs/>
              </w:rPr>
              <w:t xml:space="preserve"> 与</w:t>
            </w:r>
            <w:r>
              <w:rPr>
                <w:rFonts w:hint="eastAsia"/>
                <w:b/>
                <w:bCs/>
              </w:rPr>
              <w:t>通政发﹝2024﹞24号</w:t>
            </w:r>
            <w:r>
              <w:rPr>
                <w:b/>
                <w:bCs/>
              </w:rPr>
              <w:t>相符性分析</w:t>
            </w:r>
          </w:p>
          <w:tbl>
            <w:tblPr>
              <w:tblStyle w:val="19"/>
              <w:tblW w:w="7031"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27"/>
              <w:gridCol w:w="2415"/>
              <w:gridCol w:w="689"/>
            </w:tblGrid>
            <w:tr w14:paraId="535965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927" w:type="dxa"/>
                  <w:vAlign w:val="center"/>
                </w:tcPr>
                <w:p w14:paraId="7CF6AA29">
                  <w:pPr>
                    <w:jc w:val="center"/>
                    <w:rPr>
                      <w:sz w:val="18"/>
                      <w:szCs w:val="18"/>
                    </w:rPr>
                  </w:pPr>
                  <w:r>
                    <w:rPr>
                      <w:sz w:val="18"/>
                      <w:szCs w:val="18"/>
                    </w:rPr>
                    <w:t>相关内容</w:t>
                  </w:r>
                </w:p>
              </w:tc>
              <w:tc>
                <w:tcPr>
                  <w:tcW w:w="2415" w:type="dxa"/>
                  <w:vAlign w:val="center"/>
                </w:tcPr>
                <w:p w14:paraId="41D77F08">
                  <w:pPr>
                    <w:jc w:val="center"/>
                    <w:rPr>
                      <w:sz w:val="18"/>
                      <w:szCs w:val="18"/>
                    </w:rPr>
                  </w:pPr>
                  <w:r>
                    <w:rPr>
                      <w:sz w:val="18"/>
                      <w:szCs w:val="18"/>
                    </w:rPr>
                    <w:t>本项目</w:t>
                  </w:r>
                </w:p>
              </w:tc>
              <w:tc>
                <w:tcPr>
                  <w:tcW w:w="689" w:type="dxa"/>
                  <w:vAlign w:val="center"/>
                </w:tcPr>
                <w:p w14:paraId="19F0F8AA">
                  <w:pPr>
                    <w:jc w:val="center"/>
                    <w:rPr>
                      <w:sz w:val="18"/>
                      <w:szCs w:val="18"/>
                    </w:rPr>
                  </w:pPr>
                  <w:r>
                    <w:rPr>
                      <w:sz w:val="18"/>
                      <w:szCs w:val="18"/>
                    </w:rPr>
                    <w:t>符合性</w:t>
                  </w:r>
                </w:p>
              </w:tc>
            </w:tr>
            <w:tr w14:paraId="57B6D4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927" w:type="dxa"/>
                  <w:vAlign w:val="center"/>
                </w:tcPr>
                <w:p w14:paraId="680A5C7C">
                  <w:pPr>
                    <w:jc w:val="center"/>
                    <w:rPr>
                      <w:rFonts w:hint="eastAsia" w:eastAsia="宋体"/>
                      <w:sz w:val="18"/>
                      <w:szCs w:val="18"/>
                      <w:lang w:eastAsia="zh-CN"/>
                    </w:rPr>
                  </w:pPr>
                  <w:r>
                    <w:rPr>
                      <w:rFonts w:hint="eastAsia"/>
                      <w:sz w:val="18"/>
                      <w:szCs w:val="18"/>
                      <w:lang w:eastAsia="zh-CN"/>
                    </w:rPr>
                    <w:t>（一）</w:t>
                  </w:r>
                  <w:r>
                    <w:rPr>
                      <w:rFonts w:hint="eastAsia"/>
                      <w:sz w:val="18"/>
                      <w:szCs w:val="18"/>
                    </w:rPr>
                    <w:t>坚决遏制“两高一低”项目盲目上马。按照省统一部 署，落实“两高”项目管理目录，对“两高一低”项目实行清单管理、分类处置、动态监控。严禁核准或备案焦化、电解铝、水泥（熟料）、平板玻璃（不含光伏平板玻璃）和炼化</w:t>
                  </w:r>
                  <w:r>
                    <w:rPr>
                      <w:rFonts w:hint="eastAsia"/>
                      <w:sz w:val="18"/>
                      <w:szCs w:val="18"/>
                      <w:lang w:eastAsia="zh-CN"/>
                    </w:rPr>
                    <w:t>（</w:t>
                  </w:r>
                  <w:r>
                    <w:rPr>
                      <w:rFonts w:hint="eastAsia"/>
                      <w:sz w:val="18"/>
                      <w:szCs w:val="18"/>
                    </w:rPr>
                    <w:t>纳入国家产业规划除外</w:t>
                  </w:r>
                  <w:r>
                    <w:rPr>
                      <w:rFonts w:hint="eastAsia"/>
                      <w:sz w:val="18"/>
                      <w:szCs w:val="18"/>
                      <w:lang w:eastAsia="zh-CN"/>
                    </w:rPr>
                    <w:t>）</w:t>
                  </w:r>
                  <w:r>
                    <w:rPr>
                      <w:rFonts w:hint="eastAsia"/>
                      <w:sz w:val="18"/>
                      <w:szCs w:val="18"/>
                    </w:rPr>
                    <w:t>等行业新增产能的项目，严格钢铁冶炼项目备案</w:t>
                  </w:r>
                  <w:r>
                    <w:rPr>
                      <w:rFonts w:hint="eastAsia"/>
                      <w:sz w:val="18"/>
                      <w:szCs w:val="18"/>
                      <w:lang w:eastAsia="zh-CN"/>
                    </w:rPr>
                    <w:t>管理</w:t>
                  </w:r>
                </w:p>
              </w:tc>
              <w:tc>
                <w:tcPr>
                  <w:tcW w:w="2415" w:type="dxa"/>
                  <w:vAlign w:val="center"/>
                </w:tcPr>
                <w:p w14:paraId="5E698554">
                  <w:pPr>
                    <w:jc w:val="center"/>
                    <w:rPr>
                      <w:rFonts w:hint="eastAsia" w:eastAsia="宋体"/>
                      <w:sz w:val="18"/>
                      <w:szCs w:val="18"/>
                      <w:lang w:eastAsia="zh-CN"/>
                    </w:rPr>
                  </w:pPr>
                  <w:r>
                    <w:rPr>
                      <w:rFonts w:hint="eastAsia"/>
                      <w:sz w:val="18"/>
                      <w:szCs w:val="18"/>
                      <w:lang w:eastAsia="zh-CN"/>
                    </w:rPr>
                    <w:t>项目不属于“两高”行业</w:t>
                  </w:r>
                </w:p>
              </w:tc>
              <w:tc>
                <w:tcPr>
                  <w:tcW w:w="689" w:type="dxa"/>
                  <w:vAlign w:val="center"/>
                </w:tcPr>
                <w:p w14:paraId="0CB39276">
                  <w:pPr>
                    <w:jc w:val="center"/>
                    <w:rPr>
                      <w:rFonts w:hint="eastAsia" w:eastAsia="宋体"/>
                      <w:sz w:val="18"/>
                      <w:szCs w:val="18"/>
                      <w:lang w:eastAsia="zh-CN"/>
                    </w:rPr>
                  </w:pPr>
                  <w:r>
                    <w:rPr>
                      <w:rFonts w:hint="eastAsia"/>
                      <w:sz w:val="18"/>
                      <w:szCs w:val="18"/>
                      <w:lang w:eastAsia="zh-CN"/>
                    </w:rPr>
                    <w:t>符合</w:t>
                  </w:r>
                </w:p>
              </w:tc>
            </w:tr>
            <w:tr w14:paraId="478660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927" w:type="dxa"/>
                  <w:vAlign w:val="center"/>
                </w:tcPr>
                <w:p w14:paraId="3A772D17">
                  <w:pPr>
                    <w:jc w:val="center"/>
                    <w:rPr>
                      <w:rFonts w:hint="eastAsia"/>
                      <w:sz w:val="18"/>
                      <w:szCs w:val="18"/>
                      <w:lang w:eastAsia="zh-CN"/>
                    </w:rPr>
                  </w:pPr>
                  <w:r>
                    <w:rPr>
                      <w:rFonts w:hint="eastAsia"/>
                      <w:sz w:val="18"/>
                      <w:szCs w:val="18"/>
                      <w:lang w:eastAsia="zh-CN"/>
                    </w:rPr>
                    <w:t>（二）加快退出重点行业落后产能。落实国家《产业结构调 整指导目录（2024年本）》，依法依规关停退出淘汰类落后生 产工艺装备，推进全市每小时2蒸吨及以下生物质锅炉尽快淘汰。</w:t>
                  </w:r>
                </w:p>
              </w:tc>
              <w:tc>
                <w:tcPr>
                  <w:tcW w:w="2415" w:type="dxa"/>
                  <w:vAlign w:val="center"/>
                </w:tcPr>
                <w:p w14:paraId="6B463E42">
                  <w:pPr>
                    <w:jc w:val="center"/>
                    <w:rPr>
                      <w:rFonts w:hint="eastAsia" w:eastAsia="宋体"/>
                      <w:sz w:val="18"/>
                      <w:szCs w:val="18"/>
                      <w:lang w:eastAsia="zh-CN"/>
                    </w:rPr>
                  </w:pPr>
                  <w:r>
                    <w:rPr>
                      <w:rFonts w:hint="eastAsia"/>
                      <w:sz w:val="18"/>
                      <w:szCs w:val="18"/>
                      <w:lang w:eastAsia="zh-CN"/>
                    </w:rPr>
                    <w:t>项目不属于《产业结构调整指导目录》（</w:t>
                  </w:r>
                  <w:r>
                    <w:rPr>
                      <w:rFonts w:hint="eastAsia"/>
                      <w:sz w:val="18"/>
                      <w:szCs w:val="18"/>
                      <w:lang w:val="en-US" w:eastAsia="zh-CN"/>
                    </w:rPr>
                    <w:t>2024年本</w:t>
                  </w:r>
                  <w:r>
                    <w:rPr>
                      <w:rFonts w:hint="eastAsia"/>
                      <w:sz w:val="18"/>
                      <w:szCs w:val="18"/>
                      <w:lang w:eastAsia="zh-CN"/>
                    </w:rPr>
                    <w:t>）中落后，淘汰类产业，项目不使用锅炉</w:t>
                  </w:r>
                </w:p>
              </w:tc>
              <w:tc>
                <w:tcPr>
                  <w:tcW w:w="689" w:type="dxa"/>
                  <w:vAlign w:val="center"/>
                </w:tcPr>
                <w:p w14:paraId="0C2A1812">
                  <w:pPr>
                    <w:jc w:val="center"/>
                    <w:rPr>
                      <w:rFonts w:hint="eastAsia" w:eastAsia="宋体"/>
                      <w:sz w:val="18"/>
                      <w:szCs w:val="18"/>
                      <w:lang w:eastAsia="zh-CN"/>
                    </w:rPr>
                  </w:pPr>
                  <w:r>
                    <w:rPr>
                      <w:rFonts w:hint="eastAsia"/>
                      <w:sz w:val="18"/>
                      <w:szCs w:val="18"/>
                      <w:lang w:eastAsia="zh-CN"/>
                    </w:rPr>
                    <w:t>符合</w:t>
                  </w:r>
                </w:p>
              </w:tc>
            </w:tr>
            <w:tr w14:paraId="002D25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927" w:type="dxa"/>
                  <w:vAlign w:val="center"/>
                </w:tcPr>
                <w:p w14:paraId="10E61AEF">
                  <w:pPr>
                    <w:jc w:val="center"/>
                    <w:rPr>
                      <w:rFonts w:hint="eastAsia"/>
                      <w:sz w:val="18"/>
                      <w:szCs w:val="18"/>
                      <w:lang w:eastAsia="zh-CN"/>
                    </w:rPr>
                  </w:pPr>
                  <w:r>
                    <w:rPr>
                      <w:rFonts w:hint="eastAsia"/>
                      <w:sz w:val="18"/>
                      <w:szCs w:val="18"/>
                      <w:lang w:eastAsia="zh-CN"/>
                    </w:rPr>
                    <w:t>（四）优化含VOCs原辅材料和产品结构。严格控制生产和使用高VOCs含量涂料、油墨、胶粘剂、清洗剂等项目。在家具、汽车零部件、工程机械、钢结构、船舶制造等工业涂装、包装印刷和电子等行业工艺环节中，大力推广使用低VOCs含量涂料。鼓励和推进全市汽车4S店、大型汽修厂实施全水性涂料替代。</w:t>
                  </w:r>
                </w:p>
              </w:tc>
              <w:tc>
                <w:tcPr>
                  <w:tcW w:w="2415" w:type="dxa"/>
                  <w:vAlign w:val="center"/>
                </w:tcPr>
                <w:p w14:paraId="68F84097">
                  <w:pPr>
                    <w:jc w:val="both"/>
                    <w:rPr>
                      <w:rFonts w:hint="default" w:eastAsia="宋体"/>
                      <w:sz w:val="18"/>
                      <w:szCs w:val="18"/>
                      <w:lang w:val="en-US" w:eastAsia="zh-CN"/>
                    </w:rPr>
                  </w:pPr>
                  <w:r>
                    <w:rPr>
                      <w:rFonts w:hint="eastAsia"/>
                      <w:sz w:val="18"/>
                      <w:szCs w:val="18"/>
                      <w:lang w:eastAsia="zh-CN"/>
                    </w:rPr>
                    <w:t>项目不使用含</w:t>
                  </w:r>
                  <w:r>
                    <w:rPr>
                      <w:rFonts w:hint="eastAsia"/>
                      <w:sz w:val="18"/>
                      <w:szCs w:val="18"/>
                      <w:lang w:val="en-US" w:eastAsia="zh-CN"/>
                    </w:rPr>
                    <w:t>VOCs原辅材料</w:t>
                  </w:r>
                </w:p>
              </w:tc>
              <w:tc>
                <w:tcPr>
                  <w:tcW w:w="689" w:type="dxa"/>
                  <w:vAlign w:val="center"/>
                </w:tcPr>
                <w:p w14:paraId="101C4718">
                  <w:pPr>
                    <w:jc w:val="center"/>
                    <w:rPr>
                      <w:rFonts w:hint="eastAsia" w:eastAsia="宋体"/>
                      <w:sz w:val="18"/>
                      <w:szCs w:val="18"/>
                      <w:lang w:eastAsia="zh-CN"/>
                    </w:rPr>
                  </w:pPr>
                  <w:r>
                    <w:rPr>
                      <w:rFonts w:hint="eastAsia"/>
                      <w:sz w:val="18"/>
                      <w:szCs w:val="18"/>
                      <w:lang w:eastAsia="zh-CN"/>
                    </w:rPr>
                    <w:t>符合</w:t>
                  </w:r>
                </w:p>
              </w:tc>
            </w:tr>
            <w:tr w14:paraId="76F567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927" w:type="dxa"/>
                  <w:vAlign w:val="center"/>
                </w:tcPr>
                <w:p w14:paraId="4FF05AE9">
                  <w:pPr>
                    <w:jc w:val="both"/>
                    <w:rPr>
                      <w:rFonts w:hint="eastAsia"/>
                      <w:sz w:val="18"/>
                      <w:szCs w:val="18"/>
                      <w:lang w:eastAsia="zh-CN"/>
                    </w:rPr>
                  </w:pPr>
                  <w:r>
                    <w:rPr>
                      <w:rFonts w:hint="eastAsia"/>
                      <w:sz w:val="18"/>
                      <w:szCs w:val="18"/>
                      <w:lang w:eastAsia="zh-CN"/>
                    </w:rPr>
                    <w:t>(十二)强化VOCs全流程、全环节综合治理。如皋港化工新材料产业园、如东县洋口化学工业园、启东生命健康产业园、南通经济技术开发区化工园区以人孔、量孔、呼吸阀更换、罐车治理为重点，推进园区VOCs专项整治。到2025年，重点工业 园区VOCs浓度比2021年下降20%。</w:t>
                  </w:r>
                </w:p>
              </w:tc>
              <w:tc>
                <w:tcPr>
                  <w:tcW w:w="2415" w:type="dxa"/>
                  <w:vAlign w:val="center"/>
                </w:tcPr>
                <w:p w14:paraId="2E31E7B7">
                  <w:pPr>
                    <w:jc w:val="center"/>
                    <w:rPr>
                      <w:rFonts w:hint="default" w:eastAsia="宋体"/>
                      <w:sz w:val="18"/>
                      <w:szCs w:val="18"/>
                      <w:lang w:val="en-US" w:eastAsia="zh-CN"/>
                    </w:rPr>
                  </w:pPr>
                  <w:r>
                    <w:rPr>
                      <w:rFonts w:hint="eastAsia"/>
                      <w:sz w:val="18"/>
                      <w:szCs w:val="18"/>
                      <w:lang w:eastAsia="zh-CN"/>
                    </w:rPr>
                    <w:t>项目产生的</w:t>
                  </w:r>
                  <w:r>
                    <w:rPr>
                      <w:rFonts w:hint="eastAsia"/>
                      <w:sz w:val="18"/>
                      <w:szCs w:val="18"/>
                      <w:lang w:val="en-US" w:eastAsia="zh-CN"/>
                    </w:rPr>
                    <w:t>VOCs经二级活性炭吸附处理，处理后排放浓度满足排放标准</w:t>
                  </w:r>
                </w:p>
              </w:tc>
              <w:tc>
                <w:tcPr>
                  <w:tcW w:w="689" w:type="dxa"/>
                  <w:vAlign w:val="center"/>
                </w:tcPr>
                <w:p w14:paraId="4301B4C7">
                  <w:pPr>
                    <w:jc w:val="center"/>
                    <w:rPr>
                      <w:rFonts w:hint="eastAsia" w:eastAsia="宋体"/>
                      <w:sz w:val="18"/>
                      <w:szCs w:val="18"/>
                      <w:lang w:eastAsia="zh-CN"/>
                    </w:rPr>
                  </w:pPr>
                  <w:r>
                    <w:rPr>
                      <w:rFonts w:hint="eastAsia"/>
                      <w:sz w:val="18"/>
                      <w:szCs w:val="18"/>
                      <w:lang w:eastAsia="zh-CN"/>
                    </w:rPr>
                    <w:t>符合</w:t>
                  </w:r>
                </w:p>
              </w:tc>
            </w:tr>
          </w:tbl>
          <w:p w14:paraId="2A39722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422" w:firstLineChars="200"/>
              <w:textAlignment w:val="auto"/>
              <w:rPr>
                <w:rFonts w:hint="default" w:ascii="Times New Roman" w:hAnsi="Times New Roman" w:eastAsia="宋体" w:cs="Times New Roman"/>
                <w:b/>
                <w:bCs/>
                <w:color w:val="auto"/>
                <w:lang w:val="en-US" w:eastAsia="zh-CN"/>
              </w:rPr>
            </w:pPr>
            <w:r>
              <w:rPr>
                <w:rFonts w:hint="eastAsia" w:ascii="Times New Roman" w:hAnsi="Times New Roman" w:cs="Times New Roman"/>
                <w:b/>
                <w:bCs/>
                <w:color w:val="auto"/>
                <w:lang w:eastAsia="zh-CN"/>
              </w:rPr>
              <w:t>项目与《垃圾发电厂炉渣处理技术规范》（</w:t>
            </w:r>
            <w:r>
              <w:rPr>
                <w:rFonts w:hint="eastAsia" w:ascii="Times New Roman" w:hAnsi="Times New Roman" w:cs="Times New Roman"/>
                <w:b/>
                <w:bCs/>
                <w:color w:val="auto"/>
                <w:lang w:val="en-US" w:eastAsia="zh-CN"/>
              </w:rPr>
              <w:t>DL/T 193-2018</w:t>
            </w:r>
            <w:r>
              <w:rPr>
                <w:rFonts w:hint="eastAsia" w:ascii="Times New Roman" w:hAnsi="Times New Roman" w:cs="Times New Roman"/>
                <w:b/>
                <w:bCs/>
                <w:color w:val="auto"/>
                <w:lang w:eastAsia="zh-CN"/>
              </w:rPr>
              <w:t>）</w:t>
            </w:r>
            <w:r>
              <w:rPr>
                <w:rFonts w:hint="default" w:ascii="Times New Roman" w:hAnsi="Times New Roman" w:eastAsia="宋体" w:cs="Times New Roman"/>
                <w:b/>
                <w:bCs/>
                <w:color w:val="auto"/>
                <w:lang w:val="en-US" w:eastAsia="zh-CN"/>
              </w:rPr>
              <w:t>相符性分析</w:t>
            </w:r>
          </w:p>
          <w:p w14:paraId="0AAA2ED0">
            <w:pPr>
              <w:spacing w:line="500" w:lineRule="exact"/>
              <w:jc w:val="center"/>
              <w:rPr>
                <w:b/>
                <w:bCs/>
              </w:rPr>
            </w:pPr>
          </w:p>
          <w:p w14:paraId="6EF241A9">
            <w:pPr>
              <w:spacing w:line="500" w:lineRule="exact"/>
              <w:jc w:val="center"/>
              <w:rPr>
                <w:rFonts w:hint="eastAsia" w:eastAsia="宋体"/>
                <w:b/>
                <w:bCs/>
                <w:lang w:eastAsia="zh-CN"/>
              </w:rPr>
            </w:pPr>
            <w:r>
              <w:rPr>
                <w:b/>
                <w:bCs/>
              </w:rPr>
              <w:t>表1-</w:t>
            </w:r>
            <w:r>
              <w:rPr>
                <w:rFonts w:hint="eastAsia"/>
                <w:b/>
                <w:bCs/>
                <w:lang w:val="en-US" w:eastAsia="zh-CN"/>
              </w:rPr>
              <w:t>8</w:t>
            </w:r>
            <w:r>
              <w:rPr>
                <w:b/>
                <w:bCs/>
              </w:rPr>
              <w:t xml:space="preserve"> 与</w:t>
            </w:r>
            <w:r>
              <w:rPr>
                <w:rFonts w:hint="eastAsia" w:ascii="Times New Roman" w:hAnsi="Times New Roman" w:cs="Times New Roman"/>
                <w:b/>
                <w:bCs/>
                <w:color w:val="auto"/>
                <w:lang w:eastAsia="zh-CN"/>
              </w:rPr>
              <w:t>《垃圾发电厂炉渣处理技术规范》</w:t>
            </w:r>
            <w:r>
              <w:rPr>
                <w:b/>
                <w:bCs/>
              </w:rPr>
              <w:t>相符性分析</w:t>
            </w:r>
            <w:r>
              <w:rPr>
                <w:rFonts w:hint="eastAsia"/>
                <w:b/>
                <w:bCs/>
                <w:lang w:eastAsia="zh-CN"/>
              </w:rPr>
              <w:t>一览表</w:t>
            </w:r>
          </w:p>
          <w:tbl>
            <w:tblPr>
              <w:tblStyle w:val="19"/>
              <w:tblW w:w="721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663"/>
              <w:gridCol w:w="2887"/>
              <w:gridCol w:w="970"/>
            </w:tblGrid>
            <w:tr w14:paraId="5C0DC7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97" w:type="dxa"/>
                  <w:vAlign w:val="center"/>
                </w:tcPr>
                <w:p w14:paraId="0D1E5F7F">
                  <w:pPr>
                    <w:jc w:val="center"/>
                    <w:rPr>
                      <w:rFonts w:hint="eastAsia" w:eastAsia="宋体"/>
                      <w:sz w:val="18"/>
                      <w:szCs w:val="18"/>
                      <w:lang w:eastAsia="zh-CN"/>
                    </w:rPr>
                  </w:pPr>
                  <w:r>
                    <w:rPr>
                      <w:rFonts w:hint="eastAsia"/>
                      <w:sz w:val="18"/>
                      <w:szCs w:val="18"/>
                      <w:lang w:eastAsia="zh-CN"/>
                    </w:rPr>
                    <w:t>序号</w:t>
                  </w:r>
                </w:p>
              </w:tc>
              <w:tc>
                <w:tcPr>
                  <w:tcW w:w="2663" w:type="dxa"/>
                  <w:vAlign w:val="center"/>
                </w:tcPr>
                <w:p w14:paraId="1B7DDB84">
                  <w:pPr>
                    <w:jc w:val="center"/>
                    <w:rPr>
                      <w:rFonts w:hint="eastAsia" w:eastAsia="宋体"/>
                      <w:sz w:val="18"/>
                      <w:szCs w:val="18"/>
                      <w:lang w:eastAsia="zh-CN"/>
                    </w:rPr>
                  </w:pPr>
                  <w:r>
                    <w:rPr>
                      <w:rFonts w:hint="eastAsia"/>
                      <w:sz w:val="18"/>
                      <w:szCs w:val="18"/>
                      <w:lang w:eastAsia="zh-CN"/>
                    </w:rPr>
                    <w:t>技术规范要求</w:t>
                  </w:r>
                </w:p>
              </w:tc>
              <w:tc>
                <w:tcPr>
                  <w:tcW w:w="2887" w:type="dxa"/>
                  <w:vAlign w:val="center"/>
                </w:tcPr>
                <w:p w14:paraId="06C2313B">
                  <w:pPr>
                    <w:jc w:val="center"/>
                    <w:rPr>
                      <w:rFonts w:hint="eastAsia" w:eastAsia="宋体"/>
                      <w:sz w:val="18"/>
                      <w:szCs w:val="18"/>
                      <w:lang w:eastAsia="zh-CN"/>
                    </w:rPr>
                  </w:pPr>
                  <w:r>
                    <w:rPr>
                      <w:rFonts w:hint="eastAsia"/>
                      <w:sz w:val="18"/>
                      <w:szCs w:val="18"/>
                      <w:lang w:eastAsia="zh-CN"/>
                    </w:rPr>
                    <w:t>对照分析</w:t>
                  </w:r>
                </w:p>
              </w:tc>
              <w:tc>
                <w:tcPr>
                  <w:tcW w:w="970" w:type="dxa"/>
                  <w:vAlign w:val="center"/>
                </w:tcPr>
                <w:p w14:paraId="49C56749">
                  <w:pPr>
                    <w:jc w:val="center"/>
                    <w:rPr>
                      <w:rFonts w:hint="eastAsia" w:eastAsia="宋体"/>
                      <w:sz w:val="18"/>
                      <w:szCs w:val="18"/>
                      <w:lang w:eastAsia="zh-CN"/>
                    </w:rPr>
                  </w:pPr>
                  <w:r>
                    <w:rPr>
                      <w:rFonts w:hint="eastAsia"/>
                      <w:sz w:val="18"/>
                      <w:szCs w:val="18"/>
                      <w:lang w:eastAsia="zh-CN"/>
                    </w:rPr>
                    <w:t>是否符合要求</w:t>
                  </w:r>
                </w:p>
              </w:tc>
            </w:tr>
            <w:tr w14:paraId="3B5D4E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97" w:type="dxa"/>
                  <w:vAlign w:val="center"/>
                </w:tcPr>
                <w:p w14:paraId="642B7D2D">
                  <w:pPr>
                    <w:jc w:val="center"/>
                    <w:rPr>
                      <w:rFonts w:hint="default" w:eastAsia="宋体"/>
                      <w:sz w:val="18"/>
                      <w:szCs w:val="18"/>
                      <w:lang w:val="en-US" w:eastAsia="zh-CN"/>
                    </w:rPr>
                  </w:pPr>
                  <w:r>
                    <w:rPr>
                      <w:rFonts w:hint="eastAsia" w:eastAsia="宋体"/>
                      <w:sz w:val="18"/>
                      <w:szCs w:val="18"/>
                      <w:lang w:val="en-US" w:eastAsia="zh-CN"/>
                    </w:rPr>
                    <w:t>1</w:t>
                  </w:r>
                </w:p>
              </w:tc>
              <w:tc>
                <w:tcPr>
                  <w:tcW w:w="2663" w:type="dxa"/>
                  <w:vAlign w:val="center"/>
                </w:tcPr>
                <w:p w14:paraId="483B0F57">
                  <w:pPr>
                    <w:jc w:val="center"/>
                    <w:rPr>
                      <w:rFonts w:hint="eastAsia" w:eastAsia="宋体"/>
                      <w:sz w:val="18"/>
                      <w:szCs w:val="18"/>
                      <w:lang w:eastAsia="zh-CN"/>
                    </w:rPr>
                  </w:pPr>
                  <w:r>
                    <w:rPr>
                      <w:rFonts w:hint="eastAsia" w:eastAsia="宋体"/>
                      <w:sz w:val="18"/>
                      <w:szCs w:val="18"/>
                      <w:lang w:eastAsia="zh-CN"/>
                    </w:rPr>
                    <w:t>炉渣处理、处置过程应遵循“减量化、资源化、无害化”原则，在安全、环保的前提下，实现综合利用</w:t>
                  </w:r>
                </w:p>
              </w:tc>
              <w:tc>
                <w:tcPr>
                  <w:tcW w:w="2887" w:type="dxa"/>
                  <w:vAlign w:val="center"/>
                </w:tcPr>
                <w:p w14:paraId="24982645">
                  <w:pPr>
                    <w:jc w:val="center"/>
                    <w:rPr>
                      <w:rFonts w:hint="eastAsia" w:eastAsia="宋体"/>
                      <w:sz w:val="18"/>
                      <w:szCs w:val="18"/>
                      <w:lang w:eastAsia="zh-CN"/>
                    </w:rPr>
                  </w:pPr>
                  <w:r>
                    <w:rPr>
                      <w:rFonts w:hint="eastAsia" w:eastAsia="宋体"/>
                      <w:sz w:val="18"/>
                      <w:szCs w:val="18"/>
                      <w:lang w:eastAsia="zh-CN"/>
                    </w:rPr>
                    <w:t>本项目采用湿法分选方法，分离出废旧金属、环保</w:t>
                  </w:r>
                  <w:r>
                    <w:rPr>
                      <w:rFonts w:hint="eastAsia"/>
                      <w:sz w:val="18"/>
                      <w:szCs w:val="18"/>
                      <w:lang w:eastAsia="zh-CN"/>
                    </w:rPr>
                    <w:t>砂</w:t>
                  </w:r>
                  <w:r>
                    <w:rPr>
                      <w:rFonts w:hint="eastAsia" w:eastAsia="宋体"/>
                      <w:sz w:val="18"/>
                      <w:szCs w:val="18"/>
                      <w:lang w:eastAsia="zh-CN"/>
                    </w:rPr>
                    <w:t>产品，实现炉渣的减量化和资源化，符合综合利用要求</w:t>
                  </w:r>
                </w:p>
              </w:tc>
              <w:tc>
                <w:tcPr>
                  <w:tcW w:w="970" w:type="dxa"/>
                  <w:vAlign w:val="center"/>
                </w:tcPr>
                <w:p w14:paraId="67F4A597">
                  <w:pPr>
                    <w:jc w:val="center"/>
                    <w:rPr>
                      <w:rFonts w:hint="eastAsia"/>
                      <w:sz w:val="18"/>
                      <w:szCs w:val="18"/>
                      <w:lang w:eastAsia="zh-CN"/>
                    </w:rPr>
                  </w:pPr>
                  <w:r>
                    <w:rPr>
                      <w:rFonts w:hint="eastAsia"/>
                      <w:sz w:val="18"/>
                      <w:szCs w:val="18"/>
                      <w:lang w:eastAsia="zh-CN"/>
                    </w:rPr>
                    <w:t>符合</w:t>
                  </w:r>
                </w:p>
              </w:tc>
            </w:tr>
            <w:tr w14:paraId="4D394A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97" w:type="dxa"/>
                  <w:vAlign w:val="center"/>
                </w:tcPr>
                <w:p w14:paraId="78AAB914">
                  <w:pPr>
                    <w:jc w:val="center"/>
                    <w:rPr>
                      <w:rFonts w:hint="default"/>
                      <w:sz w:val="18"/>
                      <w:szCs w:val="18"/>
                      <w:lang w:val="en-US" w:eastAsia="zh-CN"/>
                    </w:rPr>
                  </w:pPr>
                  <w:r>
                    <w:rPr>
                      <w:rFonts w:hint="eastAsia"/>
                      <w:sz w:val="18"/>
                      <w:szCs w:val="18"/>
                      <w:lang w:val="en-US" w:eastAsia="zh-CN"/>
                    </w:rPr>
                    <w:t>2</w:t>
                  </w:r>
                </w:p>
              </w:tc>
              <w:tc>
                <w:tcPr>
                  <w:tcW w:w="2663" w:type="dxa"/>
                  <w:vAlign w:val="center"/>
                </w:tcPr>
                <w:p w14:paraId="7527C3DE">
                  <w:pPr>
                    <w:keepNext w:val="0"/>
                    <w:keepLines w:val="0"/>
                    <w:widowControl/>
                    <w:suppressLineNumbers w:val="0"/>
                    <w:jc w:val="left"/>
                    <w:rPr>
                      <w:sz w:val="18"/>
                      <w:szCs w:val="18"/>
                    </w:rPr>
                  </w:pPr>
                  <w:r>
                    <w:rPr>
                      <w:rFonts w:hint="eastAsia" w:ascii="宋体" w:hAnsi="宋体" w:eastAsia="宋体" w:cs="宋体"/>
                      <w:color w:val="000000"/>
                      <w:kern w:val="0"/>
                      <w:sz w:val="18"/>
                      <w:szCs w:val="18"/>
                      <w:lang w:val="en-US" w:eastAsia="zh-CN" w:bidi="ar"/>
                    </w:rPr>
                    <w:t>炉渣处理场所选址应符合当</w:t>
                  </w:r>
                </w:p>
                <w:p w14:paraId="57836212">
                  <w:pPr>
                    <w:keepNext w:val="0"/>
                    <w:keepLines w:val="0"/>
                    <w:widowControl/>
                    <w:suppressLineNumbers w:val="0"/>
                    <w:jc w:val="left"/>
                    <w:rPr>
                      <w:sz w:val="18"/>
                      <w:szCs w:val="18"/>
                    </w:rPr>
                  </w:pPr>
                  <w:r>
                    <w:rPr>
                      <w:rFonts w:hint="eastAsia" w:ascii="宋体" w:hAnsi="宋体" w:eastAsia="宋体" w:cs="宋体"/>
                      <w:color w:val="000000"/>
                      <w:kern w:val="0"/>
                      <w:sz w:val="18"/>
                      <w:szCs w:val="18"/>
                      <w:lang w:val="en-US" w:eastAsia="zh-CN" w:bidi="ar"/>
                    </w:rPr>
                    <w:t>地城乡总体规范、环境保护</w:t>
                  </w:r>
                </w:p>
                <w:p w14:paraId="5BE36781">
                  <w:pPr>
                    <w:keepNext w:val="0"/>
                    <w:keepLines w:val="0"/>
                    <w:widowControl/>
                    <w:suppressLineNumbers w:val="0"/>
                    <w:jc w:val="left"/>
                    <w:rPr>
                      <w:rFonts w:hint="eastAsia" w:eastAsia="宋体"/>
                      <w:sz w:val="18"/>
                      <w:szCs w:val="18"/>
                      <w:lang w:eastAsia="zh-CN"/>
                    </w:rPr>
                  </w:pPr>
                  <w:r>
                    <w:rPr>
                      <w:rFonts w:hint="eastAsia" w:ascii="宋体" w:hAnsi="宋体" w:eastAsia="宋体" w:cs="宋体"/>
                      <w:color w:val="000000"/>
                      <w:kern w:val="0"/>
                      <w:sz w:val="18"/>
                      <w:szCs w:val="18"/>
                      <w:lang w:val="en-US" w:eastAsia="zh-CN" w:bidi="ar"/>
                    </w:rPr>
                    <w:t>规划和环境卫生专项规划</w:t>
                  </w:r>
                </w:p>
              </w:tc>
              <w:tc>
                <w:tcPr>
                  <w:tcW w:w="2887" w:type="dxa"/>
                  <w:vAlign w:val="center"/>
                </w:tcPr>
                <w:p w14:paraId="35835E60">
                  <w:pPr>
                    <w:keepNext w:val="0"/>
                    <w:keepLines w:val="0"/>
                    <w:widowControl/>
                    <w:suppressLineNumbers w:val="0"/>
                    <w:jc w:val="left"/>
                    <w:rPr>
                      <w:rFonts w:hint="eastAsia" w:eastAsia="宋体"/>
                      <w:sz w:val="18"/>
                      <w:szCs w:val="18"/>
                      <w:lang w:eastAsia="zh-CN"/>
                    </w:rPr>
                  </w:pPr>
                  <w:r>
                    <w:rPr>
                      <w:rFonts w:hint="eastAsia" w:ascii="宋体" w:hAnsi="宋体" w:eastAsia="宋体" w:cs="宋体"/>
                      <w:color w:val="000000"/>
                      <w:kern w:val="0"/>
                      <w:sz w:val="20"/>
                      <w:szCs w:val="20"/>
                      <w:lang w:val="en-US" w:eastAsia="zh-CN" w:bidi="ar"/>
                    </w:rPr>
                    <w:t>本项目选址符合当地城乡总体规范、环境保护规划和环境卫生专项规划</w:t>
                  </w:r>
                </w:p>
              </w:tc>
              <w:tc>
                <w:tcPr>
                  <w:tcW w:w="970" w:type="dxa"/>
                  <w:vAlign w:val="center"/>
                </w:tcPr>
                <w:p w14:paraId="1C1B25E3">
                  <w:pPr>
                    <w:jc w:val="center"/>
                    <w:rPr>
                      <w:rFonts w:hint="eastAsia"/>
                      <w:sz w:val="18"/>
                      <w:szCs w:val="18"/>
                      <w:lang w:eastAsia="zh-CN"/>
                    </w:rPr>
                  </w:pPr>
                  <w:r>
                    <w:rPr>
                      <w:rFonts w:hint="eastAsia"/>
                      <w:sz w:val="18"/>
                      <w:szCs w:val="18"/>
                      <w:lang w:eastAsia="zh-CN"/>
                    </w:rPr>
                    <w:t>符合</w:t>
                  </w:r>
                </w:p>
              </w:tc>
            </w:tr>
            <w:tr w14:paraId="7BAD99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97" w:type="dxa"/>
                  <w:vAlign w:val="center"/>
                </w:tcPr>
                <w:p w14:paraId="714CBC0B">
                  <w:pPr>
                    <w:jc w:val="center"/>
                    <w:rPr>
                      <w:rFonts w:hint="default"/>
                      <w:sz w:val="18"/>
                      <w:szCs w:val="18"/>
                      <w:lang w:val="en-US" w:eastAsia="zh-CN"/>
                    </w:rPr>
                  </w:pPr>
                  <w:r>
                    <w:rPr>
                      <w:rFonts w:hint="eastAsia"/>
                      <w:sz w:val="18"/>
                      <w:szCs w:val="18"/>
                      <w:lang w:val="en-US" w:eastAsia="zh-CN"/>
                    </w:rPr>
                    <w:t>3</w:t>
                  </w:r>
                </w:p>
              </w:tc>
              <w:tc>
                <w:tcPr>
                  <w:tcW w:w="2663" w:type="dxa"/>
                  <w:vAlign w:val="center"/>
                </w:tcPr>
                <w:p w14:paraId="6E22488C">
                  <w:pPr>
                    <w:keepNext w:val="0"/>
                    <w:keepLines w:val="0"/>
                    <w:widowControl/>
                    <w:suppressLineNumbers w:val="0"/>
                    <w:jc w:val="left"/>
                  </w:pPr>
                  <w:r>
                    <w:rPr>
                      <w:rFonts w:hint="eastAsia" w:ascii="宋体" w:hAnsi="宋体" w:eastAsia="宋体" w:cs="宋体"/>
                      <w:color w:val="000000"/>
                      <w:kern w:val="0"/>
                      <w:sz w:val="20"/>
                      <w:szCs w:val="20"/>
                      <w:lang w:val="en-US" w:eastAsia="zh-CN" w:bidi="ar"/>
                    </w:rPr>
                    <w:t>炉渣处理场所应设置有效的</w:t>
                  </w:r>
                </w:p>
                <w:p w14:paraId="0A6E83D2">
                  <w:pPr>
                    <w:keepNext w:val="0"/>
                    <w:keepLines w:val="0"/>
                    <w:widowControl/>
                    <w:suppressLineNumbers w:val="0"/>
                    <w:jc w:val="left"/>
                    <w:rPr>
                      <w:rFonts w:hint="default" w:eastAsia="宋体"/>
                      <w:sz w:val="18"/>
                      <w:szCs w:val="18"/>
                      <w:lang w:val="en-US" w:eastAsia="zh-CN"/>
                    </w:rPr>
                  </w:pPr>
                  <w:r>
                    <w:rPr>
                      <w:rFonts w:hint="eastAsia" w:ascii="宋体" w:hAnsi="宋体" w:eastAsia="宋体" w:cs="宋体"/>
                      <w:color w:val="000000"/>
                      <w:kern w:val="0"/>
                      <w:sz w:val="20"/>
                      <w:szCs w:val="20"/>
                      <w:lang w:val="en-US" w:eastAsia="zh-CN" w:bidi="ar"/>
                    </w:rPr>
                    <w:t>通风除尘设施</w:t>
                  </w:r>
                </w:p>
              </w:tc>
              <w:tc>
                <w:tcPr>
                  <w:tcW w:w="2887" w:type="dxa"/>
                  <w:vAlign w:val="center"/>
                </w:tcPr>
                <w:p w14:paraId="29E7A6D1">
                  <w:pPr>
                    <w:keepNext w:val="0"/>
                    <w:keepLines w:val="0"/>
                    <w:widowControl/>
                    <w:suppressLineNumbers w:val="0"/>
                    <w:jc w:val="left"/>
                    <w:rPr>
                      <w:rFonts w:hint="eastAsia" w:eastAsia="宋体"/>
                      <w:sz w:val="18"/>
                      <w:szCs w:val="18"/>
                      <w:lang w:eastAsia="zh-CN"/>
                    </w:rPr>
                  </w:pPr>
                  <w:r>
                    <w:rPr>
                      <w:rFonts w:hint="eastAsia" w:ascii="宋体" w:hAnsi="宋体" w:eastAsia="宋体" w:cs="宋体"/>
                      <w:color w:val="000000"/>
                      <w:kern w:val="0"/>
                      <w:sz w:val="20"/>
                      <w:szCs w:val="20"/>
                      <w:lang w:val="en-US" w:eastAsia="zh-CN" w:bidi="ar"/>
                    </w:rPr>
                    <w:t>本项目设置水喷淋除尘</w:t>
                  </w:r>
                </w:p>
              </w:tc>
              <w:tc>
                <w:tcPr>
                  <w:tcW w:w="970" w:type="dxa"/>
                  <w:vAlign w:val="center"/>
                </w:tcPr>
                <w:p w14:paraId="3C41C442">
                  <w:pPr>
                    <w:jc w:val="center"/>
                    <w:rPr>
                      <w:rFonts w:hint="eastAsia"/>
                      <w:sz w:val="18"/>
                      <w:szCs w:val="18"/>
                      <w:lang w:eastAsia="zh-CN"/>
                    </w:rPr>
                  </w:pPr>
                  <w:r>
                    <w:rPr>
                      <w:rFonts w:hint="eastAsia"/>
                      <w:sz w:val="18"/>
                      <w:szCs w:val="18"/>
                      <w:lang w:eastAsia="zh-CN"/>
                    </w:rPr>
                    <w:t>符合</w:t>
                  </w:r>
                </w:p>
              </w:tc>
            </w:tr>
            <w:tr w14:paraId="32F0EC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97" w:type="dxa"/>
                  <w:vAlign w:val="center"/>
                </w:tcPr>
                <w:p w14:paraId="64F0E2AF">
                  <w:pPr>
                    <w:jc w:val="center"/>
                    <w:rPr>
                      <w:rFonts w:hint="default"/>
                      <w:sz w:val="18"/>
                      <w:szCs w:val="18"/>
                      <w:lang w:val="en-US" w:eastAsia="zh-CN"/>
                    </w:rPr>
                  </w:pPr>
                  <w:r>
                    <w:rPr>
                      <w:rFonts w:hint="eastAsia"/>
                      <w:sz w:val="18"/>
                      <w:szCs w:val="18"/>
                      <w:lang w:val="en-US" w:eastAsia="zh-CN"/>
                    </w:rPr>
                    <w:t>4</w:t>
                  </w:r>
                </w:p>
              </w:tc>
              <w:tc>
                <w:tcPr>
                  <w:tcW w:w="2663" w:type="dxa"/>
                  <w:vAlign w:val="center"/>
                </w:tcPr>
                <w:p w14:paraId="0BB54FA6">
                  <w:pPr>
                    <w:keepNext w:val="0"/>
                    <w:keepLines w:val="0"/>
                    <w:widowControl/>
                    <w:suppressLineNumbers w:val="0"/>
                    <w:jc w:val="left"/>
                  </w:pPr>
                  <w:r>
                    <w:rPr>
                      <w:rFonts w:hint="eastAsia" w:ascii="宋体" w:hAnsi="宋体" w:eastAsia="宋体" w:cs="宋体"/>
                      <w:color w:val="000000"/>
                      <w:kern w:val="0"/>
                      <w:sz w:val="20"/>
                      <w:szCs w:val="20"/>
                      <w:lang w:val="en-US" w:eastAsia="zh-CN" w:bidi="ar"/>
                    </w:rPr>
                    <w:t>炉渣贮存、装卸和处理区域</w:t>
                  </w:r>
                </w:p>
                <w:p w14:paraId="76CA410D">
                  <w:pPr>
                    <w:keepNext w:val="0"/>
                    <w:keepLines w:val="0"/>
                    <w:widowControl/>
                    <w:suppressLineNumbers w:val="0"/>
                    <w:jc w:val="left"/>
                  </w:pPr>
                  <w:r>
                    <w:rPr>
                      <w:rFonts w:hint="eastAsia" w:ascii="宋体" w:hAnsi="宋体" w:eastAsia="宋体" w:cs="宋体"/>
                      <w:color w:val="000000"/>
                      <w:kern w:val="0"/>
                      <w:sz w:val="20"/>
                      <w:szCs w:val="20"/>
                      <w:lang w:val="en-US" w:eastAsia="zh-CN" w:bidi="ar"/>
                    </w:rPr>
                    <w:t>应保持环境整洁，现场设置</w:t>
                  </w:r>
                </w:p>
                <w:p w14:paraId="0ECB8848">
                  <w:pPr>
                    <w:keepNext w:val="0"/>
                    <w:keepLines w:val="0"/>
                    <w:widowControl/>
                    <w:suppressLineNumbers w:val="0"/>
                    <w:jc w:val="left"/>
                  </w:pPr>
                  <w:r>
                    <w:rPr>
                      <w:rFonts w:hint="eastAsia" w:ascii="宋体" w:hAnsi="宋体" w:eastAsia="宋体" w:cs="宋体"/>
                      <w:color w:val="000000"/>
                      <w:kern w:val="0"/>
                      <w:sz w:val="20"/>
                      <w:szCs w:val="20"/>
                      <w:lang w:val="en-US" w:eastAsia="zh-CN" w:bidi="ar"/>
                    </w:rPr>
                    <w:t>相应的安全标识，处理过程</w:t>
                  </w:r>
                </w:p>
                <w:p w14:paraId="2815A028">
                  <w:pPr>
                    <w:keepNext w:val="0"/>
                    <w:keepLines w:val="0"/>
                    <w:widowControl/>
                    <w:suppressLineNumbers w:val="0"/>
                    <w:jc w:val="left"/>
                  </w:pPr>
                  <w:r>
                    <w:rPr>
                      <w:rFonts w:hint="eastAsia" w:ascii="宋体" w:hAnsi="宋体" w:eastAsia="宋体" w:cs="宋体"/>
                      <w:color w:val="000000"/>
                      <w:kern w:val="0"/>
                      <w:sz w:val="20"/>
                      <w:szCs w:val="20"/>
                      <w:lang w:val="en-US" w:eastAsia="zh-CN" w:bidi="ar"/>
                    </w:rPr>
                    <w:t>不得对土壤、地下水和周边</w:t>
                  </w:r>
                </w:p>
                <w:p w14:paraId="28FC364F">
                  <w:pPr>
                    <w:keepNext w:val="0"/>
                    <w:keepLines w:val="0"/>
                    <w:widowControl/>
                    <w:suppressLineNumbers w:val="0"/>
                    <w:jc w:val="left"/>
                    <w:rPr>
                      <w:rFonts w:hint="default" w:eastAsia="宋体"/>
                      <w:sz w:val="18"/>
                      <w:szCs w:val="18"/>
                      <w:lang w:val="en-US" w:eastAsia="zh-CN"/>
                    </w:rPr>
                  </w:pPr>
                  <w:r>
                    <w:rPr>
                      <w:rFonts w:hint="eastAsia" w:ascii="宋体" w:hAnsi="宋体" w:eastAsia="宋体" w:cs="宋体"/>
                      <w:color w:val="000000"/>
                      <w:kern w:val="0"/>
                      <w:sz w:val="20"/>
                      <w:szCs w:val="20"/>
                      <w:lang w:val="en-US" w:eastAsia="zh-CN" w:bidi="ar"/>
                    </w:rPr>
                    <w:t>环境造成影响</w:t>
                  </w:r>
                </w:p>
              </w:tc>
              <w:tc>
                <w:tcPr>
                  <w:tcW w:w="2887" w:type="dxa"/>
                  <w:vAlign w:val="center"/>
                </w:tcPr>
                <w:p w14:paraId="7DA916FD">
                  <w:pPr>
                    <w:keepNext w:val="0"/>
                    <w:keepLines w:val="0"/>
                    <w:widowControl/>
                    <w:suppressLineNumbers w:val="0"/>
                    <w:jc w:val="left"/>
                    <w:rPr>
                      <w:rFonts w:hint="eastAsia" w:eastAsia="宋体"/>
                      <w:sz w:val="18"/>
                      <w:szCs w:val="18"/>
                      <w:lang w:eastAsia="zh-CN"/>
                    </w:rPr>
                  </w:pPr>
                  <w:r>
                    <w:rPr>
                      <w:rFonts w:hint="eastAsia" w:ascii="宋体" w:hAnsi="宋体" w:eastAsia="宋体" w:cs="宋体"/>
                      <w:color w:val="000000"/>
                      <w:kern w:val="0"/>
                      <w:sz w:val="20"/>
                      <w:szCs w:val="20"/>
                      <w:lang w:val="en-US" w:eastAsia="zh-CN" w:bidi="ar"/>
                    </w:rPr>
                    <w:t>本项目设置专门的炉渣库贮存炉渣，处理区域保持环境整洁，现场设置相应安全标识，炉渣库和分选车间地面均做防渗处理，设置喷雾、水喷淋除尘塔处理粉尘废气，不会对土壤、地下水和周边环境造成影响</w:t>
                  </w:r>
                </w:p>
              </w:tc>
              <w:tc>
                <w:tcPr>
                  <w:tcW w:w="970" w:type="dxa"/>
                  <w:vAlign w:val="center"/>
                </w:tcPr>
                <w:p w14:paraId="296C583B">
                  <w:pPr>
                    <w:jc w:val="center"/>
                    <w:rPr>
                      <w:rFonts w:hint="eastAsia"/>
                      <w:sz w:val="18"/>
                      <w:szCs w:val="18"/>
                      <w:lang w:eastAsia="zh-CN"/>
                    </w:rPr>
                  </w:pPr>
                  <w:r>
                    <w:rPr>
                      <w:rFonts w:hint="eastAsia"/>
                      <w:sz w:val="18"/>
                      <w:szCs w:val="18"/>
                      <w:lang w:eastAsia="zh-CN"/>
                    </w:rPr>
                    <w:t>符合</w:t>
                  </w:r>
                </w:p>
              </w:tc>
            </w:tr>
            <w:tr w14:paraId="6AE497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97" w:type="dxa"/>
                  <w:vAlign w:val="center"/>
                </w:tcPr>
                <w:p w14:paraId="5B4EA9D3">
                  <w:pPr>
                    <w:jc w:val="center"/>
                    <w:rPr>
                      <w:rFonts w:hint="default"/>
                      <w:sz w:val="18"/>
                      <w:szCs w:val="18"/>
                      <w:lang w:val="en-US" w:eastAsia="zh-CN"/>
                    </w:rPr>
                  </w:pPr>
                  <w:r>
                    <w:rPr>
                      <w:rFonts w:hint="eastAsia"/>
                      <w:sz w:val="18"/>
                      <w:szCs w:val="18"/>
                      <w:lang w:val="en-US" w:eastAsia="zh-CN"/>
                    </w:rPr>
                    <w:t>5</w:t>
                  </w:r>
                </w:p>
              </w:tc>
              <w:tc>
                <w:tcPr>
                  <w:tcW w:w="2663" w:type="dxa"/>
                  <w:vAlign w:val="center"/>
                </w:tcPr>
                <w:p w14:paraId="019D18D7">
                  <w:pPr>
                    <w:keepNext w:val="0"/>
                    <w:keepLines w:val="0"/>
                    <w:widowControl/>
                    <w:suppressLineNumbers w:val="0"/>
                    <w:jc w:val="left"/>
                  </w:pPr>
                  <w:r>
                    <w:rPr>
                      <w:rFonts w:hint="eastAsia" w:ascii="宋体" w:hAnsi="宋体" w:eastAsia="宋体" w:cs="宋体"/>
                      <w:color w:val="000000"/>
                      <w:kern w:val="0"/>
                      <w:sz w:val="20"/>
                      <w:szCs w:val="20"/>
                      <w:lang w:val="en-US" w:eastAsia="zh-CN" w:bidi="ar"/>
                    </w:rPr>
                    <w:t>炉渣处理场所应实行雨污分</w:t>
                  </w:r>
                </w:p>
                <w:p w14:paraId="68151F43">
                  <w:pPr>
                    <w:keepNext w:val="0"/>
                    <w:keepLines w:val="0"/>
                    <w:widowControl/>
                    <w:suppressLineNumbers w:val="0"/>
                    <w:jc w:val="left"/>
                  </w:pPr>
                  <w:r>
                    <w:rPr>
                      <w:rFonts w:hint="eastAsia" w:ascii="宋体" w:hAnsi="宋体" w:eastAsia="宋体" w:cs="宋体"/>
                      <w:color w:val="000000"/>
                      <w:kern w:val="0"/>
                      <w:sz w:val="20"/>
                      <w:szCs w:val="20"/>
                      <w:lang w:val="en-US" w:eastAsia="zh-CN" w:bidi="ar"/>
                    </w:rPr>
                    <w:t>流，设置雨水沉淀池，池体</w:t>
                  </w:r>
                </w:p>
                <w:p w14:paraId="1BDC177D">
                  <w:pPr>
                    <w:keepNext w:val="0"/>
                    <w:keepLines w:val="0"/>
                    <w:widowControl/>
                    <w:suppressLineNumbers w:val="0"/>
                    <w:jc w:val="left"/>
                  </w:pPr>
                  <w:r>
                    <w:rPr>
                      <w:rFonts w:hint="eastAsia" w:ascii="宋体" w:hAnsi="宋体" w:eastAsia="宋体" w:cs="宋体"/>
                      <w:color w:val="000000"/>
                      <w:kern w:val="0"/>
                      <w:sz w:val="20"/>
                      <w:szCs w:val="20"/>
                      <w:lang w:val="en-US" w:eastAsia="zh-CN" w:bidi="ar"/>
                    </w:rPr>
                    <w:t>有效容积应满足初期雨水量</w:t>
                  </w:r>
                </w:p>
                <w:p w14:paraId="6B1E41BA">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的存放、处理要求</w:t>
                  </w:r>
                </w:p>
              </w:tc>
              <w:tc>
                <w:tcPr>
                  <w:tcW w:w="2887" w:type="dxa"/>
                  <w:vAlign w:val="center"/>
                </w:tcPr>
                <w:p w14:paraId="448C5F4F">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本项目实行雨污分流，设置雨水沉淀池，池体有效容积满足初期雨水量的存放、处理要求</w:t>
                  </w:r>
                </w:p>
              </w:tc>
              <w:tc>
                <w:tcPr>
                  <w:tcW w:w="970" w:type="dxa"/>
                  <w:vAlign w:val="center"/>
                </w:tcPr>
                <w:p w14:paraId="7289B442">
                  <w:pPr>
                    <w:jc w:val="center"/>
                    <w:rPr>
                      <w:rFonts w:hint="eastAsia"/>
                      <w:sz w:val="18"/>
                      <w:szCs w:val="18"/>
                      <w:lang w:eastAsia="zh-CN"/>
                    </w:rPr>
                  </w:pPr>
                  <w:r>
                    <w:rPr>
                      <w:rFonts w:hint="eastAsia"/>
                      <w:sz w:val="18"/>
                      <w:szCs w:val="18"/>
                      <w:lang w:eastAsia="zh-CN"/>
                    </w:rPr>
                    <w:t>符合</w:t>
                  </w:r>
                </w:p>
              </w:tc>
            </w:tr>
            <w:tr w14:paraId="6F9D60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97" w:type="dxa"/>
                  <w:vAlign w:val="center"/>
                </w:tcPr>
                <w:p w14:paraId="6F91D8AC">
                  <w:pPr>
                    <w:jc w:val="center"/>
                    <w:rPr>
                      <w:rFonts w:hint="default"/>
                      <w:sz w:val="18"/>
                      <w:szCs w:val="18"/>
                      <w:lang w:val="en-US" w:eastAsia="zh-CN"/>
                    </w:rPr>
                  </w:pPr>
                  <w:r>
                    <w:rPr>
                      <w:rFonts w:hint="eastAsia"/>
                      <w:sz w:val="18"/>
                      <w:szCs w:val="18"/>
                      <w:lang w:val="en-US" w:eastAsia="zh-CN"/>
                    </w:rPr>
                    <w:t>6</w:t>
                  </w:r>
                </w:p>
              </w:tc>
              <w:tc>
                <w:tcPr>
                  <w:tcW w:w="2663" w:type="dxa"/>
                  <w:vAlign w:val="center"/>
                </w:tcPr>
                <w:p w14:paraId="5FADFD20">
                  <w:pPr>
                    <w:keepNext w:val="0"/>
                    <w:keepLines w:val="0"/>
                    <w:widowControl/>
                    <w:suppressLineNumbers w:val="0"/>
                    <w:jc w:val="left"/>
                  </w:pPr>
                  <w:r>
                    <w:rPr>
                      <w:rFonts w:hint="eastAsia" w:ascii="宋体" w:hAnsi="宋体" w:eastAsia="宋体" w:cs="宋体"/>
                      <w:color w:val="000000"/>
                      <w:kern w:val="0"/>
                      <w:sz w:val="20"/>
                      <w:szCs w:val="20"/>
                      <w:lang w:val="en-US" w:eastAsia="zh-CN" w:bidi="ar"/>
                    </w:rPr>
                    <w:t>炉渣的预处理工艺宜设置筛</w:t>
                  </w:r>
                </w:p>
                <w:p w14:paraId="532A5C3E">
                  <w:pPr>
                    <w:keepNext w:val="0"/>
                    <w:keepLines w:val="0"/>
                    <w:widowControl/>
                    <w:suppressLineNumbers w:val="0"/>
                    <w:jc w:val="left"/>
                  </w:pPr>
                  <w:r>
                    <w:rPr>
                      <w:rFonts w:hint="eastAsia" w:ascii="宋体" w:hAnsi="宋体" w:eastAsia="宋体" w:cs="宋体"/>
                      <w:color w:val="000000"/>
                      <w:kern w:val="0"/>
                      <w:sz w:val="20"/>
                      <w:szCs w:val="20"/>
                      <w:lang w:val="en-US" w:eastAsia="zh-CN" w:bidi="ar"/>
                    </w:rPr>
                    <w:t>选、除铁、破碎、有色金属</w:t>
                  </w:r>
                </w:p>
                <w:p w14:paraId="7D9C0F88">
                  <w:pPr>
                    <w:keepNext w:val="0"/>
                    <w:keepLines w:val="0"/>
                    <w:widowControl/>
                    <w:suppressLineNumbers w:val="0"/>
                    <w:jc w:val="left"/>
                  </w:pPr>
                  <w:r>
                    <w:rPr>
                      <w:rFonts w:hint="eastAsia" w:ascii="宋体" w:hAnsi="宋体" w:eastAsia="宋体" w:cs="宋体"/>
                      <w:color w:val="000000"/>
                      <w:kern w:val="0"/>
                      <w:sz w:val="20"/>
                      <w:szCs w:val="20"/>
                      <w:lang w:val="en-US" w:eastAsia="zh-CN" w:bidi="ar"/>
                    </w:rPr>
                    <w:t>分选、水洗摇床分选、废水</w:t>
                  </w:r>
                </w:p>
                <w:p w14:paraId="6E0C297A">
                  <w:pPr>
                    <w:keepNext w:val="0"/>
                    <w:keepLines w:val="0"/>
                    <w:widowControl/>
                    <w:suppressLineNumbers w:val="0"/>
                    <w:jc w:val="left"/>
                  </w:pPr>
                  <w:r>
                    <w:rPr>
                      <w:rFonts w:hint="eastAsia" w:ascii="宋体" w:hAnsi="宋体" w:eastAsia="宋体" w:cs="宋体"/>
                      <w:color w:val="000000"/>
                      <w:kern w:val="0"/>
                      <w:sz w:val="20"/>
                      <w:szCs w:val="20"/>
                      <w:lang w:val="en-US" w:eastAsia="zh-CN" w:bidi="ar"/>
                    </w:rPr>
                    <w:t>沉淀池等设施、炉渣预处理</w:t>
                  </w:r>
                </w:p>
                <w:p w14:paraId="2E737409">
                  <w:pPr>
                    <w:keepNext w:val="0"/>
                    <w:keepLines w:val="0"/>
                    <w:widowControl/>
                    <w:suppressLineNumbers w:val="0"/>
                    <w:jc w:val="left"/>
                  </w:pPr>
                  <w:r>
                    <w:rPr>
                      <w:rFonts w:hint="eastAsia" w:ascii="宋体" w:hAnsi="宋体" w:eastAsia="宋体" w:cs="宋体"/>
                      <w:color w:val="000000"/>
                      <w:kern w:val="0"/>
                      <w:sz w:val="20"/>
                      <w:szCs w:val="20"/>
                      <w:lang w:val="en-US" w:eastAsia="zh-CN" w:bidi="ar"/>
                    </w:rPr>
                    <w:t>机械设施应布置在封闭的建</w:t>
                  </w:r>
                </w:p>
                <w:p w14:paraId="1DBC8DAE">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筑物内</w:t>
                  </w:r>
                </w:p>
              </w:tc>
              <w:tc>
                <w:tcPr>
                  <w:tcW w:w="2887" w:type="dxa"/>
                  <w:vAlign w:val="center"/>
                </w:tcPr>
                <w:p w14:paraId="65F587FC">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本项目预处理工艺设置筛选、除铁、破碎、精选、摇床分选等设施、炉渣预处理机械设施布置在封闭的分选车间内</w:t>
                  </w:r>
                </w:p>
              </w:tc>
              <w:tc>
                <w:tcPr>
                  <w:tcW w:w="970" w:type="dxa"/>
                  <w:vAlign w:val="center"/>
                </w:tcPr>
                <w:p w14:paraId="2D302F4C">
                  <w:pPr>
                    <w:jc w:val="center"/>
                    <w:rPr>
                      <w:rFonts w:hint="eastAsia"/>
                      <w:sz w:val="18"/>
                      <w:szCs w:val="18"/>
                      <w:lang w:eastAsia="zh-CN"/>
                    </w:rPr>
                  </w:pPr>
                  <w:r>
                    <w:rPr>
                      <w:rFonts w:hint="eastAsia"/>
                      <w:sz w:val="18"/>
                      <w:szCs w:val="18"/>
                      <w:lang w:eastAsia="zh-CN"/>
                    </w:rPr>
                    <w:t>符合</w:t>
                  </w:r>
                </w:p>
              </w:tc>
            </w:tr>
            <w:tr w14:paraId="2EA820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97" w:type="dxa"/>
                  <w:vAlign w:val="center"/>
                </w:tcPr>
                <w:p w14:paraId="42CE4095">
                  <w:pPr>
                    <w:jc w:val="center"/>
                    <w:rPr>
                      <w:rFonts w:hint="default"/>
                      <w:sz w:val="18"/>
                      <w:szCs w:val="18"/>
                      <w:lang w:val="en-US" w:eastAsia="zh-CN"/>
                    </w:rPr>
                  </w:pPr>
                  <w:r>
                    <w:rPr>
                      <w:rFonts w:hint="eastAsia"/>
                      <w:sz w:val="18"/>
                      <w:szCs w:val="18"/>
                      <w:lang w:val="en-US" w:eastAsia="zh-CN"/>
                    </w:rPr>
                    <w:t>7</w:t>
                  </w:r>
                </w:p>
              </w:tc>
              <w:tc>
                <w:tcPr>
                  <w:tcW w:w="2663" w:type="dxa"/>
                  <w:vAlign w:val="center"/>
                </w:tcPr>
                <w:p w14:paraId="0AB11249">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对炉渣的初步筛选设备可采用震动网筛、滚筒筛或条形筛，从炉渣中分离出大块金属、碎砖瓦、陶瓷片、玻璃等体积较大的杂质以及未燃尽物</w:t>
                  </w:r>
                </w:p>
              </w:tc>
              <w:tc>
                <w:tcPr>
                  <w:tcW w:w="2887" w:type="dxa"/>
                  <w:vAlign w:val="center"/>
                </w:tcPr>
                <w:p w14:paraId="21C71C83">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本项目对炉渣的初步筛选设备采用滚筒筛，从炉渣中分离出大块金属等体积较大的杂质以及未燃尽物</w:t>
                  </w:r>
                </w:p>
              </w:tc>
              <w:tc>
                <w:tcPr>
                  <w:tcW w:w="970" w:type="dxa"/>
                  <w:vAlign w:val="center"/>
                </w:tcPr>
                <w:p w14:paraId="7EDA4119">
                  <w:pPr>
                    <w:jc w:val="center"/>
                    <w:rPr>
                      <w:rFonts w:hint="eastAsia"/>
                      <w:sz w:val="18"/>
                      <w:szCs w:val="18"/>
                      <w:lang w:eastAsia="zh-CN"/>
                    </w:rPr>
                  </w:pPr>
                  <w:r>
                    <w:rPr>
                      <w:rFonts w:hint="eastAsia"/>
                      <w:sz w:val="18"/>
                      <w:szCs w:val="18"/>
                      <w:lang w:eastAsia="zh-CN"/>
                    </w:rPr>
                    <w:t>符合</w:t>
                  </w:r>
                </w:p>
              </w:tc>
            </w:tr>
            <w:tr w14:paraId="260616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97" w:type="dxa"/>
                  <w:vAlign w:val="center"/>
                </w:tcPr>
                <w:p w14:paraId="4340EB6B">
                  <w:pPr>
                    <w:jc w:val="center"/>
                    <w:rPr>
                      <w:rFonts w:hint="default"/>
                      <w:sz w:val="18"/>
                      <w:szCs w:val="18"/>
                      <w:lang w:val="en-US" w:eastAsia="zh-CN"/>
                    </w:rPr>
                  </w:pPr>
                  <w:r>
                    <w:rPr>
                      <w:rFonts w:hint="eastAsia"/>
                      <w:sz w:val="18"/>
                      <w:szCs w:val="18"/>
                      <w:lang w:val="en-US" w:eastAsia="zh-CN"/>
                    </w:rPr>
                    <w:t>8</w:t>
                  </w:r>
                </w:p>
              </w:tc>
              <w:tc>
                <w:tcPr>
                  <w:tcW w:w="2663" w:type="dxa"/>
                  <w:vAlign w:val="center"/>
                </w:tcPr>
                <w:p w14:paraId="4F1129D3">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炉渣除铁工艺可采用皮带式磁力分选、电磁筒等工艺设备，除铁率应不低于</w:t>
                  </w:r>
                  <w:r>
                    <w:rPr>
                      <w:rFonts w:hint="default" w:ascii="Times New Roman" w:hAnsi="Times New Roman" w:eastAsia="宋体" w:cs="Times New Roman"/>
                      <w:color w:val="000000"/>
                      <w:kern w:val="0"/>
                      <w:sz w:val="20"/>
                      <w:szCs w:val="20"/>
                      <w:lang w:val="en-US" w:eastAsia="zh-CN" w:bidi="ar"/>
                    </w:rPr>
                    <w:t>90%</w:t>
                  </w:r>
                </w:p>
              </w:tc>
              <w:tc>
                <w:tcPr>
                  <w:tcW w:w="2887" w:type="dxa"/>
                  <w:vAlign w:val="center"/>
                </w:tcPr>
                <w:p w14:paraId="7CDD98F4">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本项目除铁工艺采用皮带式磁力分选，除铁率高于</w:t>
                  </w:r>
                  <w:r>
                    <w:rPr>
                      <w:rFonts w:hint="default" w:ascii="Times New Roman" w:hAnsi="Times New Roman" w:eastAsia="宋体" w:cs="Times New Roman"/>
                      <w:color w:val="000000"/>
                      <w:kern w:val="0"/>
                      <w:sz w:val="20"/>
                      <w:szCs w:val="20"/>
                      <w:lang w:val="en-US" w:eastAsia="zh-CN" w:bidi="ar"/>
                    </w:rPr>
                    <w:t>90%</w:t>
                  </w:r>
                </w:p>
              </w:tc>
              <w:tc>
                <w:tcPr>
                  <w:tcW w:w="970" w:type="dxa"/>
                  <w:vAlign w:val="center"/>
                </w:tcPr>
                <w:p w14:paraId="218BC7A8">
                  <w:pPr>
                    <w:jc w:val="center"/>
                    <w:rPr>
                      <w:rFonts w:hint="eastAsia"/>
                      <w:sz w:val="18"/>
                      <w:szCs w:val="18"/>
                      <w:lang w:eastAsia="zh-CN"/>
                    </w:rPr>
                  </w:pPr>
                  <w:r>
                    <w:rPr>
                      <w:rFonts w:hint="eastAsia"/>
                      <w:sz w:val="18"/>
                      <w:szCs w:val="18"/>
                      <w:lang w:eastAsia="zh-CN"/>
                    </w:rPr>
                    <w:t>符合</w:t>
                  </w:r>
                </w:p>
              </w:tc>
            </w:tr>
            <w:tr w14:paraId="65504F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97" w:type="dxa"/>
                  <w:vAlign w:val="center"/>
                </w:tcPr>
                <w:p w14:paraId="23849565">
                  <w:pPr>
                    <w:jc w:val="center"/>
                    <w:rPr>
                      <w:rFonts w:hint="default"/>
                      <w:sz w:val="18"/>
                      <w:szCs w:val="18"/>
                      <w:lang w:val="en-US" w:eastAsia="zh-CN"/>
                    </w:rPr>
                  </w:pPr>
                  <w:r>
                    <w:rPr>
                      <w:rFonts w:hint="eastAsia"/>
                      <w:sz w:val="18"/>
                      <w:szCs w:val="18"/>
                      <w:lang w:val="en-US" w:eastAsia="zh-CN"/>
                    </w:rPr>
                    <w:t>9</w:t>
                  </w:r>
                </w:p>
              </w:tc>
              <w:tc>
                <w:tcPr>
                  <w:tcW w:w="2663" w:type="dxa"/>
                  <w:vAlign w:val="center"/>
                </w:tcPr>
                <w:p w14:paraId="315EBAFA">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有色金属分选工艺可单独采用跳汰工艺或者采用涡电流分选、跳汰组合工艺等方式，应确保选出率不低于</w:t>
                  </w:r>
                  <w:r>
                    <w:rPr>
                      <w:rFonts w:hint="default" w:ascii="Times New Roman" w:hAnsi="Times New Roman" w:eastAsia="宋体" w:cs="Times New Roman"/>
                      <w:color w:val="000000"/>
                      <w:kern w:val="0"/>
                      <w:sz w:val="20"/>
                      <w:szCs w:val="20"/>
                      <w:lang w:val="en-US" w:eastAsia="zh-CN" w:bidi="ar"/>
                    </w:rPr>
                    <w:t>80%</w:t>
                  </w:r>
                  <w:r>
                    <w:rPr>
                      <w:rFonts w:hint="eastAsia" w:ascii="宋体" w:hAnsi="宋体" w:eastAsia="宋体" w:cs="宋体"/>
                      <w:color w:val="000000"/>
                      <w:kern w:val="0"/>
                      <w:sz w:val="20"/>
                      <w:szCs w:val="20"/>
                      <w:lang w:val="en-US" w:eastAsia="zh-CN" w:bidi="ar"/>
                    </w:rPr>
                    <w:t>，单独采用跳汰工艺进行炉渣筛选时，应至少使用二级跳汰工艺</w:t>
                  </w:r>
                </w:p>
              </w:tc>
              <w:tc>
                <w:tcPr>
                  <w:tcW w:w="2887" w:type="dxa"/>
                  <w:vAlign w:val="center"/>
                </w:tcPr>
                <w:p w14:paraId="6CD8B6C7">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本项目使用二级跳汰工艺分选有色金属，铜、铝等选出率高</w:t>
                  </w:r>
                  <w:r>
                    <w:rPr>
                      <w:rFonts w:hint="default" w:ascii="Times New Roman" w:hAnsi="Times New Roman" w:eastAsia="宋体" w:cs="Times New Roman"/>
                      <w:color w:val="000000"/>
                      <w:kern w:val="0"/>
                      <w:sz w:val="20"/>
                      <w:szCs w:val="20"/>
                      <w:lang w:val="en-US" w:eastAsia="zh-CN" w:bidi="ar"/>
                    </w:rPr>
                    <w:t>80%</w:t>
                  </w:r>
                </w:p>
              </w:tc>
              <w:tc>
                <w:tcPr>
                  <w:tcW w:w="970" w:type="dxa"/>
                  <w:vAlign w:val="center"/>
                </w:tcPr>
                <w:p w14:paraId="1371FAEC">
                  <w:pPr>
                    <w:jc w:val="center"/>
                    <w:rPr>
                      <w:rFonts w:hint="eastAsia"/>
                      <w:sz w:val="18"/>
                      <w:szCs w:val="18"/>
                      <w:lang w:eastAsia="zh-CN"/>
                    </w:rPr>
                  </w:pPr>
                  <w:r>
                    <w:rPr>
                      <w:rFonts w:hint="eastAsia"/>
                      <w:sz w:val="18"/>
                      <w:szCs w:val="18"/>
                      <w:lang w:eastAsia="zh-CN"/>
                    </w:rPr>
                    <w:t>符合</w:t>
                  </w:r>
                </w:p>
              </w:tc>
            </w:tr>
            <w:tr w14:paraId="4218DB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97" w:type="dxa"/>
                  <w:vAlign w:val="center"/>
                </w:tcPr>
                <w:p w14:paraId="46E55472">
                  <w:pPr>
                    <w:jc w:val="center"/>
                    <w:rPr>
                      <w:rFonts w:hint="default"/>
                      <w:sz w:val="18"/>
                      <w:szCs w:val="18"/>
                      <w:lang w:val="en-US" w:eastAsia="zh-CN"/>
                    </w:rPr>
                  </w:pPr>
                  <w:r>
                    <w:rPr>
                      <w:rFonts w:hint="eastAsia"/>
                      <w:sz w:val="18"/>
                      <w:szCs w:val="18"/>
                      <w:lang w:val="en-US" w:eastAsia="zh-CN"/>
                    </w:rPr>
                    <w:t>10</w:t>
                  </w:r>
                </w:p>
              </w:tc>
              <w:tc>
                <w:tcPr>
                  <w:tcW w:w="2663" w:type="dxa"/>
                  <w:vAlign w:val="center"/>
                </w:tcPr>
                <w:p w14:paraId="266274B7">
                  <w:pPr>
                    <w:keepNext w:val="0"/>
                    <w:keepLines w:val="0"/>
                    <w:widowControl/>
                    <w:suppressLineNumbers w:val="0"/>
                    <w:jc w:val="left"/>
                  </w:pPr>
                  <w:r>
                    <w:rPr>
                      <w:rFonts w:hint="eastAsia" w:ascii="宋体" w:hAnsi="宋体" w:eastAsia="宋体" w:cs="宋体"/>
                      <w:color w:val="000000"/>
                      <w:kern w:val="0"/>
                      <w:sz w:val="20"/>
                      <w:szCs w:val="20"/>
                      <w:lang w:val="en-US" w:eastAsia="zh-CN" w:bidi="ar"/>
                    </w:rPr>
                    <w:t>炉渣预处理过程收集的有色金属应进行回收利用，筛上</w:t>
                  </w:r>
                </w:p>
                <w:p w14:paraId="008473FB">
                  <w:pPr>
                    <w:keepNext w:val="0"/>
                    <w:keepLines w:val="0"/>
                    <w:widowControl/>
                    <w:suppressLineNumbers w:val="0"/>
                    <w:jc w:val="left"/>
                  </w:pPr>
                  <w:r>
                    <w:rPr>
                      <w:rFonts w:hint="eastAsia" w:ascii="宋体" w:hAnsi="宋体" w:eastAsia="宋体" w:cs="宋体"/>
                      <w:color w:val="000000"/>
                      <w:kern w:val="0"/>
                      <w:sz w:val="20"/>
                      <w:szCs w:val="20"/>
                      <w:lang w:val="en-US" w:eastAsia="zh-CN" w:bidi="ar"/>
                    </w:rPr>
                    <w:t>物宜送往垃圾发电厂进行焚</w:t>
                  </w:r>
                </w:p>
                <w:p w14:paraId="69F9F3DE">
                  <w:pPr>
                    <w:keepNext w:val="0"/>
                    <w:keepLines w:val="0"/>
                    <w:widowControl/>
                    <w:suppressLineNumbers w:val="0"/>
                    <w:jc w:val="left"/>
                  </w:pPr>
                  <w:r>
                    <w:rPr>
                      <w:rFonts w:hint="eastAsia" w:ascii="宋体" w:hAnsi="宋体" w:eastAsia="宋体" w:cs="宋体"/>
                      <w:color w:val="000000"/>
                      <w:kern w:val="0"/>
                      <w:sz w:val="20"/>
                      <w:szCs w:val="20"/>
                      <w:lang w:val="en-US" w:eastAsia="zh-CN" w:bidi="ar"/>
                    </w:rPr>
                    <w:t>烧处理或送至生活垃圾填埋</w:t>
                  </w:r>
                </w:p>
                <w:p w14:paraId="73749D46">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场填埋</w:t>
                  </w:r>
                </w:p>
              </w:tc>
              <w:tc>
                <w:tcPr>
                  <w:tcW w:w="2887" w:type="dxa"/>
                  <w:vAlign w:val="center"/>
                </w:tcPr>
                <w:p w14:paraId="6BAFFC62">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本项目分选收集的有色金属回收利用，筛上物送往垃圾发电厂进行焚烧处理</w:t>
                  </w:r>
                </w:p>
              </w:tc>
              <w:tc>
                <w:tcPr>
                  <w:tcW w:w="970" w:type="dxa"/>
                  <w:vAlign w:val="center"/>
                </w:tcPr>
                <w:p w14:paraId="18CE6564">
                  <w:pPr>
                    <w:jc w:val="center"/>
                    <w:rPr>
                      <w:rFonts w:hint="eastAsia"/>
                      <w:sz w:val="18"/>
                      <w:szCs w:val="18"/>
                      <w:lang w:eastAsia="zh-CN"/>
                    </w:rPr>
                  </w:pPr>
                  <w:r>
                    <w:rPr>
                      <w:rFonts w:hint="eastAsia"/>
                      <w:sz w:val="18"/>
                      <w:szCs w:val="18"/>
                      <w:lang w:eastAsia="zh-CN"/>
                    </w:rPr>
                    <w:t>符合</w:t>
                  </w:r>
                </w:p>
              </w:tc>
            </w:tr>
            <w:tr w14:paraId="4287FF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97" w:type="dxa"/>
                  <w:vAlign w:val="center"/>
                </w:tcPr>
                <w:p w14:paraId="18858F5B">
                  <w:pPr>
                    <w:jc w:val="center"/>
                    <w:rPr>
                      <w:rFonts w:hint="default"/>
                      <w:sz w:val="18"/>
                      <w:szCs w:val="18"/>
                      <w:lang w:val="en-US" w:eastAsia="zh-CN"/>
                    </w:rPr>
                  </w:pPr>
                  <w:r>
                    <w:rPr>
                      <w:rFonts w:hint="eastAsia"/>
                      <w:sz w:val="18"/>
                      <w:szCs w:val="18"/>
                      <w:lang w:val="en-US" w:eastAsia="zh-CN"/>
                    </w:rPr>
                    <w:t>11</w:t>
                  </w:r>
                </w:p>
              </w:tc>
              <w:tc>
                <w:tcPr>
                  <w:tcW w:w="2663" w:type="dxa"/>
                  <w:vAlign w:val="center"/>
                </w:tcPr>
                <w:p w14:paraId="74B2600B">
                  <w:pPr>
                    <w:keepNext w:val="0"/>
                    <w:keepLines w:val="0"/>
                    <w:widowControl/>
                    <w:suppressLineNumbers w:val="0"/>
                    <w:jc w:val="left"/>
                  </w:pPr>
                  <w:r>
                    <w:rPr>
                      <w:rFonts w:hint="eastAsia" w:ascii="宋体" w:hAnsi="宋体" w:eastAsia="宋体" w:cs="宋体"/>
                      <w:color w:val="000000"/>
                      <w:kern w:val="0"/>
                      <w:sz w:val="20"/>
                      <w:szCs w:val="20"/>
                      <w:lang w:val="en-US" w:eastAsia="zh-CN" w:bidi="ar"/>
                    </w:rPr>
                    <w:t>选渣池补充水可采用经净化</w:t>
                  </w:r>
                </w:p>
                <w:p w14:paraId="4D9B0C81">
                  <w:pPr>
                    <w:keepNext w:val="0"/>
                    <w:keepLines w:val="0"/>
                    <w:widowControl/>
                    <w:suppressLineNumbers w:val="0"/>
                    <w:jc w:val="left"/>
                  </w:pPr>
                  <w:r>
                    <w:rPr>
                      <w:rFonts w:hint="eastAsia" w:ascii="宋体" w:hAnsi="宋体" w:eastAsia="宋体" w:cs="宋体"/>
                      <w:color w:val="000000"/>
                      <w:kern w:val="0"/>
                      <w:sz w:val="20"/>
                      <w:szCs w:val="20"/>
                      <w:lang w:val="en-US" w:eastAsia="zh-CN" w:bidi="ar"/>
                    </w:rPr>
                    <w:t>处理的生产废水，预处理工程中的外排废水应符合相关</w:t>
                  </w:r>
                </w:p>
                <w:p w14:paraId="7B4E8A21">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环保要求</w:t>
                  </w:r>
                </w:p>
              </w:tc>
              <w:tc>
                <w:tcPr>
                  <w:tcW w:w="2887" w:type="dxa"/>
                  <w:vAlign w:val="center"/>
                </w:tcPr>
                <w:p w14:paraId="7BFEB473">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本项目选渣池补充水采用经净化处理的生产废水，本项目生产废水均经处理后回用生产，不外排</w:t>
                  </w:r>
                </w:p>
              </w:tc>
              <w:tc>
                <w:tcPr>
                  <w:tcW w:w="970" w:type="dxa"/>
                  <w:vAlign w:val="center"/>
                </w:tcPr>
                <w:p w14:paraId="1923C25E">
                  <w:pPr>
                    <w:jc w:val="center"/>
                    <w:rPr>
                      <w:rFonts w:hint="eastAsia"/>
                      <w:sz w:val="18"/>
                      <w:szCs w:val="18"/>
                      <w:lang w:eastAsia="zh-CN"/>
                    </w:rPr>
                  </w:pPr>
                  <w:r>
                    <w:rPr>
                      <w:rFonts w:hint="eastAsia"/>
                      <w:sz w:val="18"/>
                      <w:szCs w:val="18"/>
                      <w:lang w:eastAsia="zh-CN"/>
                    </w:rPr>
                    <w:t>符合</w:t>
                  </w:r>
                </w:p>
              </w:tc>
            </w:tr>
            <w:tr w14:paraId="24403A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97" w:type="dxa"/>
                  <w:vAlign w:val="center"/>
                </w:tcPr>
                <w:p w14:paraId="7A85936C">
                  <w:pPr>
                    <w:jc w:val="center"/>
                    <w:rPr>
                      <w:rFonts w:hint="default"/>
                      <w:sz w:val="18"/>
                      <w:szCs w:val="18"/>
                      <w:lang w:val="en-US" w:eastAsia="zh-CN"/>
                    </w:rPr>
                  </w:pPr>
                  <w:r>
                    <w:rPr>
                      <w:rFonts w:hint="eastAsia"/>
                      <w:sz w:val="18"/>
                      <w:szCs w:val="18"/>
                      <w:lang w:val="en-US" w:eastAsia="zh-CN"/>
                    </w:rPr>
                    <w:t>12</w:t>
                  </w:r>
                </w:p>
              </w:tc>
              <w:tc>
                <w:tcPr>
                  <w:tcW w:w="2663" w:type="dxa"/>
                  <w:vAlign w:val="center"/>
                </w:tcPr>
                <w:p w14:paraId="64067C77">
                  <w:pPr>
                    <w:keepNext w:val="0"/>
                    <w:keepLines w:val="0"/>
                    <w:widowControl/>
                    <w:suppressLineNumbers w:val="0"/>
                    <w:jc w:val="left"/>
                  </w:pPr>
                  <w:r>
                    <w:rPr>
                      <w:rFonts w:hint="eastAsia" w:ascii="宋体" w:hAnsi="宋体" w:eastAsia="宋体" w:cs="宋体"/>
                      <w:color w:val="000000"/>
                      <w:kern w:val="0"/>
                      <w:sz w:val="20"/>
                      <w:szCs w:val="20"/>
                      <w:lang w:val="en-US" w:eastAsia="zh-CN" w:bidi="ar"/>
                    </w:rPr>
                    <w:t>生产废水在沉淀池中经沉淀后形成淤泥，应脱水处理，实现泥水分离，脱水后淤泥</w:t>
                  </w:r>
                </w:p>
                <w:p w14:paraId="531D022A">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含水量应低于 </w:t>
                  </w:r>
                  <w:r>
                    <w:rPr>
                      <w:rFonts w:hint="default" w:ascii="Times New Roman" w:hAnsi="Times New Roman" w:eastAsia="宋体" w:cs="Times New Roman"/>
                      <w:color w:val="000000"/>
                      <w:kern w:val="0"/>
                      <w:sz w:val="20"/>
                      <w:szCs w:val="20"/>
                      <w:lang w:val="en-US" w:eastAsia="zh-CN" w:bidi="ar"/>
                    </w:rPr>
                    <w:t>60%</w:t>
                  </w:r>
                </w:p>
              </w:tc>
              <w:tc>
                <w:tcPr>
                  <w:tcW w:w="2887" w:type="dxa"/>
                  <w:vAlign w:val="center"/>
                </w:tcPr>
                <w:p w14:paraId="0C1140EC">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生产废水在沉淀池中经沉淀后形成淤泥，采用板框压滤机脱水处理，实现泥水分离，脱水后淤泥含水量低于</w:t>
                  </w:r>
                  <w:r>
                    <w:rPr>
                      <w:rFonts w:hint="default" w:ascii="Times New Roman" w:hAnsi="Times New Roman" w:eastAsia="宋体" w:cs="Times New Roman"/>
                      <w:color w:val="000000"/>
                      <w:kern w:val="0"/>
                      <w:sz w:val="20"/>
                      <w:szCs w:val="20"/>
                      <w:lang w:val="en-US" w:eastAsia="zh-CN" w:bidi="ar"/>
                    </w:rPr>
                    <w:t>60%</w:t>
                  </w:r>
                </w:p>
              </w:tc>
              <w:tc>
                <w:tcPr>
                  <w:tcW w:w="970" w:type="dxa"/>
                  <w:vAlign w:val="center"/>
                </w:tcPr>
                <w:p w14:paraId="15ED00E5">
                  <w:pPr>
                    <w:jc w:val="center"/>
                    <w:rPr>
                      <w:rFonts w:hint="eastAsia"/>
                      <w:sz w:val="18"/>
                      <w:szCs w:val="18"/>
                      <w:lang w:eastAsia="zh-CN"/>
                    </w:rPr>
                  </w:pPr>
                  <w:r>
                    <w:rPr>
                      <w:rFonts w:hint="eastAsia"/>
                      <w:sz w:val="18"/>
                      <w:szCs w:val="18"/>
                      <w:lang w:eastAsia="zh-CN"/>
                    </w:rPr>
                    <w:t>符合</w:t>
                  </w:r>
                </w:p>
              </w:tc>
            </w:tr>
            <w:tr w14:paraId="65DB8C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97" w:type="dxa"/>
                  <w:vAlign w:val="center"/>
                </w:tcPr>
                <w:p w14:paraId="14A5B432">
                  <w:pPr>
                    <w:jc w:val="center"/>
                    <w:rPr>
                      <w:rFonts w:hint="default"/>
                      <w:sz w:val="18"/>
                      <w:szCs w:val="18"/>
                      <w:lang w:val="en-US" w:eastAsia="zh-CN"/>
                    </w:rPr>
                  </w:pPr>
                  <w:r>
                    <w:rPr>
                      <w:rFonts w:hint="eastAsia"/>
                      <w:sz w:val="18"/>
                      <w:szCs w:val="18"/>
                      <w:lang w:val="en-US" w:eastAsia="zh-CN"/>
                    </w:rPr>
                    <w:t>13</w:t>
                  </w:r>
                </w:p>
              </w:tc>
              <w:tc>
                <w:tcPr>
                  <w:tcW w:w="2663" w:type="dxa"/>
                  <w:vAlign w:val="center"/>
                </w:tcPr>
                <w:p w14:paraId="7C911564">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预处理前后的炉渣堆放场地应设置防雨、防扬尘设施，且分别能满足存放</w:t>
                  </w:r>
                  <w:r>
                    <w:rPr>
                      <w:rFonts w:hint="default" w:ascii="Times New Roman" w:hAnsi="Times New Roman" w:eastAsia="宋体" w:cs="Times New Roman"/>
                      <w:color w:val="000000"/>
                      <w:kern w:val="0"/>
                      <w:sz w:val="20"/>
                      <w:szCs w:val="20"/>
                      <w:lang w:val="en-US" w:eastAsia="zh-CN" w:bidi="ar"/>
                    </w:rPr>
                    <w:t>7d~15d</w:t>
                  </w:r>
                  <w:r>
                    <w:rPr>
                      <w:rFonts w:hint="eastAsia" w:ascii="宋体" w:hAnsi="宋体" w:eastAsia="宋体" w:cs="宋体"/>
                      <w:color w:val="000000"/>
                      <w:kern w:val="0"/>
                      <w:sz w:val="20"/>
                      <w:szCs w:val="20"/>
                      <w:lang w:val="en-US" w:eastAsia="zh-CN" w:bidi="ar"/>
                    </w:rPr>
                    <w:t xml:space="preserve">的炉渣量，炉渣堆放场地地面应采用混凝土硬化处理，满足荷载要求，地平标高应至少高于厂区地面 </w:t>
                  </w:r>
                  <w:r>
                    <w:rPr>
                      <w:rFonts w:hint="default" w:ascii="Times New Roman" w:hAnsi="Times New Roman" w:eastAsia="宋体" w:cs="Times New Roman"/>
                      <w:color w:val="000000"/>
                      <w:kern w:val="0"/>
                      <w:sz w:val="20"/>
                      <w:szCs w:val="20"/>
                      <w:lang w:val="en-US" w:eastAsia="zh-CN" w:bidi="ar"/>
                    </w:rPr>
                    <w:t>10cm</w:t>
                  </w:r>
                  <w:r>
                    <w:rPr>
                      <w:rFonts w:hint="eastAsia" w:ascii="宋体" w:hAnsi="宋体" w:eastAsia="宋体" w:cs="宋体"/>
                      <w:color w:val="000000"/>
                      <w:kern w:val="0"/>
                      <w:sz w:val="20"/>
                      <w:szCs w:val="20"/>
                      <w:lang w:val="en-US" w:eastAsia="zh-CN" w:bidi="ar"/>
                    </w:rPr>
                    <w:t>，周围设置围堰，净高度不低于</w:t>
                  </w:r>
                  <w:r>
                    <w:rPr>
                      <w:rFonts w:hint="default" w:ascii="Times New Roman" w:hAnsi="Times New Roman" w:eastAsia="宋体" w:cs="Times New Roman"/>
                      <w:color w:val="000000"/>
                      <w:kern w:val="0"/>
                      <w:sz w:val="20"/>
                      <w:szCs w:val="20"/>
                      <w:lang w:val="en-US" w:eastAsia="zh-CN" w:bidi="ar"/>
                    </w:rPr>
                    <w:t>30cm</w:t>
                  </w:r>
                </w:p>
              </w:tc>
              <w:tc>
                <w:tcPr>
                  <w:tcW w:w="2887" w:type="dxa"/>
                  <w:vAlign w:val="center"/>
                </w:tcPr>
                <w:p w14:paraId="4D53259F">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本项目预处理前后的炉渣堆放场地设置在生产车间内，设置有防雨、防扬尘设施，满足存放</w:t>
                  </w:r>
                  <w:r>
                    <w:rPr>
                      <w:rFonts w:hint="default" w:ascii="Times New Roman" w:hAnsi="Times New Roman" w:eastAsia="宋体" w:cs="Times New Roman"/>
                      <w:color w:val="000000"/>
                      <w:kern w:val="0"/>
                      <w:sz w:val="20"/>
                      <w:szCs w:val="20"/>
                      <w:lang w:val="en-US" w:eastAsia="zh-CN" w:bidi="ar"/>
                    </w:rPr>
                    <w:t>7d</w:t>
                  </w:r>
                  <w:r>
                    <w:rPr>
                      <w:rFonts w:hint="eastAsia" w:ascii="宋体" w:hAnsi="宋体" w:eastAsia="宋体" w:cs="宋体"/>
                      <w:color w:val="000000"/>
                      <w:kern w:val="0"/>
                      <w:sz w:val="20"/>
                      <w:szCs w:val="20"/>
                      <w:lang w:val="en-US" w:eastAsia="zh-CN" w:bidi="ar"/>
                    </w:rPr>
                    <w:t>炉渣量，堆放场地地面采用混凝土硬化处理，满足荷载要求，地平标高高于厂区地面</w:t>
                  </w:r>
                  <w:r>
                    <w:rPr>
                      <w:rFonts w:hint="default" w:ascii="Times New Roman" w:hAnsi="Times New Roman" w:eastAsia="宋体" w:cs="Times New Roman"/>
                      <w:color w:val="000000"/>
                      <w:kern w:val="0"/>
                      <w:sz w:val="20"/>
                      <w:szCs w:val="20"/>
                      <w:lang w:val="en-US" w:eastAsia="zh-CN" w:bidi="ar"/>
                    </w:rPr>
                    <w:t>10cm</w:t>
                  </w:r>
                  <w:r>
                    <w:rPr>
                      <w:rFonts w:hint="eastAsia" w:ascii="宋体" w:hAnsi="宋体" w:eastAsia="宋体" w:cs="宋体"/>
                      <w:color w:val="000000"/>
                      <w:kern w:val="0"/>
                      <w:sz w:val="20"/>
                      <w:szCs w:val="20"/>
                      <w:lang w:val="en-US" w:eastAsia="zh-CN" w:bidi="ar"/>
                    </w:rPr>
                    <w:t>，周边设置围堰，净高度为</w:t>
                  </w:r>
                  <w:r>
                    <w:rPr>
                      <w:rFonts w:hint="default" w:ascii="Times New Roman" w:hAnsi="Times New Roman" w:eastAsia="宋体" w:cs="Times New Roman"/>
                      <w:color w:val="000000"/>
                      <w:kern w:val="0"/>
                      <w:sz w:val="20"/>
                      <w:szCs w:val="20"/>
                      <w:lang w:val="en-US" w:eastAsia="zh-CN" w:bidi="ar"/>
                    </w:rPr>
                    <w:t>30cm</w:t>
                  </w:r>
                </w:p>
              </w:tc>
              <w:tc>
                <w:tcPr>
                  <w:tcW w:w="970" w:type="dxa"/>
                  <w:vAlign w:val="center"/>
                </w:tcPr>
                <w:p w14:paraId="1329CE8B">
                  <w:pPr>
                    <w:jc w:val="center"/>
                    <w:rPr>
                      <w:rFonts w:hint="eastAsia"/>
                      <w:sz w:val="18"/>
                      <w:szCs w:val="18"/>
                      <w:lang w:eastAsia="zh-CN"/>
                    </w:rPr>
                  </w:pPr>
                  <w:r>
                    <w:rPr>
                      <w:rFonts w:hint="eastAsia"/>
                      <w:sz w:val="18"/>
                      <w:szCs w:val="18"/>
                      <w:lang w:eastAsia="zh-CN"/>
                    </w:rPr>
                    <w:t>符合</w:t>
                  </w:r>
                </w:p>
              </w:tc>
            </w:tr>
            <w:tr w14:paraId="7D1EBB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97" w:type="dxa"/>
                  <w:vAlign w:val="center"/>
                </w:tcPr>
                <w:p w14:paraId="705C4ED0">
                  <w:pPr>
                    <w:jc w:val="center"/>
                    <w:rPr>
                      <w:rFonts w:hint="default"/>
                      <w:sz w:val="18"/>
                      <w:szCs w:val="18"/>
                      <w:lang w:val="en-US" w:eastAsia="zh-CN"/>
                    </w:rPr>
                  </w:pPr>
                  <w:r>
                    <w:rPr>
                      <w:rFonts w:hint="eastAsia"/>
                      <w:sz w:val="18"/>
                      <w:szCs w:val="18"/>
                      <w:lang w:val="en-US" w:eastAsia="zh-CN"/>
                    </w:rPr>
                    <w:t>14</w:t>
                  </w:r>
                </w:p>
              </w:tc>
              <w:tc>
                <w:tcPr>
                  <w:tcW w:w="2663" w:type="dxa"/>
                  <w:vAlign w:val="center"/>
                </w:tcPr>
                <w:p w14:paraId="16394FCD">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炉渣经处理加工可制成用于道路路基、垫层、底基层、基层及无筋混凝土制品的辅料，其产品粒径含杂量、含水率、筒压强度应符合</w:t>
                  </w:r>
                  <w:r>
                    <w:rPr>
                      <w:rFonts w:hint="default" w:ascii="Times New Roman" w:hAnsi="Times New Roman" w:eastAsia="宋体" w:cs="Times New Roman"/>
                      <w:color w:val="000000"/>
                      <w:kern w:val="0"/>
                      <w:sz w:val="20"/>
                      <w:szCs w:val="20"/>
                      <w:lang w:val="en-US" w:eastAsia="zh-CN" w:bidi="ar"/>
                    </w:rPr>
                    <w:t>GB/T25032</w:t>
                  </w:r>
                  <w:r>
                    <w:rPr>
                      <w:rFonts w:hint="eastAsia" w:ascii="宋体" w:hAnsi="宋体" w:eastAsia="宋体" w:cs="宋体"/>
                      <w:color w:val="000000"/>
                      <w:kern w:val="0"/>
                      <w:sz w:val="20"/>
                      <w:szCs w:val="20"/>
                      <w:lang w:val="en-US" w:eastAsia="zh-CN" w:bidi="ar"/>
                    </w:rPr>
                    <w:t>的要求</w:t>
                  </w:r>
                </w:p>
              </w:tc>
              <w:tc>
                <w:tcPr>
                  <w:tcW w:w="2887" w:type="dxa"/>
                  <w:vAlign w:val="center"/>
                </w:tcPr>
                <w:p w14:paraId="1D11AA51">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本项目炉渣分选后环保</w:t>
                  </w:r>
                  <w:r>
                    <w:rPr>
                      <w:rFonts w:hint="eastAsia" w:ascii="宋体" w:hAnsi="宋体" w:cs="宋体"/>
                      <w:color w:val="000000"/>
                      <w:kern w:val="0"/>
                      <w:sz w:val="20"/>
                      <w:szCs w:val="20"/>
                      <w:lang w:val="en-US" w:eastAsia="zh-CN" w:bidi="ar"/>
                    </w:rPr>
                    <w:t>砂</w:t>
                  </w:r>
                  <w:r>
                    <w:rPr>
                      <w:rFonts w:hint="eastAsia" w:ascii="宋体" w:hAnsi="宋体" w:eastAsia="宋体" w:cs="宋体"/>
                      <w:color w:val="000000"/>
                      <w:kern w:val="0"/>
                      <w:sz w:val="20"/>
                      <w:szCs w:val="20"/>
                      <w:lang w:val="en-US" w:eastAsia="zh-CN" w:bidi="ar"/>
                    </w:rPr>
                    <w:t>产品可用于道路路基、垫层、底基层、基层及无筋混凝土制品的辅料，其产品粒径含杂量、含水率、筒压强度应符合</w:t>
                  </w:r>
                  <w:r>
                    <w:rPr>
                      <w:rFonts w:hint="default" w:ascii="Times New Roman" w:hAnsi="Times New Roman" w:eastAsia="宋体" w:cs="Times New Roman"/>
                      <w:color w:val="000000"/>
                      <w:kern w:val="0"/>
                      <w:sz w:val="20"/>
                      <w:szCs w:val="20"/>
                      <w:lang w:val="en-US" w:eastAsia="zh-CN" w:bidi="ar"/>
                    </w:rPr>
                    <w:t>GB/T25032</w:t>
                  </w:r>
                  <w:r>
                    <w:rPr>
                      <w:rFonts w:hint="eastAsia" w:ascii="宋体" w:hAnsi="宋体" w:eastAsia="宋体" w:cs="宋体"/>
                      <w:color w:val="000000"/>
                      <w:kern w:val="0"/>
                      <w:sz w:val="20"/>
                      <w:szCs w:val="20"/>
                      <w:lang w:val="en-US" w:eastAsia="zh-CN" w:bidi="ar"/>
                    </w:rPr>
                    <w:t>的要求</w:t>
                  </w:r>
                </w:p>
              </w:tc>
              <w:tc>
                <w:tcPr>
                  <w:tcW w:w="970" w:type="dxa"/>
                  <w:vAlign w:val="center"/>
                </w:tcPr>
                <w:p w14:paraId="0C843489">
                  <w:pPr>
                    <w:jc w:val="center"/>
                    <w:rPr>
                      <w:rFonts w:hint="eastAsia"/>
                      <w:sz w:val="18"/>
                      <w:szCs w:val="18"/>
                      <w:lang w:eastAsia="zh-CN"/>
                    </w:rPr>
                  </w:pPr>
                  <w:r>
                    <w:rPr>
                      <w:rFonts w:hint="eastAsia"/>
                      <w:sz w:val="18"/>
                      <w:szCs w:val="18"/>
                      <w:lang w:eastAsia="zh-CN"/>
                    </w:rPr>
                    <w:t>符合</w:t>
                  </w:r>
                </w:p>
              </w:tc>
            </w:tr>
          </w:tbl>
          <w:p w14:paraId="6BB10E30">
            <w:pPr>
              <w:spacing w:line="500" w:lineRule="atLeast"/>
              <w:ind w:firstLine="420" w:firstLineChars="200"/>
              <w:rPr>
                <w:rFonts w:hint="default" w:ascii="Times New Roman" w:hAnsi="Times New Roman" w:eastAsia="宋体"/>
                <w:bCs/>
                <w:szCs w:val="21"/>
                <w:lang w:val="en-US" w:eastAsia="zh-CN"/>
              </w:rPr>
            </w:pPr>
            <w:r>
              <w:rPr>
                <w:rFonts w:hint="default" w:ascii="Times New Roman" w:hAnsi="Times New Roman" w:eastAsia="宋体"/>
                <w:bCs/>
                <w:szCs w:val="21"/>
                <w:lang w:val="en-US" w:eastAsia="zh-CN"/>
              </w:rPr>
              <w:t>综上分析，本项目与《垃圾发电厂炉渣处理技术规范》（DL/T1938-2018）相符。</w:t>
            </w:r>
          </w:p>
          <w:p w14:paraId="1ED47995">
            <w:pPr>
              <w:spacing w:line="500" w:lineRule="atLeast"/>
              <w:ind w:firstLine="422" w:firstLineChars="200"/>
              <w:rPr>
                <w:rFonts w:hint="default" w:ascii="Times New Roman" w:hAnsi="Times New Roman" w:eastAsia="宋体" w:cs="Times New Roman"/>
                <w:bCs/>
                <w:szCs w:val="21"/>
                <w:lang w:val="en-US" w:eastAsia="zh-CN"/>
              </w:rPr>
            </w:pPr>
            <w:r>
              <w:rPr>
                <w:rFonts w:hint="eastAsia" w:ascii="Times New Roman" w:hAnsi="Times New Roman" w:eastAsia="宋体" w:cs="Times New Roman"/>
                <w:b/>
                <w:bCs w:val="0"/>
                <w:szCs w:val="21"/>
                <w:lang w:val="en-US" w:eastAsia="zh-CN"/>
              </w:rPr>
              <w:t>13</w:t>
            </w:r>
            <w:r>
              <w:rPr>
                <w:rFonts w:hint="default" w:ascii="Times New Roman" w:hAnsi="Times New Roman" w:eastAsia="宋体" w:cs="Times New Roman"/>
                <w:b/>
                <w:bCs w:val="0"/>
                <w:szCs w:val="21"/>
                <w:lang w:val="en-US" w:eastAsia="zh-CN"/>
              </w:rPr>
              <w:t>、与《固体废物鉴别标准 通则》</w:t>
            </w:r>
            <w:r>
              <w:rPr>
                <w:rFonts w:hint="eastAsia" w:ascii="Times New Roman" w:hAnsi="Times New Roman" w:eastAsia="宋体" w:cs="Times New Roman"/>
                <w:b/>
                <w:bCs w:val="0"/>
                <w:szCs w:val="21"/>
                <w:lang w:val="en-US" w:eastAsia="zh-CN"/>
              </w:rPr>
              <w:t>（</w:t>
            </w:r>
            <w:r>
              <w:rPr>
                <w:rFonts w:hint="default" w:ascii="Times New Roman" w:hAnsi="Times New Roman" w:eastAsia="宋体" w:cs="Times New Roman"/>
                <w:b/>
                <w:bCs w:val="0"/>
                <w:szCs w:val="21"/>
                <w:lang w:val="en-US" w:eastAsia="zh-CN"/>
              </w:rPr>
              <w:t>GB 34330</w:t>
            </w:r>
            <w:r>
              <w:rPr>
                <w:rFonts w:hint="eastAsia" w:ascii="Times New Roman" w:hAnsi="Times New Roman" w:eastAsia="宋体" w:cs="Times New Roman"/>
                <w:b/>
                <w:bCs w:val="0"/>
                <w:szCs w:val="21"/>
                <w:lang w:val="en-US" w:eastAsia="zh-CN"/>
              </w:rPr>
              <w:t>-</w:t>
            </w:r>
            <w:r>
              <w:rPr>
                <w:rFonts w:hint="default" w:ascii="Times New Roman" w:hAnsi="Times New Roman" w:eastAsia="宋体" w:cs="Times New Roman"/>
                <w:b/>
                <w:bCs w:val="0"/>
                <w:szCs w:val="21"/>
                <w:lang w:val="en-US" w:eastAsia="zh-CN"/>
              </w:rPr>
              <w:t>2017）相符性分析</w:t>
            </w:r>
          </w:p>
          <w:p w14:paraId="544502DA">
            <w:pPr>
              <w:spacing w:line="500" w:lineRule="atLeast"/>
              <w:ind w:firstLine="420" w:firstLineChars="200"/>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根据《固体废物鉴别标准 通则》</w:t>
            </w:r>
            <w:r>
              <w:rPr>
                <w:rFonts w:hint="eastAsia" w:ascii="Times New Roman" w:hAnsi="Times New Roman" w:eastAsia="宋体" w:cs="Times New Roman"/>
                <w:bCs/>
                <w:szCs w:val="21"/>
                <w:lang w:val="en-US" w:eastAsia="zh-CN"/>
              </w:rPr>
              <w:t>（</w:t>
            </w:r>
            <w:r>
              <w:rPr>
                <w:rFonts w:hint="default" w:ascii="Times New Roman" w:hAnsi="Times New Roman" w:eastAsia="宋体" w:cs="Times New Roman"/>
                <w:bCs/>
                <w:szCs w:val="21"/>
                <w:lang w:val="en-US" w:eastAsia="zh-CN"/>
              </w:rPr>
              <w:t>GB 34330</w:t>
            </w:r>
            <w:r>
              <w:rPr>
                <w:rFonts w:hint="eastAsia" w:ascii="Times New Roman" w:hAnsi="Times New Roman" w:eastAsia="宋体" w:cs="Times New Roman"/>
                <w:bCs/>
                <w:szCs w:val="21"/>
                <w:lang w:val="en-US" w:eastAsia="zh-CN"/>
              </w:rPr>
              <w:t>-</w:t>
            </w:r>
            <w:r>
              <w:rPr>
                <w:rFonts w:hint="default" w:ascii="Times New Roman" w:hAnsi="Times New Roman" w:eastAsia="宋体" w:cs="Times New Roman"/>
                <w:bCs/>
                <w:szCs w:val="21"/>
                <w:lang w:val="en-US" w:eastAsia="zh-CN"/>
              </w:rPr>
              <w:t>2017）：</w:t>
            </w:r>
            <w:r>
              <w:rPr>
                <w:rFonts w:hint="eastAsia" w:ascii="Times New Roman" w:hAnsi="Times New Roman" w:eastAsia="宋体" w:cs="Times New Roman"/>
                <w:bCs/>
                <w:szCs w:val="21"/>
                <w:lang w:val="en-US" w:eastAsia="zh-CN"/>
              </w:rPr>
              <w:t>“</w:t>
            </w:r>
            <w:r>
              <w:rPr>
                <w:rFonts w:hint="default" w:ascii="Times New Roman" w:hAnsi="Times New Roman" w:eastAsia="宋体" w:cs="Times New Roman"/>
                <w:bCs/>
                <w:szCs w:val="21"/>
                <w:lang w:val="en-US" w:eastAsia="zh-CN"/>
              </w:rPr>
              <w:t>6不作为固体废物管理的物质 6.1 以下物质不作为固体废物管理：a）任何不需要修复和加工即可用于原始用途的物质，或者在产生点经过修复和加工后满足国家、地方制定或行业通行的产品质量标准并且用于其原始用途的物质；….</w:t>
            </w:r>
            <w:r>
              <w:rPr>
                <w:rFonts w:hint="eastAsia" w:ascii="Times New Roman" w:hAnsi="Times New Roman" w:eastAsia="宋体" w:cs="Times New Roman"/>
                <w:bCs/>
                <w:szCs w:val="21"/>
                <w:lang w:val="en-US" w:eastAsia="zh-CN"/>
              </w:rPr>
              <w:t>”</w:t>
            </w:r>
          </w:p>
          <w:p w14:paraId="2735584D">
            <w:pPr>
              <w:spacing w:line="500" w:lineRule="atLeast"/>
              <w:ind w:firstLine="420" w:firstLineChars="200"/>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本项目炉渣采用本项目分选工艺加工，产出的环保</w:t>
            </w:r>
            <w:r>
              <w:rPr>
                <w:rFonts w:hint="eastAsia" w:cs="Times New Roman"/>
                <w:bCs/>
                <w:szCs w:val="21"/>
                <w:lang w:val="en-US" w:eastAsia="zh-CN"/>
              </w:rPr>
              <w:t>砂</w:t>
            </w:r>
            <w:r>
              <w:rPr>
                <w:rFonts w:hint="default" w:ascii="Times New Roman" w:hAnsi="Times New Roman" w:eastAsia="宋体" w:cs="Times New Roman"/>
                <w:bCs/>
                <w:szCs w:val="21"/>
                <w:lang w:val="en-US" w:eastAsia="zh-CN"/>
              </w:rPr>
              <w:t>产品质量技术要求能满足《生活垃圾焚烧炉渣集料》（GBT 25032-2010）要求，用于建材原料使用，符合《固体废物鉴别标准 通则》</w:t>
            </w:r>
            <w:r>
              <w:rPr>
                <w:rFonts w:hint="eastAsia" w:ascii="Times New Roman" w:hAnsi="Times New Roman" w:eastAsia="宋体" w:cs="Times New Roman"/>
                <w:bCs/>
                <w:szCs w:val="21"/>
                <w:lang w:val="en-US" w:eastAsia="zh-CN"/>
              </w:rPr>
              <w:t>（</w:t>
            </w:r>
            <w:r>
              <w:rPr>
                <w:rFonts w:hint="default" w:ascii="Times New Roman" w:hAnsi="Times New Roman" w:eastAsia="宋体" w:cs="Times New Roman"/>
                <w:bCs/>
                <w:szCs w:val="21"/>
                <w:lang w:val="en-US" w:eastAsia="zh-CN"/>
              </w:rPr>
              <w:t>GB34330—2017）不作固体废物管理条件要求</w:t>
            </w:r>
            <w:r>
              <w:rPr>
                <w:rFonts w:hint="eastAsia" w:ascii="Times New Roman" w:hAnsi="Times New Roman" w:eastAsia="宋体" w:cs="Times New Roman"/>
                <w:bCs/>
                <w:szCs w:val="21"/>
                <w:lang w:val="en-US" w:eastAsia="zh-CN"/>
              </w:rPr>
              <w:t>。</w:t>
            </w:r>
          </w:p>
          <w:p w14:paraId="27FD58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14、</w:t>
            </w:r>
            <w:r>
              <w:rPr>
                <w:rFonts w:hint="eastAsia" w:ascii="Times New Roman" w:hAnsi="Times New Roman" w:eastAsia="宋体" w:cs="Times New Roman"/>
                <w:b/>
                <w:bCs w:val="0"/>
                <w:szCs w:val="21"/>
                <w:lang w:val="en-US" w:eastAsia="zh-CN"/>
              </w:rPr>
              <w:t>《固体废物再生利用污染防治技术导则》（HJ1091-2020）符合分析</w:t>
            </w:r>
          </w:p>
          <w:p w14:paraId="6C8747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表1-9 与《固体废物再生利用污染防治技术导则》符合性一览表</w:t>
            </w:r>
          </w:p>
          <w:tbl>
            <w:tblPr>
              <w:tblStyle w:val="19"/>
              <w:tblW w:w="721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8"/>
              <w:gridCol w:w="349"/>
              <w:gridCol w:w="3300"/>
              <w:gridCol w:w="2250"/>
              <w:gridCol w:w="970"/>
            </w:tblGrid>
            <w:tr w14:paraId="6180D5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48" w:type="dxa"/>
                  <w:vAlign w:val="center"/>
                </w:tcPr>
                <w:p w14:paraId="786059B2">
                  <w:pPr>
                    <w:jc w:val="center"/>
                    <w:rPr>
                      <w:rFonts w:hint="eastAsia" w:eastAsia="宋体"/>
                      <w:sz w:val="18"/>
                      <w:szCs w:val="18"/>
                      <w:lang w:eastAsia="zh-CN"/>
                    </w:rPr>
                  </w:pPr>
                  <w:r>
                    <w:rPr>
                      <w:rFonts w:hint="eastAsia"/>
                      <w:sz w:val="18"/>
                      <w:szCs w:val="18"/>
                      <w:lang w:eastAsia="zh-CN"/>
                    </w:rPr>
                    <w:t>序号</w:t>
                  </w:r>
                </w:p>
              </w:tc>
              <w:tc>
                <w:tcPr>
                  <w:tcW w:w="3649" w:type="dxa"/>
                  <w:gridSpan w:val="2"/>
                  <w:vAlign w:val="center"/>
                </w:tcPr>
                <w:p w14:paraId="23640513">
                  <w:pPr>
                    <w:jc w:val="center"/>
                    <w:rPr>
                      <w:rFonts w:hint="eastAsia" w:eastAsia="宋体"/>
                      <w:sz w:val="18"/>
                      <w:szCs w:val="18"/>
                      <w:lang w:eastAsia="zh-CN"/>
                    </w:rPr>
                  </w:pPr>
                  <w:r>
                    <w:rPr>
                      <w:rFonts w:hint="eastAsia"/>
                      <w:sz w:val="18"/>
                      <w:szCs w:val="18"/>
                      <w:lang w:eastAsia="zh-CN"/>
                    </w:rPr>
                    <w:t>技术规范要求</w:t>
                  </w:r>
                </w:p>
              </w:tc>
              <w:tc>
                <w:tcPr>
                  <w:tcW w:w="2250" w:type="dxa"/>
                  <w:vAlign w:val="center"/>
                </w:tcPr>
                <w:p w14:paraId="076DE898">
                  <w:pPr>
                    <w:jc w:val="center"/>
                    <w:rPr>
                      <w:rFonts w:hint="eastAsia" w:eastAsia="宋体"/>
                      <w:sz w:val="18"/>
                      <w:szCs w:val="18"/>
                      <w:lang w:eastAsia="zh-CN"/>
                    </w:rPr>
                  </w:pPr>
                  <w:r>
                    <w:rPr>
                      <w:rFonts w:hint="eastAsia"/>
                      <w:sz w:val="18"/>
                      <w:szCs w:val="18"/>
                      <w:lang w:eastAsia="zh-CN"/>
                    </w:rPr>
                    <w:t>对照分析</w:t>
                  </w:r>
                </w:p>
              </w:tc>
              <w:tc>
                <w:tcPr>
                  <w:tcW w:w="970" w:type="dxa"/>
                  <w:vAlign w:val="center"/>
                </w:tcPr>
                <w:p w14:paraId="0BAA696E">
                  <w:pPr>
                    <w:jc w:val="center"/>
                    <w:rPr>
                      <w:rFonts w:hint="eastAsia" w:eastAsia="宋体"/>
                      <w:sz w:val="18"/>
                      <w:szCs w:val="18"/>
                      <w:lang w:eastAsia="zh-CN"/>
                    </w:rPr>
                  </w:pPr>
                  <w:r>
                    <w:rPr>
                      <w:rFonts w:hint="eastAsia"/>
                      <w:sz w:val="18"/>
                      <w:szCs w:val="18"/>
                      <w:lang w:eastAsia="zh-CN"/>
                    </w:rPr>
                    <w:t>是否符合要求</w:t>
                  </w:r>
                </w:p>
              </w:tc>
            </w:tr>
            <w:tr w14:paraId="4DDD53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8" w:type="dxa"/>
                  <w:vMerge w:val="restart"/>
                  <w:vAlign w:val="center"/>
                </w:tcPr>
                <w:p w14:paraId="4FAF1724">
                  <w:pPr>
                    <w:jc w:val="center"/>
                    <w:rPr>
                      <w:rFonts w:hint="eastAsia" w:eastAsia="宋体"/>
                      <w:sz w:val="18"/>
                      <w:szCs w:val="18"/>
                      <w:lang w:val="en-US" w:eastAsia="zh-CN"/>
                    </w:rPr>
                  </w:pPr>
                  <w:r>
                    <w:rPr>
                      <w:rFonts w:hint="eastAsia" w:eastAsia="宋体"/>
                      <w:sz w:val="18"/>
                      <w:szCs w:val="18"/>
                      <w:lang w:val="en-US" w:eastAsia="zh-CN"/>
                    </w:rPr>
                    <w:t>1</w:t>
                  </w:r>
                </w:p>
                <w:p w14:paraId="2044D0D1">
                  <w:pPr>
                    <w:jc w:val="center"/>
                    <w:rPr>
                      <w:rFonts w:hint="default"/>
                      <w:sz w:val="18"/>
                      <w:szCs w:val="18"/>
                      <w:lang w:val="en-US" w:eastAsia="zh-CN"/>
                    </w:rPr>
                  </w:pPr>
                </w:p>
              </w:tc>
              <w:tc>
                <w:tcPr>
                  <w:tcW w:w="349" w:type="dxa"/>
                  <w:vMerge w:val="restart"/>
                  <w:vAlign w:val="center"/>
                </w:tcPr>
                <w:p w14:paraId="366B6A98">
                  <w:pPr>
                    <w:jc w:val="center"/>
                    <w:rPr>
                      <w:rFonts w:hint="eastAsia" w:eastAsia="宋体"/>
                      <w:sz w:val="18"/>
                      <w:szCs w:val="18"/>
                      <w:lang w:val="en-US" w:eastAsia="zh-CN"/>
                    </w:rPr>
                  </w:pPr>
                  <w:r>
                    <w:rPr>
                      <w:rFonts w:hint="eastAsia" w:eastAsia="宋体"/>
                      <w:sz w:val="18"/>
                      <w:szCs w:val="18"/>
                      <w:lang w:val="en-US" w:eastAsia="zh-CN"/>
                    </w:rPr>
                    <w:t>主</w:t>
                  </w:r>
                </w:p>
                <w:p w14:paraId="04E01FD6">
                  <w:pPr>
                    <w:jc w:val="center"/>
                    <w:rPr>
                      <w:rFonts w:hint="eastAsia" w:eastAsia="宋体"/>
                      <w:sz w:val="18"/>
                      <w:szCs w:val="18"/>
                      <w:lang w:val="en-US" w:eastAsia="zh-CN"/>
                    </w:rPr>
                  </w:pPr>
                  <w:r>
                    <w:rPr>
                      <w:rFonts w:hint="eastAsia" w:eastAsia="宋体"/>
                      <w:sz w:val="18"/>
                      <w:szCs w:val="18"/>
                      <w:lang w:val="en-US" w:eastAsia="zh-CN"/>
                    </w:rPr>
                    <w:t>要</w:t>
                  </w:r>
                </w:p>
                <w:p w14:paraId="247AC77E">
                  <w:pPr>
                    <w:jc w:val="center"/>
                    <w:rPr>
                      <w:rFonts w:hint="eastAsia" w:eastAsia="宋体"/>
                      <w:sz w:val="18"/>
                      <w:szCs w:val="18"/>
                      <w:lang w:val="en-US" w:eastAsia="zh-CN"/>
                    </w:rPr>
                  </w:pPr>
                  <w:r>
                    <w:rPr>
                      <w:rFonts w:hint="eastAsia" w:eastAsia="宋体"/>
                      <w:sz w:val="18"/>
                      <w:szCs w:val="18"/>
                      <w:lang w:val="en-US" w:eastAsia="zh-CN"/>
                    </w:rPr>
                    <w:t>工</w:t>
                  </w:r>
                </w:p>
                <w:p w14:paraId="523F9563">
                  <w:pPr>
                    <w:jc w:val="center"/>
                    <w:rPr>
                      <w:rFonts w:hint="eastAsia" w:eastAsia="宋体"/>
                      <w:sz w:val="18"/>
                      <w:szCs w:val="18"/>
                      <w:lang w:val="en-US" w:eastAsia="zh-CN"/>
                    </w:rPr>
                  </w:pPr>
                  <w:r>
                    <w:rPr>
                      <w:rFonts w:hint="eastAsia" w:eastAsia="宋体"/>
                      <w:sz w:val="18"/>
                      <w:szCs w:val="18"/>
                      <w:lang w:val="en-US" w:eastAsia="zh-CN"/>
                    </w:rPr>
                    <w:t>艺</w:t>
                  </w:r>
                </w:p>
                <w:p w14:paraId="4EE6740E">
                  <w:pPr>
                    <w:jc w:val="center"/>
                    <w:rPr>
                      <w:rFonts w:hint="eastAsia" w:eastAsia="宋体"/>
                      <w:sz w:val="18"/>
                      <w:szCs w:val="18"/>
                      <w:lang w:val="en-US" w:eastAsia="zh-CN"/>
                    </w:rPr>
                  </w:pPr>
                  <w:r>
                    <w:rPr>
                      <w:rFonts w:hint="eastAsia" w:eastAsia="宋体"/>
                      <w:sz w:val="18"/>
                      <w:szCs w:val="18"/>
                      <w:lang w:val="en-US" w:eastAsia="zh-CN"/>
                    </w:rPr>
                    <w:t>单</w:t>
                  </w:r>
                </w:p>
                <w:p w14:paraId="4A27C9CE">
                  <w:pPr>
                    <w:jc w:val="center"/>
                    <w:rPr>
                      <w:rFonts w:hint="eastAsia" w:eastAsia="宋体"/>
                      <w:sz w:val="18"/>
                      <w:szCs w:val="18"/>
                      <w:lang w:val="en-US" w:eastAsia="zh-CN"/>
                    </w:rPr>
                  </w:pPr>
                  <w:r>
                    <w:rPr>
                      <w:rFonts w:hint="eastAsia" w:eastAsia="宋体"/>
                      <w:sz w:val="18"/>
                      <w:szCs w:val="18"/>
                      <w:lang w:val="en-US" w:eastAsia="zh-CN"/>
                    </w:rPr>
                    <w:t>元</w:t>
                  </w:r>
                </w:p>
                <w:p w14:paraId="0FCA8408">
                  <w:pPr>
                    <w:jc w:val="center"/>
                    <w:rPr>
                      <w:rFonts w:hint="eastAsia" w:eastAsia="宋体"/>
                      <w:sz w:val="18"/>
                      <w:szCs w:val="18"/>
                      <w:lang w:val="en-US" w:eastAsia="zh-CN"/>
                    </w:rPr>
                  </w:pPr>
                  <w:r>
                    <w:rPr>
                      <w:rFonts w:hint="eastAsia" w:eastAsia="宋体"/>
                      <w:sz w:val="18"/>
                      <w:szCs w:val="18"/>
                      <w:lang w:val="en-US" w:eastAsia="zh-CN"/>
                    </w:rPr>
                    <w:t>污</w:t>
                  </w:r>
                </w:p>
                <w:p w14:paraId="240F05CA">
                  <w:pPr>
                    <w:jc w:val="center"/>
                    <w:rPr>
                      <w:rFonts w:hint="eastAsia" w:eastAsia="宋体"/>
                      <w:sz w:val="18"/>
                      <w:szCs w:val="18"/>
                      <w:lang w:val="en-US" w:eastAsia="zh-CN"/>
                    </w:rPr>
                  </w:pPr>
                  <w:r>
                    <w:rPr>
                      <w:rFonts w:hint="eastAsia" w:eastAsia="宋体"/>
                      <w:sz w:val="18"/>
                      <w:szCs w:val="18"/>
                      <w:lang w:val="en-US" w:eastAsia="zh-CN"/>
                    </w:rPr>
                    <w:t>染</w:t>
                  </w:r>
                </w:p>
                <w:p w14:paraId="0FFF056E">
                  <w:pPr>
                    <w:jc w:val="center"/>
                    <w:rPr>
                      <w:rFonts w:hint="eastAsia" w:eastAsia="宋体"/>
                      <w:sz w:val="18"/>
                      <w:szCs w:val="18"/>
                      <w:lang w:val="en-US" w:eastAsia="zh-CN"/>
                    </w:rPr>
                  </w:pPr>
                  <w:r>
                    <w:rPr>
                      <w:rFonts w:hint="eastAsia" w:eastAsia="宋体"/>
                      <w:sz w:val="18"/>
                      <w:szCs w:val="18"/>
                      <w:lang w:val="en-US" w:eastAsia="zh-CN"/>
                    </w:rPr>
                    <w:t>防</w:t>
                  </w:r>
                </w:p>
                <w:p w14:paraId="7B005B4E">
                  <w:pPr>
                    <w:jc w:val="center"/>
                    <w:rPr>
                      <w:rFonts w:hint="eastAsia" w:eastAsia="宋体"/>
                      <w:sz w:val="18"/>
                      <w:szCs w:val="18"/>
                      <w:lang w:val="en-US" w:eastAsia="zh-CN"/>
                    </w:rPr>
                  </w:pPr>
                  <w:r>
                    <w:rPr>
                      <w:rFonts w:hint="eastAsia" w:eastAsia="宋体"/>
                      <w:sz w:val="18"/>
                      <w:szCs w:val="18"/>
                      <w:lang w:val="en-US" w:eastAsia="zh-CN"/>
                    </w:rPr>
                    <w:t>治</w:t>
                  </w:r>
                </w:p>
                <w:p w14:paraId="43B56E03">
                  <w:pPr>
                    <w:jc w:val="center"/>
                    <w:rPr>
                      <w:rFonts w:hint="eastAsia" w:eastAsia="宋体"/>
                      <w:sz w:val="18"/>
                      <w:szCs w:val="18"/>
                      <w:lang w:val="en-US" w:eastAsia="zh-CN"/>
                    </w:rPr>
                  </w:pPr>
                  <w:r>
                    <w:rPr>
                      <w:rFonts w:hint="eastAsia" w:eastAsia="宋体"/>
                      <w:sz w:val="18"/>
                      <w:szCs w:val="18"/>
                      <w:lang w:val="en-US" w:eastAsia="zh-CN"/>
                    </w:rPr>
                    <w:t>技</w:t>
                  </w:r>
                </w:p>
                <w:p w14:paraId="561B43B5">
                  <w:pPr>
                    <w:jc w:val="center"/>
                    <w:rPr>
                      <w:rFonts w:hint="eastAsia" w:eastAsia="宋体"/>
                      <w:sz w:val="18"/>
                      <w:szCs w:val="18"/>
                      <w:lang w:val="en-US" w:eastAsia="zh-CN"/>
                    </w:rPr>
                  </w:pPr>
                  <w:r>
                    <w:rPr>
                      <w:rFonts w:hint="eastAsia" w:eastAsia="宋体"/>
                      <w:sz w:val="18"/>
                      <w:szCs w:val="18"/>
                      <w:lang w:val="en-US" w:eastAsia="zh-CN"/>
                    </w:rPr>
                    <w:t>术</w:t>
                  </w:r>
                </w:p>
                <w:p w14:paraId="10123192">
                  <w:pPr>
                    <w:jc w:val="center"/>
                    <w:rPr>
                      <w:rFonts w:hint="eastAsia" w:eastAsia="宋体"/>
                      <w:sz w:val="18"/>
                      <w:szCs w:val="18"/>
                      <w:lang w:val="en-US" w:eastAsia="zh-CN"/>
                    </w:rPr>
                  </w:pPr>
                  <w:r>
                    <w:rPr>
                      <w:rFonts w:hint="eastAsia" w:eastAsia="宋体"/>
                      <w:sz w:val="18"/>
                      <w:szCs w:val="18"/>
                      <w:lang w:val="en-US" w:eastAsia="zh-CN"/>
                    </w:rPr>
                    <w:t>要</w:t>
                  </w:r>
                </w:p>
                <w:p w14:paraId="0F632319">
                  <w:pPr>
                    <w:jc w:val="center"/>
                    <w:rPr>
                      <w:rFonts w:hint="eastAsia" w:eastAsia="宋体"/>
                      <w:sz w:val="18"/>
                      <w:szCs w:val="18"/>
                      <w:lang w:val="en-US" w:eastAsia="zh-CN"/>
                    </w:rPr>
                  </w:pPr>
                  <w:r>
                    <w:rPr>
                      <w:rFonts w:hint="eastAsia" w:eastAsia="宋体"/>
                      <w:sz w:val="18"/>
                      <w:szCs w:val="18"/>
                      <w:lang w:val="en-US" w:eastAsia="zh-CN"/>
                    </w:rPr>
                    <w:t>求</w:t>
                  </w:r>
                </w:p>
              </w:tc>
              <w:tc>
                <w:tcPr>
                  <w:tcW w:w="3300" w:type="dxa"/>
                  <w:vAlign w:val="center"/>
                </w:tcPr>
                <w:p w14:paraId="4032270F">
                  <w:pPr>
                    <w:jc w:val="center"/>
                    <w:rPr>
                      <w:rFonts w:hint="eastAsia" w:eastAsia="宋体"/>
                      <w:sz w:val="18"/>
                      <w:szCs w:val="18"/>
                      <w:lang w:eastAsia="zh-CN"/>
                    </w:rPr>
                  </w:pPr>
                  <w:r>
                    <w:rPr>
                      <w:rFonts w:hint="eastAsia" w:eastAsia="宋体"/>
                      <w:sz w:val="18"/>
                      <w:szCs w:val="18"/>
                      <w:lang w:eastAsia="zh-CN"/>
                    </w:rPr>
                    <w:t>进行再生利用作业前，应明确固体废物的理化特性，并采取相应的安全防护措施，以防止固体废物在清洗、破碎、中和反应等过程中引起有毒有害物质的释放。</w:t>
                  </w:r>
                </w:p>
              </w:tc>
              <w:tc>
                <w:tcPr>
                  <w:tcW w:w="2250" w:type="dxa"/>
                  <w:vAlign w:val="center"/>
                </w:tcPr>
                <w:p w14:paraId="030F158D">
                  <w:pPr>
                    <w:jc w:val="both"/>
                    <w:rPr>
                      <w:rFonts w:hint="eastAsia" w:eastAsia="宋体"/>
                      <w:sz w:val="18"/>
                      <w:szCs w:val="18"/>
                      <w:lang w:eastAsia="zh-CN"/>
                    </w:rPr>
                  </w:pPr>
                  <w:r>
                    <w:rPr>
                      <w:rFonts w:hint="eastAsia" w:eastAsia="宋体"/>
                      <w:sz w:val="18"/>
                      <w:szCs w:val="18"/>
                      <w:lang w:eastAsia="zh-CN"/>
                    </w:rPr>
                    <w:t>项目明确进场原料，只要破碎工艺，无清洗、综合反应工序，不会有有毒有害物质释放</w:t>
                  </w:r>
                </w:p>
              </w:tc>
              <w:tc>
                <w:tcPr>
                  <w:tcW w:w="970" w:type="dxa"/>
                  <w:vAlign w:val="center"/>
                </w:tcPr>
                <w:p w14:paraId="375D4E8E">
                  <w:pPr>
                    <w:jc w:val="center"/>
                    <w:rPr>
                      <w:rFonts w:hint="eastAsia"/>
                      <w:sz w:val="18"/>
                      <w:szCs w:val="18"/>
                      <w:lang w:eastAsia="zh-CN"/>
                    </w:rPr>
                  </w:pPr>
                  <w:r>
                    <w:rPr>
                      <w:rFonts w:hint="eastAsia"/>
                      <w:sz w:val="18"/>
                      <w:szCs w:val="18"/>
                      <w:lang w:eastAsia="zh-CN"/>
                    </w:rPr>
                    <w:t>符合</w:t>
                  </w:r>
                </w:p>
              </w:tc>
            </w:tr>
            <w:tr w14:paraId="5723DD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8" w:type="dxa"/>
                  <w:vMerge w:val="continue"/>
                  <w:vAlign w:val="center"/>
                </w:tcPr>
                <w:p w14:paraId="2377BC60">
                  <w:pPr>
                    <w:jc w:val="center"/>
                    <w:rPr>
                      <w:rFonts w:hint="default"/>
                      <w:sz w:val="18"/>
                      <w:szCs w:val="18"/>
                      <w:lang w:val="en-US" w:eastAsia="zh-CN"/>
                    </w:rPr>
                  </w:pPr>
                </w:p>
              </w:tc>
              <w:tc>
                <w:tcPr>
                  <w:tcW w:w="349" w:type="dxa"/>
                  <w:vMerge w:val="continue"/>
                  <w:vAlign w:val="center"/>
                </w:tcPr>
                <w:p w14:paraId="7D0772F3">
                  <w:pPr>
                    <w:jc w:val="center"/>
                    <w:rPr>
                      <w:rFonts w:hint="eastAsia"/>
                      <w:sz w:val="18"/>
                      <w:szCs w:val="18"/>
                      <w:lang w:val="en-US" w:eastAsia="zh-CN"/>
                    </w:rPr>
                  </w:pPr>
                </w:p>
              </w:tc>
              <w:tc>
                <w:tcPr>
                  <w:tcW w:w="3300" w:type="dxa"/>
                  <w:vAlign w:val="center"/>
                </w:tcPr>
                <w:p w14:paraId="598E52F2">
                  <w:pPr>
                    <w:keepNext w:val="0"/>
                    <w:keepLines w:val="0"/>
                    <w:widowControl/>
                    <w:suppressLineNumbers w:val="0"/>
                    <w:jc w:val="left"/>
                    <w:rPr>
                      <w:rFonts w:hint="eastAsia" w:eastAsia="宋体"/>
                      <w:sz w:val="18"/>
                      <w:szCs w:val="18"/>
                      <w:lang w:eastAsia="zh-CN"/>
                    </w:rPr>
                  </w:pPr>
                  <w:r>
                    <w:rPr>
                      <w:rFonts w:hint="eastAsia" w:ascii="宋体" w:hAnsi="宋体" w:eastAsia="宋体" w:cs="宋体"/>
                      <w:color w:val="000000"/>
                      <w:kern w:val="0"/>
                      <w:sz w:val="20"/>
                      <w:szCs w:val="20"/>
                      <w:lang w:val="en-US" w:eastAsia="zh-CN" w:bidi="ar"/>
                    </w:rPr>
                    <w:t>应根据固体废物的特性设置必要的防扬撒、防渗漏、防腐蚀设施，配备废气处理、废水处理、噪声控制等污染防治设施，按要求对主要环境影响指标进行在线监测。</w:t>
                  </w:r>
                </w:p>
              </w:tc>
              <w:tc>
                <w:tcPr>
                  <w:tcW w:w="2250" w:type="dxa"/>
                  <w:vAlign w:val="center"/>
                </w:tcPr>
                <w:p w14:paraId="00F4CC26">
                  <w:pPr>
                    <w:keepNext w:val="0"/>
                    <w:keepLines w:val="0"/>
                    <w:widowControl/>
                    <w:suppressLineNumbers w:val="0"/>
                    <w:jc w:val="left"/>
                    <w:rPr>
                      <w:rFonts w:hint="eastAsia" w:eastAsia="宋体"/>
                      <w:sz w:val="18"/>
                      <w:szCs w:val="18"/>
                      <w:lang w:eastAsia="zh-CN"/>
                    </w:rPr>
                  </w:pPr>
                  <w:r>
                    <w:rPr>
                      <w:rFonts w:hint="eastAsia" w:eastAsia="宋体"/>
                      <w:sz w:val="18"/>
                      <w:szCs w:val="18"/>
                      <w:lang w:eastAsia="zh-CN"/>
                    </w:rPr>
                    <w:t>项目生产车间及设备设施设置废气处理、噪声控制污染防治措施，无废水处理设施</w:t>
                  </w:r>
                </w:p>
              </w:tc>
              <w:tc>
                <w:tcPr>
                  <w:tcW w:w="970" w:type="dxa"/>
                  <w:vAlign w:val="center"/>
                </w:tcPr>
                <w:p w14:paraId="38B76407">
                  <w:pPr>
                    <w:jc w:val="center"/>
                    <w:rPr>
                      <w:rFonts w:hint="eastAsia"/>
                      <w:sz w:val="18"/>
                      <w:szCs w:val="18"/>
                      <w:lang w:eastAsia="zh-CN"/>
                    </w:rPr>
                  </w:pPr>
                  <w:r>
                    <w:rPr>
                      <w:rFonts w:hint="eastAsia"/>
                      <w:sz w:val="18"/>
                      <w:szCs w:val="18"/>
                      <w:lang w:eastAsia="zh-CN"/>
                    </w:rPr>
                    <w:t>符合</w:t>
                  </w:r>
                </w:p>
              </w:tc>
            </w:tr>
            <w:tr w14:paraId="1A1174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8" w:type="dxa"/>
                  <w:vMerge w:val="continue"/>
                  <w:vAlign w:val="center"/>
                </w:tcPr>
                <w:p w14:paraId="130FE3E0">
                  <w:pPr>
                    <w:jc w:val="center"/>
                    <w:rPr>
                      <w:rFonts w:hint="default"/>
                      <w:sz w:val="18"/>
                      <w:szCs w:val="18"/>
                      <w:lang w:val="en-US" w:eastAsia="zh-CN"/>
                    </w:rPr>
                  </w:pPr>
                </w:p>
              </w:tc>
              <w:tc>
                <w:tcPr>
                  <w:tcW w:w="349" w:type="dxa"/>
                  <w:vMerge w:val="continue"/>
                  <w:vAlign w:val="center"/>
                </w:tcPr>
                <w:p w14:paraId="6E030F1A">
                  <w:pPr>
                    <w:jc w:val="center"/>
                    <w:rPr>
                      <w:rFonts w:hint="eastAsia"/>
                      <w:sz w:val="18"/>
                      <w:szCs w:val="18"/>
                      <w:lang w:val="en-US" w:eastAsia="zh-CN"/>
                    </w:rPr>
                  </w:pPr>
                </w:p>
              </w:tc>
              <w:tc>
                <w:tcPr>
                  <w:tcW w:w="3300" w:type="dxa"/>
                  <w:vAlign w:val="center"/>
                </w:tcPr>
                <w:p w14:paraId="02353636">
                  <w:pPr>
                    <w:keepNext w:val="0"/>
                    <w:keepLines w:val="0"/>
                    <w:widowControl/>
                    <w:suppressLineNumbers w:val="0"/>
                    <w:jc w:val="left"/>
                    <w:rPr>
                      <w:rFonts w:hint="default" w:eastAsia="宋体"/>
                      <w:sz w:val="18"/>
                      <w:szCs w:val="18"/>
                      <w:lang w:val="en-US" w:eastAsia="zh-CN"/>
                    </w:rPr>
                  </w:pPr>
                  <w:r>
                    <w:rPr>
                      <w:rFonts w:hint="eastAsia" w:ascii="宋体" w:hAnsi="宋体" w:eastAsia="宋体" w:cs="宋体"/>
                      <w:color w:val="000000"/>
                      <w:kern w:val="0"/>
                      <w:sz w:val="20"/>
                      <w:szCs w:val="20"/>
                      <w:lang w:val="en-US" w:eastAsia="zh-CN" w:bidi="ar"/>
                    </w:rPr>
                    <w:t>产生粉尘和有毒有害气体的作业区应采取除尘和有毒有害气体收集措施。扬尘点应设置吸尘罩和收尘设备，有毒有害气体逸散区应设置吸附(吸收) 转化装置，保证作业区粉尘、有害气体浓度满足GBZ 2.1的要求。</w:t>
                  </w:r>
                </w:p>
              </w:tc>
              <w:tc>
                <w:tcPr>
                  <w:tcW w:w="2250" w:type="dxa"/>
                  <w:vAlign w:val="center"/>
                </w:tcPr>
                <w:p w14:paraId="1234F74B">
                  <w:pPr>
                    <w:keepNext w:val="0"/>
                    <w:keepLines w:val="0"/>
                    <w:widowControl/>
                    <w:suppressLineNumbers w:val="0"/>
                    <w:jc w:val="left"/>
                    <w:rPr>
                      <w:rFonts w:hint="eastAsia" w:eastAsia="宋体"/>
                      <w:sz w:val="18"/>
                      <w:szCs w:val="18"/>
                      <w:lang w:eastAsia="zh-CN"/>
                    </w:rPr>
                  </w:pPr>
                  <w:r>
                    <w:rPr>
                      <w:rFonts w:hint="eastAsia" w:eastAsia="宋体"/>
                      <w:sz w:val="18"/>
                      <w:szCs w:val="18"/>
                      <w:lang w:eastAsia="zh-CN"/>
                    </w:rPr>
                    <w:t>本项目无有毒有害物质产生</w:t>
                  </w:r>
                </w:p>
              </w:tc>
              <w:tc>
                <w:tcPr>
                  <w:tcW w:w="970" w:type="dxa"/>
                  <w:vAlign w:val="center"/>
                </w:tcPr>
                <w:p w14:paraId="43A2CE30">
                  <w:pPr>
                    <w:jc w:val="center"/>
                    <w:rPr>
                      <w:rFonts w:hint="eastAsia"/>
                      <w:sz w:val="18"/>
                      <w:szCs w:val="18"/>
                      <w:lang w:eastAsia="zh-CN"/>
                    </w:rPr>
                  </w:pPr>
                  <w:r>
                    <w:rPr>
                      <w:rFonts w:hint="eastAsia"/>
                      <w:sz w:val="18"/>
                      <w:szCs w:val="18"/>
                      <w:lang w:eastAsia="zh-CN"/>
                    </w:rPr>
                    <w:t>符合</w:t>
                  </w:r>
                </w:p>
              </w:tc>
            </w:tr>
            <w:tr w14:paraId="730016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48" w:type="dxa"/>
                  <w:vMerge w:val="continue"/>
                  <w:vAlign w:val="center"/>
                </w:tcPr>
                <w:p w14:paraId="2415AB5C">
                  <w:pPr>
                    <w:jc w:val="center"/>
                    <w:rPr>
                      <w:rFonts w:hint="default"/>
                      <w:sz w:val="18"/>
                      <w:szCs w:val="18"/>
                      <w:lang w:val="en-US" w:eastAsia="zh-CN"/>
                    </w:rPr>
                  </w:pPr>
                </w:p>
              </w:tc>
              <w:tc>
                <w:tcPr>
                  <w:tcW w:w="349" w:type="dxa"/>
                  <w:vMerge w:val="continue"/>
                  <w:vAlign w:val="center"/>
                </w:tcPr>
                <w:p w14:paraId="5D6B9FB6">
                  <w:pPr>
                    <w:jc w:val="center"/>
                    <w:rPr>
                      <w:rFonts w:hint="eastAsia"/>
                      <w:sz w:val="18"/>
                      <w:szCs w:val="18"/>
                      <w:lang w:val="en-US" w:eastAsia="zh-CN"/>
                    </w:rPr>
                  </w:pPr>
                </w:p>
              </w:tc>
              <w:tc>
                <w:tcPr>
                  <w:tcW w:w="3300" w:type="dxa"/>
                  <w:vAlign w:val="center"/>
                </w:tcPr>
                <w:p w14:paraId="110C67EB">
                  <w:pPr>
                    <w:keepNext w:val="0"/>
                    <w:keepLines w:val="0"/>
                    <w:widowControl/>
                    <w:suppressLineNumbers w:val="0"/>
                    <w:jc w:val="left"/>
                    <w:rPr>
                      <w:rFonts w:hint="default" w:eastAsia="宋体"/>
                      <w:sz w:val="18"/>
                      <w:szCs w:val="18"/>
                      <w:lang w:val="en-US" w:eastAsia="zh-CN"/>
                    </w:rPr>
                  </w:pPr>
                  <w:r>
                    <w:rPr>
                      <w:rFonts w:hint="eastAsia" w:ascii="宋体" w:hAnsi="宋体" w:eastAsia="宋体" w:cs="宋体"/>
                      <w:color w:val="000000"/>
                      <w:kern w:val="0"/>
                      <w:sz w:val="20"/>
                      <w:szCs w:val="20"/>
                      <w:lang w:val="en-US" w:eastAsia="zh-CN" w:bidi="ar"/>
                    </w:rPr>
                    <w:t>应采取大气污染控制措施，大气污染物排放应满足特定行业排放(控制)标准的要求没有特定行业污染排放(控制)标准的，应满足GB16297的要求，特征污染物排放(控制)应满足环境影响评价要求。</w:t>
                  </w:r>
                </w:p>
              </w:tc>
              <w:tc>
                <w:tcPr>
                  <w:tcW w:w="2250" w:type="dxa"/>
                  <w:vAlign w:val="center"/>
                </w:tcPr>
                <w:p w14:paraId="006321C4">
                  <w:pPr>
                    <w:keepNext w:val="0"/>
                    <w:keepLines w:val="0"/>
                    <w:widowControl/>
                    <w:suppressLineNumbers w:val="0"/>
                    <w:jc w:val="left"/>
                    <w:rPr>
                      <w:rFonts w:hint="eastAsia" w:eastAsia="宋体"/>
                      <w:sz w:val="18"/>
                      <w:szCs w:val="18"/>
                      <w:lang w:eastAsia="zh-CN"/>
                    </w:rPr>
                  </w:pPr>
                  <w:r>
                    <w:rPr>
                      <w:rFonts w:hint="eastAsia" w:eastAsia="宋体"/>
                      <w:sz w:val="18"/>
                      <w:szCs w:val="18"/>
                      <w:lang w:eastAsia="zh-CN"/>
                    </w:rPr>
                    <w:t>企业采用水喷淋控制大气污染，能够满足GB 16297的要求，特征污染物为TSP</w:t>
                  </w:r>
                </w:p>
              </w:tc>
              <w:tc>
                <w:tcPr>
                  <w:tcW w:w="970" w:type="dxa"/>
                  <w:vAlign w:val="center"/>
                </w:tcPr>
                <w:p w14:paraId="69A77F81">
                  <w:pPr>
                    <w:jc w:val="center"/>
                    <w:rPr>
                      <w:rFonts w:hint="eastAsia"/>
                      <w:sz w:val="18"/>
                      <w:szCs w:val="18"/>
                      <w:lang w:eastAsia="zh-CN"/>
                    </w:rPr>
                  </w:pPr>
                  <w:r>
                    <w:rPr>
                      <w:rFonts w:hint="eastAsia"/>
                      <w:sz w:val="18"/>
                      <w:szCs w:val="18"/>
                      <w:lang w:eastAsia="zh-CN"/>
                    </w:rPr>
                    <w:t>符合</w:t>
                  </w:r>
                </w:p>
              </w:tc>
            </w:tr>
            <w:tr w14:paraId="2BDA7C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48" w:type="dxa"/>
                  <w:vMerge w:val="continue"/>
                  <w:vAlign w:val="center"/>
                </w:tcPr>
                <w:p w14:paraId="69D4D614">
                  <w:pPr>
                    <w:jc w:val="center"/>
                    <w:rPr>
                      <w:rFonts w:hint="default"/>
                      <w:sz w:val="18"/>
                      <w:szCs w:val="18"/>
                      <w:lang w:val="en-US" w:eastAsia="zh-CN"/>
                    </w:rPr>
                  </w:pPr>
                </w:p>
              </w:tc>
              <w:tc>
                <w:tcPr>
                  <w:tcW w:w="349" w:type="dxa"/>
                  <w:vMerge w:val="continue"/>
                  <w:vAlign w:val="center"/>
                </w:tcPr>
                <w:p w14:paraId="057BDF26">
                  <w:pPr>
                    <w:jc w:val="center"/>
                    <w:rPr>
                      <w:rFonts w:hint="eastAsia"/>
                      <w:sz w:val="18"/>
                      <w:szCs w:val="18"/>
                      <w:lang w:val="en-US" w:eastAsia="zh-CN"/>
                    </w:rPr>
                  </w:pPr>
                </w:p>
              </w:tc>
              <w:tc>
                <w:tcPr>
                  <w:tcW w:w="3300" w:type="dxa"/>
                  <w:vAlign w:val="center"/>
                </w:tcPr>
                <w:p w14:paraId="3DAD6E62">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应防止噪声污染。设备运转时厂界噪声应符合GB12348的要求，作业车间噪声应符合GBZ 2.2的要求。</w:t>
                  </w:r>
                </w:p>
              </w:tc>
              <w:tc>
                <w:tcPr>
                  <w:tcW w:w="2250" w:type="dxa"/>
                  <w:vAlign w:val="center"/>
                </w:tcPr>
                <w:p w14:paraId="2A30C342">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企业采用减震、厂房隔</w:t>
                  </w:r>
                </w:p>
                <w:p w14:paraId="47CF115D">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声等措施防止噪声污染，能够满足GB12348的要求。作业车间噪声应符合GBZ2.2的要求</w:t>
                  </w:r>
                </w:p>
              </w:tc>
              <w:tc>
                <w:tcPr>
                  <w:tcW w:w="970" w:type="dxa"/>
                  <w:vAlign w:val="center"/>
                </w:tcPr>
                <w:p w14:paraId="293ECED6">
                  <w:pPr>
                    <w:jc w:val="center"/>
                    <w:rPr>
                      <w:rFonts w:hint="eastAsia"/>
                      <w:sz w:val="18"/>
                      <w:szCs w:val="18"/>
                      <w:lang w:eastAsia="zh-CN"/>
                    </w:rPr>
                  </w:pPr>
                  <w:r>
                    <w:rPr>
                      <w:rFonts w:hint="eastAsia"/>
                      <w:sz w:val="18"/>
                      <w:szCs w:val="18"/>
                      <w:lang w:eastAsia="zh-CN"/>
                    </w:rPr>
                    <w:t>符合</w:t>
                  </w:r>
                </w:p>
              </w:tc>
            </w:tr>
            <w:tr w14:paraId="09DAFB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48" w:type="dxa"/>
                  <w:vMerge w:val="continue"/>
                  <w:vAlign w:val="center"/>
                </w:tcPr>
                <w:p w14:paraId="142229CB">
                  <w:pPr>
                    <w:jc w:val="center"/>
                    <w:rPr>
                      <w:rFonts w:hint="default"/>
                      <w:sz w:val="18"/>
                      <w:szCs w:val="18"/>
                      <w:lang w:val="en-US" w:eastAsia="zh-CN"/>
                    </w:rPr>
                  </w:pPr>
                </w:p>
              </w:tc>
              <w:tc>
                <w:tcPr>
                  <w:tcW w:w="349" w:type="dxa"/>
                  <w:vMerge w:val="continue"/>
                  <w:vAlign w:val="center"/>
                </w:tcPr>
                <w:p w14:paraId="0A2DB7EC">
                  <w:pPr>
                    <w:jc w:val="center"/>
                    <w:rPr>
                      <w:rFonts w:hint="eastAsia"/>
                      <w:sz w:val="18"/>
                      <w:szCs w:val="18"/>
                      <w:lang w:val="en-US" w:eastAsia="zh-CN"/>
                    </w:rPr>
                  </w:pPr>
                </w:p>
              </w:tc>
              <w:tc>
                <w:tcPr>
                  <w:tcW w:w="3300" w:type="dxa"/>
                  <w:vAlign w:val="center"/>
                </w:tcPr>
                <w:p w14:paraId="4440E624">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产生的污泥、底渣、废油类等固体</w:t>
                  </w:r>
                </w:p>
                <w:p w14:paraId="1277907A">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废物应按照其管理属性分别处置。</w:t>
                  </w:r>
                </w:p>
                <w:p w14:paraId="63874582">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不能自行综合利用或处置的，应交</w:t>
                  </w:r>
                </w:p>
                <w:p w14:paraId="636D4A71">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给有相应资质和处理能力的企业进</w:t>
                  </w:r>
                </w:p>
                <w:p w14:paraId="7FEECD63">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行综合利用或处置。</w:t>
                  </w:r>
                </w:p>
              </w:tc>
              <w:tc>
                <w:tcPr>
                  <w:tcW w:w="2250" w:type="dxa"/>
                  <w:vAlign w:val="center"/>
                </w:tcPr>
                <w:p w14:paraId="25816378">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企业生产过程主要产生废油等危险废物，委托资质单位处理</w:t>
                  </w:r>
                </w:p>
              </w:tc>
              <w:tc>
                <w:tcPr>
                  <w:tcW w:w="970" w:type="dxa"/>
                  <w:vAlign w:val="center"/>
                </w:tcPr>
                <w:p w14:paraId="33B8DF4B">
                  <w:pPr>
                    <w:jc w:val="center"/>
                    <w:rPr>
                      <w:rFonts w:hint="eastAsia"/>
                      <w:sz w:val="18"/>
                      <w:szCs w:val="18"/>
                      <w:lang w:eastAsia="zh-CN"/>
                    </w:rPr>
                  </w:pPr>
                  <w:r>
                    <w:rPr>
                      <w:rFonts w:hint="eastAsia"/>
                      <w:sz w:val="18"/>
                      <w:szCs w:val="18"/>
                      <w:lang w:eastAsia="zh-CN"/>
                    </w:rPr>
                    <w:t>符合</w:t>
                  </w:r>
                </w:p>
              </w:tc>
            </w:tr>
            <w:tr w14:paraId="3EBE8C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48" w:type="dxa"/>
                  <w:vMerge w:val="continue"/>
                  <w:vAlign w:val="center"/>
                </w:tcPr>
                <w:p w14:paraId="1CE0B198">
                  <w:pPr>
                    <w:jc w:val="center"/>
                    <w:rPr>
                      <w:rFonts w:hint="default"/>
                      <w:sz w:val="18"/>
                      <w:szCs w:val="18"/>
                      <w:lang w:val="en-US" w:eastAsia="zh-CN"/>
                    </w:rPr>
                  </w:pPr>
                </w:p>
              </w:tc>
              <w:tc>
                <w:tcPr>
                  <w:tcW w:w="349" w:type="dxa"/>
                  <w:vMerge w:val="continue"/>
                  <w:vAlign w:val="center"/>
                </w:tcPr>
                <w:p w14:paraId="5BF77275">
                  <w:pPr>
                    <w:jc w:val="center"/>
                    <w:rPr>
                      <w:rFonts w:hint="eastAsia"/>
                      <w:sz w:val="18"/>
                      <w:szCs w:val="18"/>
                      <w:lang w:val="en-US" w:eastAsia="zh-CN"/>
                    </w:rPr>
                  </w:pPr>
                </w:p>
              </w:tc>
              <w:tc>
                <w:tcPr>
                  <w:tcW w:w="3300" w:type="dxa"/>
                  <w:vAlign w:val="center"/>
                </w:tcPr>
                <w:p w14:paraId="1E8A05B5">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危险废物的贮存、包装、处置等应</w:t>
                  </w:r>
                </w:p>
                <w:p w14:paraId="3C86E675">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符合GB 18597、HJ 2042等危险废物专用标准的要求。</w:t>
                  </w:r>
                </w:p>
              </w:tc>
              <w:tc>
                <w:tcPr>
                  <w:tcW w:w="2250" w:type="dxa"/>
                  <w:vAlign w:val="center"/>
                </w:tcPr>
                <w:p w14:paraId="070F2D42">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废油等危险废物设置危废暂存间收集，委托</w:t>
                  </w:r>
                </w:p>
                <w:p w14:paraId="6D4B86C9">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资质单位处理</w:t>
                  </w:r>
                </w:p>
              </w:tc>
              <w:tc>
                <w:tcPr>
                  <w:tcW w:w="970" w:type="dxa"/>
                  <w:vAlign w:val="center"/>
                </w:tcPr>
                <w:p w14:paraId="11EC7970">
                  <w:pPr>
                    <w:jc w:val="center"/>
                    <w:rPr>
                      <w:rFonts w:hint="eastAsia"/>
                      <w:sz w:val="18"/>
                      <w:szCs w:val="18"/>
                      <w:lang w:eastAsia="zh-CN"/>
                    </w:rPr>
                  </w:pPr>
                  <w:r>
                    <w:rPr>
                      <w:rFonts w:hint="eastAsia"/>
                      <w:sz w:val="18"/>
                      <w:szCs w:val="18"/>
                      <w:lang w:eastAsia="zh-CN"/>
                    </w:rPr>
                    <w:t>符合</w:t>
                  </w:r>
                </w:p>
              </w:tc>
            </w:tr>
            <w:tr w14:paraId="207DBF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48" w:type="dxa"/>
                  <w:vMerge w:val="restart"/>
                  <w:vAlign w:val="center"/>
                </w:tcPr>
                <w:p w14:paraId="7BB8E712">
                  <w:pPr>
                    <w:jc w:val="center"/>
                    <w:rPr>
                      <w:rFonts w:hint="default"/>
                      <w:sz w:val="18"/>
                      <w:szCs w:val="18"/>
                      <w:lang w:val="en-US" w:eastAsia="zh-CN"/>
                    </w:rPr>
                  </w:pPr>
                  <w:r>
                    <w:rPr>
                      <w:rFonts w:hint="eastAsia"/>
                      <w:sz w:val="18"/>
                      <w:szCs w:val="18"/>
                      <w:lang w:val="en-US" w:eastAsia="zh-CN"/>
                    </w:rPr>
                    <w:t>2</w:t>
                  </w:r>
                </w:p>
              </w:tc>
              <w:tc>
                <w:tcPr>
                  <w:tcW w:w="349" w:type="dxa"/>
                  <w:vMerge w:val="restart"/>
                  <w:vAlign w:val="center"/>
                </w:tcPr>
                <w:p w14:paraId="0C4B3463">
                  <w:pPr>
                    <w:jc w:val="center"/>
                    <w:rPr>
                      <w:rFonts w:hint="eastAsia"/>
                      <w:sz w:val="18"/>
                      <w:szCs w:val="18"/>
                      <w:lang w:val="en-US" w:eastAsia="zh-CN"/>
                    </w:rPr>
                  </w:pPr>
                  <w:r>
                    <w:rPr>
                      <w:rFonts w:hint="eastAsia"/>
                      <w:sz w:val="18"/>
                      <w:szCs w:val="18"/>
                      <w:lang w:val="en-US" w:eastAsia="zh-CN"/>
                    </w:rPr>
                    <w:t>破</w:t>
                  </w:r>
                </w:p>
                <w:p w14:paraId="4A9EC533">
                  <w:pPr>
                    <w:jc w:val="center"/>
                    <w:rPr>
                      <w:rFonts w:hint="eastAsia"/>
                      <w:sz w:val="18"/>
                      <w:szCs w:val="18"/>
                      <w:lang w:val="en-US" w:eastAsia="zh-CN"/>
                    </w:rPr>
                  </w:pPr>
                  <w:r>
                    <w:rPr>
                      <w:rFonts w:hint="eastAsia"/>
                      <w:sz w:val="18"/>
                      <w:szCs w:val="18"/>
                      <w:lang w:val="en-US" w:eastAsia="zh-CN"/>
                    </w:rPr>
                    <w:t>碎</w:t>
                  </w:r>
                </w:p>
                <w:p w14:paraId="5A49097C">
                  <w:pPr>
                    <w:jc w:val="center"/>
                    <w:rPr>
                      <w:rFonts w:hint="eastAsia"/>
                      <w:sz w:val="18"/>
                      <w:szCs w:val="18"/>
                      <w:lang w:val="en-US" w:eastAsia="zh-CN"/>
                    </w:rPr>
                  </w:pPr>
                  <w:r>
                    <w:rPr>
                      <w:rFonts w:hint="eastAsia"/>
                      <w:sz w:val="18"/>
                      <w:szCs w:val="18"/>
                      <w:lang w:val="en-US" w:eastAsia="zh-CN"/>
                    </w:rPr>
                    <w:t>技</w:t>
                  </w:r>
                </w:p>
                <w:p w14:paraId="694F76A3">
                  <w:pPr>
                    <w:jc w:val="center"/>
                    <w:rPr>
                      <w:rFonts w:hint="eastAsia"/>
                      <w:sz w:val="18"/>
                      <w:szCs w:val="18"/>
                      <w:lang w:val="en-US" w:eastAsia="zh-CN"/>
                    </w:rPr>
                  </w:pPr>
                  <w:r>
                    <w:rPr>
                      <w:rFonts w:hint="eastAsia"/>
                      <w:sz w:val="18"/>
                      <w:szCs w:val="18"/>
                      <w:lang w:val="en-US" w:eastAsia="zh-CN"/>
                    </w:rPr>
                    <w:t>术</w:t>
                  </w:r>
                </w:p>
                <w:p w14:paraId="379B1338">
                  <w:pPr>
                    <w:jc w:val="center"/>
                    <w:rPr>
                      <w:rFonts w:hint="eastAsia"/>
                      <w:sz w:val="18"/>
                      <w:szCs w:val="18"/>
                      <w:lang w:val="en-US" w:eastAsia="zh-CN"/>
                    </w:rPr>
                  </w:pPr>
                  <w:r>
                    <w:rPr>
                      <w:rFonts w:hint="eastAsia"/>
                      <w:sz w:val="18"/>
                      <w:szCs w:val="18"/>
                      <w:lang w:val="en-US" w:eastAsia="zh-CN"/>
                    </w:rPr>
                    <w:t>要</w:t>
                  </w:r>
                </w:p>
                <w:p w14:paraId="3F8F1F38">
                  <w:pPr>
                    <w:jc w:val="center"/>
                    <w:rPr>
                      <w:rFonts w:hint="eastAsia"/>
                      <w:sz w:val="18"/>
                      <w:szCs w:val="18"/>
                      <w:lang w:val="en-US" w:eastAsia="zh-CN"/>
                    </w:rPr>
                  </w:pPr>
                  <w:r>
                    <w:rPr>
                      <w:rFonts w:hint="eastAsia"/>
                      <w:sz w:val="18"/>
                      <w:szCs w:val="18"/>
                      <w:lang w:val="en-US" w:eastAsia="zh-CN"/>
                    </w:rPr>
                    <w:t>求</w:t>
                  </w:r>
                </w:p>
              </w:tc>
              <w:tc>
                <w:tcPr>
                  <w:tcW w:w="3300" w:type="dxa"/>
                  <w:vAlign w:val="center"/>
                </w:tcPr>
                <w:p w14:paraId="2D551550">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破碎是通过机械等外力的作用，破</w:t>
                  </w:r>
                </w:p>
                <w:p w14:paraId="3134D665">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坏固体废物内部的凝聚力和分子间</w:t>
                  </w:r>
                </w:p>
                <w:p w14:paraId="2F43DF73">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作用力，使固体废物破裂变碎的过</w:t>
                  </w:r>
                </w:p>
                <w:p w14:paraId="4583E263">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程。将小块固体废物颗粒通过研磨</w:t>
                  </w:r>
                </w:p>
                <w:p w14:paraId="4D5DAB6C">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等方式分裂成细粉状的过程称之为</w:t>
                  </w:r>
                </w:p>
                <w:p w14:paraId="79395B3E">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磨碎。</w:t>
                  </w:r>
                </w:p>
              </w:tc>
              <w:tc>
                <w:tcPr>
                  <w:tcW w:w="2250" w:type="dxa"/>
                  <w:vAlign w:val="center"/>
                </w:tcPr>
                <w:p w14:paraId="79AE0CBF">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项目炉渣来源于启东天楹环保有限责任公司，主要通过破碎机等机械外力设备破碎</w:t>
                  </w:r>
                </w:p>
              </w:tc>
              <w:tc>
                <w:tcPr>
                  <w:tcW w:w="970" w:type="dxa"/>
                  <w:vAlign w:val="center"/>
                </w:tcPr>
                <w:p w14:paraId="0CF78753">
                  <w:pPr>
                    <w:jc w:val="center"/>
                    <w:rPr>
                      <w:rFonts w:hint="eastAsia"/>
                      <w:sz w:val="18"/>
                      <w:szCs w:val="18"/>
                      <w:lang w:eastAsia="zh-CN"/>
                    </w:rPr>
                  </w:pPr>
                  <w:r>
                    <w:rPr>
                      <w:rFonts w:hint="eastAsia"/>
                      <w:sz w:val="18"/>
                      <w:szCs w:val="18"/>
                      <w:lang w:eastAsia="zh-CN"/>
                    </w:rPr>
                    <w:t>符合</w:t>
                  </w:r>
                </w:p>
              </w:tc>
            </w:tr>
            <w:tr w14:paraId="275379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48" w:type="dxa"/>
                  <w:vMerge w:val="continue"/>
                  <w:vAlign w:val="center"/>
                </w:tcPr>
                <w:p w14:paraId="60806BD8">
                  <w:pPr>
                    <w:jc w:val="center"/>
                    <w:rPr>
                      <w:rFonts w:hint="default"/>
                      <w:sz w:val="18"/>
                      <w:szCs w:val="18"/>
                      <w:lang w:val="en-US" w:eastAsia="zh-CN"/>
                    </w:rPr>
                  </w:pPr>
                </w:p>
              </w:tc>
              <w:tc>
                <w:tcPr>
                  <w:tcW w:w="349" w:type="dxa"/>
                  <w:vMerge w:val="continue"/>
                  <w:vAlign w:val="center"/>
                </w:tcPr>
                <w:p w14:paraId="04CD2A37">
                  <w:pPr>
                    <w:jc w:val="center"/>
                    <w:rPr>
                      <w:rFonts w:hint="eastAsia"/>
                      <w:sz w:val="18"/>
                      <w:szCs w:val="18"/>
                      <w:lang w:val="en-US" w:eastAsia="zh-CN"/>
                    </w:rPr>
                  </w:pPr>
                </w:p>
              </w:tc>
              <w:tc>
                <w:tcPr>
                  <w:tcW w:w="3300" w:type="dxa"/>
                  <w:vAlign w:val="center"/>
                </w:tcPr>
                <w:p w14:paraId="1277C9C6">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固体废物破碎技术包括锤式破碎、冲击式破碎、剪切破碎、颚式破碎、圆锥破碎、辊式破碎、球磨破碎等。</w:t>
                  </w:r>
                </w:p>
              </w:tc>
              <w:tc>
                <w:tcPr>
                  <w:tcW w:w="2250" w:type="dxa"/>
                  <w:vAlign w:val="center"/>
                </w:tcPr>
                <w:p w14:paraId="015918C7">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auto"/>
                      <w:kern w:val="0"/>
                      <w:sz w:val="20"/>
                      <w:szCs w:val="20"/>
                      <w:lang w:val="en-US" w:eastAsia="zh-CN" w:bidi="ar"/>
                    </w:rPr>
                    <w:t>本项目主要为辊式破碎</w:t>
                  </w:r>
                </w:p>
              </w:tc>
              <w:tc>
                <w:tcPr>
                  <w:tcW w:w="970" w:type="dxa"/>
                  <w:vAlign w:val="center"/>
                </w:tcPr>
                <w:p w14:paraId="5F4B6FE1">
                  <w:pPr>
                    <w:jc w:val="center"/>
                    <w:rPr>
                      <w:rFonts w:hint="eastAsia"/>
                      <w:sz w:val="18"/>
                      <w:szCs w:val="18"/>
                      <w:lang w:eastAsia="zh-CN"/>
                    </w:rPr>
                  </w:pPr>
                  <w:r>
                    <w:rPr>
                      <w:rFonts w:hint="eastAsia"/>
                      <w:sz w:val="18"/>
                      <w:szCs w:val="18"/>
                      <w:lang w:eastAsia="zh-CN"/>
                    </w:rPr>
                    <w:t>符合</w:t>
                  </w:r>
                </w:p>
              </w:tc>
            </w:tr>
            <w:tr w14:paraId="4C9F47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48" w:type="dxa"/>
                  <w:vMerge w:val="continue"/>
                  <w:vAlign w:val="center"/>
                </w:tcPr>
                <w:p w14:paraId="52222864">
                  <w:pPr>
                    <w:jc w:val="center"/>
                    <w:rPr>
                      <w:rFonts w:hint="default"/>
                      <w:sz w:val="18"/>
                      <w:szCs w:val="18"/>
                      <w:lang w:val="en-US" w:eastAsia="zh-CN"/>
                    </w:rPr>
                  </w:pPr>
                </w:p>
              </w:tc>
              <w:tc>
                <w:tcPr>
                  <w:tcW w:w="349" w:type="dxa"/>
                  <w:vMerge w:val="continue"/>
                  <w:vAlign w:val="center"/>
                </w:tcPr>
                <w:p w14:paraId="0BB0F3CE">
                  <w:pPr>
                    <w:jc w:val="center"/>
                    <w:rPr>
                      <w:rFonts w:hint="eastAsia"/>
                      <w:sz w:val="18"/>
                      <w:szCs w:val="18"/>
                      <w:lang w:val="en-US" w:eastAsia="zh-CN"/>
                    </w:rPr>
                  </w:pPr>
                </w:p>
              </w:tc>
              <w:tc>
                <w:tcPr>
                  <w:tcW w:w="3300" w:type="dxa"/>
                  <w:vAlign w:val="center"/>
                </w:tcPr>
                <w:p w14:paraId="71D0E31C">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易燃易爆或易释放挥发性毒性物质的固体废物,不应直接进行破碎处理。为防止爆燃内部含有液体的固体废物(如废铅酸蓄电池、废溶剂桶等》在破碎处理前，应采用有效措施将液体清空，再进行破碎处理。含有不相容成分的固体废物不应进行混合破碎处理。</w:t>
                  </w:r>
                </w:p>
              </w:tc>
              <w:tc>
                <w:tcPr>
                  <w:tcW w:w="2250" w:type="dxa"/>
                  <w:vAlign w:val="center"/>
                </w:tcPr>
                <w:p w14:paraId="4DED2832">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项目不含易燃易爆物质</w:t>
                  </w:r>
                </w:p>
              </w:tc>
              <w:tc>
                <w:tcPr>
                  <w:tcW w:w="970" w:type="dxa"/>
                  <w:vAlign w:val="center"/>
                </w:tcPr>
                <w:p w14:paraId="4E283B56">
                  <w:pPr>
                    <w:jc w:val="center"/>
                    <w:rPr>
                      <w:rFonts w:hint="eastAsia"/>
                      <w:sz w:val="18"/>
                      <w:szCs w:val="18"/>
                      <w:lang w:eastAsia="zh-CN"/>
                    </w:rPr>
                  </w:pPr>
                  <w:r>
                    <w:rPr>
                      <w:rFonts w:hint="eastAsia"/>
                      <w:sz w:val="18"/>
                      <w:szCs w:val="18"/>
                      <w:lang w:eastAsia="zh-CN"/>
                    </w:rPr>
                    <w:t>符合</w:t>
                  </w:r>
                </w:p>
              </w:tc>
            </w:tr>
            <w:tr w14:paraId="237269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48" w:type="dxa"/>
                  <w:vMerge w:val="continue"/>
                  <w:vAlign w:val="center"/>
                </w:tcPr>
                <w:p w14:paraId="06A9CAA0">
                  <w:pPr>
                    <w:jc w:val="center"/>
                    <w:rPr>
                      <w:rFonts w:hint="default"/>
                      <w:sz w:val="18"/>
                      <w:szCs w:val="18"/>
                      <w:lang w:val="en-US" w:eastAsia="zh-CN"/>
                    </w:rPr>
                  </w:pPr>
                </w:p>
              </w:tc>
              <w:tc>
                <w:tcPr>
                  <w:tcW w:w="349" w:type="dxa"/>
                  <w:vMerge w:val="continue"/>
                  <w:vAlign w:val="center"/>
                </w:tcPr>
                <w:p w14:paraId="25554EE6">
                  <w:pPr>
                    <w:jc w:val="center"/>
                    <w:rPr>
                      <w:rFonts w:hint="eastAsia"/>
                      <w:sz w:val="18"/>
                      <w:szCs w:val="18"/>
                      <w:lang w:val="en-US" w:eastAsia="zh-CN"/>
                    </w:rPr>
                  </w:pPr>
                </w:p>
              </w:tc>
              <w:tc>
                <w:tcPr>
                  <w:tcW w:w="3300" w:type="dxa"/>
                  <w:vAlign w:val="center"/>
                </w:tcPr>
                <w:p w14:paraId="31C70F08">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废塑料、废橡胶等固体废物的破碎宜采用干法破碎:铬渣、硼泥等固体废物的破碎宜采用湿法破碎。</w:t>
                  </w:r>
                </w:p>
              </w:tc>
              <w:tc>
                <w:tcPr>
                  <w:tcW w:w="2250" w:type="dxa"/>
                  <w:vAlign w:val="center"/>
                </w:tcPr>
                <w:p w14:paraId="7CED8F4D">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项目原料不含废塑料、废橡胶等固体废物</w:t>
                  </w:r>
                </w:p>
              </w:tc>
              <w:tc>
                <w:tcPr>
                  <w:tcW w:w="970" w:type="dxa"/>
                  <w:vAlign w:val="center"/>
                </w:tcPr>
                <w:p w14:paraId="0A40898E">
                  <w:pPr>
                    <w:jc w:val="center"/>
                    <w:rPr>
                      <w:rFonts w:hint="eastAsia"/>
                      <w:sz w:val="18"/>
                      <w:szCs w:val="18"/>
                      <w:lang w:eastAsia="zh-CN"/>
                    </w:rPr>
                  </w:pPr>
                  <w:r>
                    <w:rPr>
                      <w:rFonts w:hint="eastAsia"/>
                      <w:sz w:val="18"/>
                      <w:szCs w:val="18"/>
                      <w:lang w:eastAsia="zh-CN"/>
                    </w:rPr>
                    <w:t>符合</w:t>
                  </w:r>
                </w:p>
              </w:tc>
            </w:tr>
            <w:tr w14:paraId="251F8C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48" w:type="dxa"/>
                  <w:vMerge w:val="continue"/>
                  <w:vAlign w:val="center"/>
                </w:tcPr>
                <w:p w14:paraId="51DF55E4">
                  <w:pPr>
                    <w:jc w:val="center"/>
                    <w:rPr>
                      <w:rFonts w:hint="default"/>
                      <w:sz w:val="18"/>
                      <w:szCs w:val="18"/>
                      <w:lang w:val="en-US" w:eastAsia="zh-CN"/>
                    </w:rPr>
                  </w:pPr>
                </w:p>
              </w:tc>
              <w:tc>
                <w:tcPr>
                  <w:tcW w:w="349" w:type="dxa"/>
                  <w:vMerge w:val="continue"/>
                  <w:vAlign w:val="center"/>
                </w:tcPr>
                <w:p w14:paraId="4E762795">
                  <w:pPr>
                    <w:jc w:val="center"/>
                    <w:rPr>
                      <w:rFonts w:hint="eastAsia"/>
                      <w:sz w:val="18"/>
                      <w:szCs w:val="18"/>
                      <w:lang w:val="en-US" w:eastAsia="zh-CN"/>
                    </w:rPr>
                  </w:pPr>
                </w:p>
              </w:tc>
              <w:tc>
                <w:tcPr>
                  <w:tcW w:w="3300" w:type="dxa"/>
                  <w:vAlign w:val="center"/>
                </w:tcPr>
                <w:p w14:paraId="42E044B9">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固体废物破碎处理前应对其进行预处理，以保证给料的均匀性，防止非破碎物混入，引起破碎机械的过载损坏。</w:t>
                  </w:r>
                </w:p>
              </w:tc>
              <w:tc>
                <w:tcPr>
                  <w:tcW w:w="2250" w:type="dxa"/>
                  <w:vAlign w:val="center"/>
                </w:tcPr>
                <w:p w14:paraId="05DD76B5">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企业进场原料已做原</w:t>
                  </w:r>
                </w:p>
                <w:p w14:paraId="3D127215">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料均匀性处理，运行过</w:t>
                  </w:r>
                </w:p>
                <w:p w14:paraId="557C105E">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程不进行预处理</w:t>
                  </w:r>
                </w:p>
              </w:tc>
              <w:tc>
                <w:tcPr>
                  <w:tcW w:w="970" w:type="dxa"/>
                  <w:vAlign w:val="center"/>
                </w:tcPr>
                <w:p w14:paraId="0CEFA7C9">
                  <w:pPr>
                    <w:jc w:val="center"/>
                    <w:rPr>
                      <w:rFonts w:hint="eastAsia"/>
                      <w:sz w:val="18"/>
                      <w:szCs w:val="18"/>
                      <w:lang w:eastAsia="zh-CN"/>
                    </w:rPr>
                  </w:pPr>
                  <w:r>
                    <w:rPr>
                      <w:rFonts w:hint="eastAsia"/>
                      <w:sz w:val="18"/>
                      <w:szCs w:val="18"/>
                      <w:lang w:eastAsia="zh-CN"/>
                    </w:rPr>
                    <w:t>符合</w:t>
                  </w:r>
                </w:p>
              </w:tc>
            </w:tr>
            <w:tr w14:paraId="2C062F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48" w:type="dxa"/>
                  <w:vMerge w:val="continue"/>
                  <w:vAlign w:val="center"/>
                </w:tcPr>
                <w:p w14:paraId="2E63F8CF">
                  <w:pPr>
                    <w:jc w:val="center"/>
                    <w:rPr>
                      <w:rFonts w:hint="default"/>
                      <w:sz w:val="18"/>
                      <w:szCs w:val="18"/>
                      <w:lang w:val="en-US" w:eastAsia="zh-CN"/>
                    </w:rPr>
                  </w:pPr>
                </w:p>
              </w:tc>
              <w:tc>
                <w:tcPr>
                  <w:tcW w:w="349" w:type="dxa"/>
                  <w:vMerge w:val="continue"/>
                  <w:vAlign w:val="center"/>
                </w:tcPr>
                <w:p w14:paraId="07B92AA0">
                  <w:pPr>
                    <w:jc w:val="center"/>
                    <w:rPr>
                      <w:rFonts w:hint="eastAsia"/>
                      <w:sz w:val="18"/>
                      <w:szCs w:val="18"/>
                      <w:lang w:val="en-US" w:eastAsia="zh-CN"/>
                    </w:rPr>
                  </w:pPr>
                </w:p>
              </w:tc>
              <w:tc>
                <w:tcPr>
                  <w:tcW w:w="3300" w:type="dxa"/>
                  <w:vAlign w:val="center"/>
                </w:tcPr>
                <w:p w14:paraId="6874D367">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固体废物粉磨过程应严格控制粉尘的颗粒度、挥发性和火源等，防止发生粉尘爆炸。</w:t>
                  </w:r>
                </w:p>
              </w:tc>
              <w:tc>
                <w:tcPr>
                  <w:tcW w:w="2250" w:type="dxa"/>
                  <w:vAlign w:val="center"/>
                </w:tcPr>
                <w:p w14:paraId="0212BECD">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项目无粉墨工序</w:t>
                  </w:r>
                </w:p>
              </w:tc>
              <w:tc>
                <w:tcPr>
                  <w:tcW w:w="970" w:type="dxa"/>
                  <w:vAlign w:val="center"/>
                </w:tcPr>
                <w:p w14:paraId="7C02A30B">
                  <w:pPr>
                    <w:jc w:val="center"/>
                    <w:rPr>
                      <w:rFonts w:hint="eastAsia"/>
                      <w:sz w:val="18"/>
                      <w:szCs w:val="18"/>
                      <w:lang w:eastAsia="zh-CN"/>
                    </w:rPr>
                  </w:pPr>
                  <w:r>
                    <w:rPr>
                      <w:rFonts w:hint="eastAsia"/>
                      <w:sz w:val="18"/>
                      <w:szCs w:val="18"/>
                      <w:lang w:eastAsia="zh-CN"/>
                    </w:rPr>
                    <w:t>符合</w:t>
                  </w:r>
                </w:p>
              </w:tc>
            </w:tr>
          </w:tbl>
          <w:p w14:paraId="6341F5E7">
            <w:pPr>
              <w:pStyle w:val="2"/>
              <w:rPr>
                <w:rFonts w:hint="default"/>
                <w:lang w:val="en-US" w:eastAsia="zh-CN"/>
              </w:rPr>
            </w:pPr>
          </w:p>
        </w:tc>
      </w:tr>
    </w:tbl>
    <w:p w14:paraId="23285FE6">
      <w:pPr>
        <w:numPr>
          <w:ilvl w:val="0"/>
          <w:numId w:val="2"/>
        </w:numPr>
        <w:spacing w:before="156" w:beforeLines="50" w:after="156" w:afterLines="50"/>
        <w:jc w:val="center"/>
        <w:outlineLvl w:val="0"/>
        <w:rPr>
          <w:rFonts w:eastAsia="黑体"/>
          <w:sz w:val="30"/>
          <w:szCs w:val="30"/>
        </w:rPr>
      </w:pPr>
      <w:r>
        <w:rPr>
          <w:rFonts w:eastAsia="黑体"/>
          <w:sz w:val="30"/>
          <w:szCs w:val="30"/>
        </w:rPr>
        <w:t>建设项目工程分析</w:t>
      </w:r>
    </w:p>
    <w:tbl>
      <w:tblPr>
        <w:tblStyle w:val="20"/>
        <w:tblW w:w="9705" w:type="dxa"/>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663"/>
        <w:gridCol w:w="102"/>
        <w:gridCol w:w="8108"/>
        <w:gridCol w:w="457"/>
      </w:tblGrid>
      <w:tr w14:paraId="7D24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6" w:hRule="atLeast"/>
        </w:trPr>
        <w:tc>
          <w:tcPr>
            <w:tcW w:w="1140" w:type="dxa"/>
            <w:gridSpan w:val="3"/>
            <w:vAlign w:val="center"/>
          </w:tcPr>
          <w:p w14:paraId="1B64D474">
            <w:pPr>
              <w:numPr>
                <w:ilvl w:val="0"/>
                <w:numId w:val="0"/>
              </w:numPr>
              <w:spacing w:before="156" w:beforeLines="50" w:after="156" w:afterLines="50"/>
              <w:jc w:val="center"/>
              <w:outlineLvl w:val="0"/>
              <w:rPr>
                <w:rFonts w:eastAsia="黑体"/>
                <w:sz w:val="30"/>
                <w:szCs w:val="30"/>
                <w:vertAlign w:val="baseline"/>
              </w:rPr>
            </w:pPr>
            <w:r>
              <w:rPr>
                <w:rFonts w:ascii="Times New Roman" w:hAnsi="Times New Roman"/>
                <w:color w:val="auto"/>
                <w:sz w:val="21"/>
                <w:szCs w:val="21"/>
              </w:rPr>
              <w:t>建设内容</w:t>
            </w:r>
          </w:p>
        </w:tc>
        <w:tc>
          <w:tcPr>
            <w:tcW w:w="8565" w:type="dxa"/>
            <w:gridSpan w:val="2"/>
          </w:tcPr>
          <w:p w14:paraId="0E63D641">
            <w:pPr>
              <w:numPr>
                <w:ilvl w:val="0"/>
                <w:numId w:val="3"/>
              </w:numPr>
              <w:spacing w:line="500" w:lineRule="exact"/>
              <w:rPr>
                <w:b/>
                <w:bCs/>
                <w:color w:val="auto"/>
                <w:szCs w:val="21"/>
              </w:rPr>
            </w:pPr>
            <w:r>
              <w:rPr>
                <w:b/>
                <w:bCs/>
                <w:color w:val="auto"/>
                <w:szCs w:val="21"/>
              </w:rPr>
              <w:t>项目由来</w:t>
            </w:r>
          </w:p>
          <w:p w14:paraId="01AE4C60">
            <w:pPr>
              <w:adjustRightInd w:val="0"/>
              <w:snapToGrid w:val="0"/>
              <w:spacing w:line="500" w:lineRule="exact"/>
              <w:ind w:firstLine="420" w:firstLineChars="200"/>
              <w:rPr>
                <w:rFonts w:hint="eastAsia"/>
                <w:bCs/>
                <w:color w:val="auto"/>
                <w:szCs w:val="21"/>
                <w:lang w:val="en-US" w:eastAsia="zh-CN"/>
              </w:rPr>
            </w:pPr>
            <w:r>
              <w:rPr>
                <w:rFonts w:hint="eastAsia"/>
                <w:bCs/>
                <w:color w:val="auto"/>
                <w:szCs w:val="21"/>
                <w:lang w:eastAsia="zh-CN"/>
              </w:rPr>
              <w:t>启东真诚环保科技有限公司成立于</w:t>
            </w:r>
            <w:r>
              <w:rPr>
                <w:rFonts w:hint="eastAsia"/>
                <w:bCs/>
                <w:color w:val="auto"/>
                <w:szCs w:val="21"/>
                <w:lang w:val="en-US" w:eastAsia="zh-CN"/>
              </w:rPr>
              <w:t>2015年4月16日，2015年</w:t>
            </w:r>
            <w:r>
              <w:rPr>
                <w:rFonts w:hint="eastAsia"/>
                <w:bCs/>
                <w:color w:val="auto"/>
                <w:szCs w:val="21"/>
                <w:lang w:eastAsia="zh-CN"/>
              </w:rPr>
              <w:t>启东市北新镇宏申建材厂由于场地紧凑，</w:t>
            </w:r>
            <w:r>
              <w:rPr>
                <w:rFonts w:hint="eastAsia"/>
                <w:bCs/>
                <w:color w:val="auto"/>
                <w:szCs w:val="21"/>
                <w:lang w:val="en-US" w:eastAsia="zh-CN"/>
              </w:rPr>
              <w:t>将厂房转让给</w:t>
            </w:r>
            <w:r>
              <w:rPr>
                <w:rFonts w:hint="eastAsia"/>
                <w:bCs/>
                <w:color w:val="auto"/>
                <w:szCs w:val="21"/>
                <w:lang w:eastAsia="zh-CN"/>
              </w:rPr>
              <w:t>启东真诚环保科技有限公司，转让后未进行生产</w:t>
            </w:r>
            <w:r>
              <w:rPr>
                <w:rFonts w:hint="eastAsia"/>
                <w:bCs/>
                <w:color w:val="auto"/>
                <w:szCs w:val="21"/>
                <w:lang w:val="en-US" w:eastAsia="zh-CN"/>
              </w:rPr>
              <w:t>。</w:t>
            </w:r>
          </w:p>
          <w:p w14:paraId="04C11A47">
            <w:pPr>
              <w:adjustRightInd w:val="0"/>
              <w:snapToGrid w:val="0"/>
              <w:spacing w:line="500" w:lineRule="exact"/>
              <w:ind w:firstLine="420" w:firstLineChars="200"/>
              <w:rPr>
                <w:rFonts w:hint="eastAsia"/>
                <w:bCs/>
                <w:color w:val="auto"/>
                <w:szCs w:val="21"/>
                <w:lang w:eastAsia="zh-CN"/>
              </w:rPr>
            </w:pPr>
            <w:r>
              <w:rPr>
                <w:rFonts w:hint="eastAsia"/>
                <w:bCs/>
                <w:color w:val="auto"/>
                <w:szCs w:val="21"/>
                <w:lang w:eastAsia="zh-CN"/>
              </w:rPr>
              <w:t>启东真诚环保科技有限公司位于启东市启东生命健康产业园常州路38号，主要从事环境保护技术的研究服务，炉渣使用技术的研发服务，石灰炉渣砖生产、销售。</w:t>
            </w:r>
          </w:p>
          <w:p w14:paraId="617EB3A1">
            <w:pPr>
              <w:adjustRightInd w:val="0"/>
              <w:snapToGrid w:val="0"/>
              <w:spacing w:line="500" w:lineRule="exact"/>
              <w:ind w:firstLine="420" w:firstLineChars="200"/>
              <w:rPr>
                <w:color w:val="auto"/>
                <w:szCs w:val="21"/>
              </w:rPr>
            </w:pPr>
            <w:r>
              <w:rPr>
                <w:rFonts w:hint="eastAsia"/>
                <w:bCs/>
                <w:color w:val="auto"/>
                <w:szCs w:val="21"/>
                <w:lang w:eastAsia="zh-CN"/>
              </w:rPr>
              <w:t>由于生活垃圾焚烧发电厂产生的为数较多的炉渣还没有被普遍利用起来，绝大部分炉渣都被送往填埋或者随意的丢弃，不仅浪费了最宝贵的土地资源，而且还污染了堆放地区的环境，和垃圾处理无害化、资源化的初衷相去甚远。为此启东真诚环保科技有限公司</w:t>
            </w:r>
            <w:r>
              <w:rPr>
                <w:rFonts w:hint="eastAsia"/>
                <w:color w:val="auto"/>
                <w:szCs w:val="21"/>
                <w:lang w:eastAsia="zh-CN"/>
              </w:rPr>
              <w:t>投资</w:t>
            </w:r>
            <w:r>
              <w:rPr>
                <w:rFonts w:hint="eastAsia"/>
                <w:color w:val="auto"/>
                <w:szCs w:val="21"/>
                <w:lang w:val="en-US" w:eastAsia="zh-CN"/>
              </w:rPr>
              <w:t>7200万元，购置涡电流分选机、磁选机、跳汰机等，</w:t>
            </w:r>
            <w:r>
              <w:rPr>
                <w:rFonts w:hint="eastAsia"/>
                <w:bCs/>
                <w:color w:val="auto"/>
                <w:szCs w:val="21"/>
                <w:lang w:eastAsia="zh-CN"/>
              </w:rPr>
              <w:t>项目用地面积为</w:t>
            </w:r>
            <w:r>
              <w:rPr>
                <w:rFonts w:hint="eastAsia"/>
                <w:bCs/>
                <w:color w:val="auto"/>
                <w:szCs w:val="21"/>
                <w:lang w:val="en-US" w:eastAsia="zh-CN"/>
              </w:rPr>
              <w:t>12225平方米，建筑面积为14500平方米。进行</w:t>
            </w:r>
            <w:r>
              <w:rPr>
                <w:rFonts w:hint="eastAsia"/>
                <w:bCs/>
                <w:color w:val="auto"/>
                <w:szCs w:val="21"/>
                <w:lang w:eastAsia="zh-CN"/>
              </w:rPr>
              <w:t>垃圾渣处置和综合利用项目，炉渣来源于</w:t>
            </w:r>
            <w:r>
              <w:rPr>
                <w:rFonts w:hint="eastAsia"/>
                <w:bCs/>
                <w:color w:val="auto"/>
                <w:szCs w:val="21"/>
                <w:lang w:val="en-US" w:eastAsia="zh-CN"/>
              </w:rPr>
              <w:t>启东天楹环保有限责任公司，炉渣属于一般固废。项目</w:t>
            </w:r>
            <w:r>
              <w:rPr>
                <w:rFonts w:hint="eastAsia"/>
                <w:color w:val="auto"/>
                <w:szCs w:val="21"/>
                <w:lang w:val="en-US" w:eastAsia="zh-CN"/>
              </w:rPr>
              <w:t>建成后，年处理炉渣30万/吨。</w:t>
            </w:r>
          </w:p>
          <w:p w14:paraId="2659CAFC">
            <w:pPr>
              <w:adjustRightInd w:val="0"/>
              <w:snapToGrid w:val="0"/>
              <w:spacing w:line="500" w:lineRule="exact"/>
              <w:ind w:firstLine="420" w:firstLineChars="200"/>
              <w:rPr>
                <w:bCs/>
                <w:color w:val="auto"/>
                <w:szCs w:val="21"/>
              </w:rPr>
            </w:pPr>
            <w:r>
              <w:rPr>
                <w:rFonts w:hint="eastAsia"/>
                <w:bCs/>
                <w:color w:val="auto"/>
                <w:szCs w:val="21"/>
              </w:rPr>
              <w:t>启东真诚环保科技有限公司</w:t>
            </w:r>
            <w:r>
              <w:rPr>
                <w:rFonts w:hint="eastAsia"/>
                <w:bCs/>
                <w:color w:val="auto"/>
                <w:szCs w:val="21"/>
                <w:lang w:eastAsia="zh-CN"/>
              </w:rPr>
              <w:t>垃圾渣处置和综合利用项目</w:t>
            </w:r>
            <w:r>
              <w:rPr>
                <w:bCs/>
                <w:color w:val="auto"/>
                <w:szCs w:val="21"/>
              </w:rPr>
              <w:t>已于202</w:t>
            </w:r>
            <w:r>
              <w:rPr>
                <w:rFonts w:hint="eastAsia"/>
                <w:bCs/>
                <w:color w:val="auto"/>
                <w:szCs w:val="21"/>
                <w:lang w:val="en-US" w:eastAsia="zh-CN"/>
              </w:rPr>
              <w:t>4</w:t>
            </w:r>
            <w:r>
              <w:rPr>
                <w:bCs/>
                <w:color w:val="auto"/>
                <w:szCs w:val="21"/>
              </w:rPr>
              <w:t>年</w:t>
            </w:r>
            <w:r>
              <w:rPr>
                <w:rFonts w:hint="eastAsia"/>
                <w:bCs/>
                <w:color w:val="auto"/>
                <w:szCs w:val="21"/>
                <w:lang w:val="en-US" w:eastAsia="zh-CN"/>
              </w:rPr>
              <w:t>7</w:t>
            </w:r>
            <w:r>
              <w:rPr>
                <w:bCs/>
                <w:color w:val="auto"/>
                <w:szCs w:val="21"/>
              </w:rPr>
              <w:t>月</w:t>
            </w:r>
            <w:r>
              <w:rPr>
                <w:rFonts w:hint="eastAsia"/>
                <w:bCs/>
                <w:color w:val="auto"/>
                <w:szCs w:val="21"/>
                <w:lang w:val="en-US" w:eastAsia="zh-CN"/>
              </w:rPr>
              <w:t>11</w:t>
            </w:r>
            <w:r>
              <w:rPr>
                <w:bCs/>
                <w:color w:val="auto"/>
                <w:szCs w:val="21"/>
              </w:rPr>
              <w:t>日取得</w:t>
            </w:r>
            <w:r>
              <w:rPr>
                <w:rFonts w:hint="eastAsia"/>
                <w:bCs/>
                <w:color w:val="auto"/>
                <w:szCs w:val="21"/>
                <w:lang w:eastAsia="zh-CN"/>
              </w:rPr>
              <w:t>启东市行政审批局</w:t>
            </w:r>
            <w:r>
              <w:rPr>
                <w:bCs/>
                <w:color w:val="auto"/>
                <w:szCs w:val="21"/>
              </w:rPr>
              <w:t>出具的备案证（备案证号：</w:t>
            </w:r>
            <w:r>
              <w:rPr>
                <w:rFonts w:hint="eastAsia"/>
                <w:bCs/>
                <w:color w:val="auto"/>
                <w:szCs w:val="21"/>
                <w:lang w:eastAsia="zh-CN"/>
              </w:rPr>
              <w:t>启行审备</w:t>
            </w:r>
            <w:r>
              <w:rPr>
                <w:rFonts w:hint="eastAsia"/>
                <w:bCs/>
                <w:color w:val="auto"/>
                <w:szCs w:val="21"/>
              </w:rPr>
              <w:t>〔2024〕</w:t>
            </w:r>
            <w:r>
              <w:rPr>
                <w:rFonts w:hint="eastAsia"/>
                <w:bCs/>
                <w:color w:val="auto"/>
                <w:szCs w:val="21"/>
                <w:lang w:val="en-US" w:eastAsia="zh-CN"/>
              </w:rPr>
              <w:t>395</w:t>
            </w:r>
            <w:r>
              <w:rPr>
                <w:rFonts w:hint="eastAsia"/>
                <w:bCs/>
                <w:color w:val="auto"/>
                <w:szCs w:val="21"/>
              </w:rPr>
              <w:t>号</w:t>
            </w:r>
            <w:r>
              <w:rPr>
                <w:bCs/>
                <w:color w:val="auto"/>
                <w:szCs w:val="21"/>
              </w:rPr>
              <w:t>）。</w:t>
            </w:r>
          </w:p>
          <w:p w14:paraId="4E44473E">
            <w:pPr>
              <w:adjustRightInd w:val="0"/>
              <w:snapToGrid w:val="0"/>
              <w:spacing w:line="500" w:lineRule="exact"/>
              <w:ind w:firstLine="420" w:firstLineChars="200"/>
              <w:rPr>
                <w:bCs/>
                <w:color w:val="auto"/>
                <w:szCs w:val="21"/>
              </w:rPr>
            </w:pPr>
            <w:r>
              <w:rPr>
                <w:bCs/>
                <w:color w:val="auto"/>
                <w:szCs w:val="21"/>
              </w:rPr>
              <w:t>根据《中华人民共和国环境保护法</w:t>
            </w:r>
            <w:r>
              <w:rPr>
                <w:rFonts w:hint="eastAsia"/>
                <w:bCs/>
                <w:color w:val="auto"/>
                <w:szCs w:val="21"/>
                <w:lang w:eastAsia="zh-CN"/>
              </w:rPr>
              <w:t>》《</w:t>
            </w:r>
            <w:r>
              <w:rPr>
                <w:bCs/>
                <w:color w:val="auto"/>
                <w:szCs w:val="21"/>
              </w:rPr>
              <w:t>中华人民共和国环境影响评价法</w:t>
            </w:r>
            <w:r>
              <w:rPr>
                <w:rFonts w:hint="eastAsia"/>
                <w:bCs/>
                <w:color w:val="auto"/>
                <w:szCs w:val="21"/>
                <w:lang w:eastAsia="zh-CN"/>
              </w:rPr>
              <w:t>》《</w:t>
            </w:r>
            <w:r>
              <w:rPr>
                <w:bCs/>
                <w:color w:val="auto"/>
                <w:szCs w:val="21"/>
              </w:rPr>
              <w:t>建设项目环境保护管理条例》等法律法规的有关规定，本项目须进行环境影响评价工作。</w:t>
            </w:r>
          </w:p>
          <w:p w14:paraId="65905FBB">
            <w:pPr>
              <w:adjustRightInd w:val="0"/>
              <w:snapToGrid w:val="0"/>
              <w:spacing w:line="500" w:lineRule="exact"/>
              <w:ind w:firstLine="420" w:firstLineChars="200"/>
              <w:rPr>
                <w:bCs/>
                <w:color w:val="auto"/>
                <w:szCs w:val="21"/>
              </w:rPr>
            </w:pPr>
            <w:r>
              <w:rPr>
                <w:rFonts w:hint="eastAsia"/>
                <w:bCs/>
                <w:color w:val="auto"/>
                <w:szCs w:val="21"/>
              </w:rPr>
              <w:t>对照《建设项目环境影响评价分类管理名录（2021年修订）》（部令第16号）中“四十七、103、一般工业固体废物（含污水处理污泥）、建筑施工废弃物处置及综合利用-其他”，应编制环境影响报告表，受启东真诚环保科技有限公司委托，我公司承担了该项目的环境影响评价工作。我公司接受委托后，立即组织有关技术人员到项目所在区域进行了环境状况的现场调查分析，筛选了项目的环境影响因素和评价因子。在此基础上，依据环境影响评价导则和相关技术规范，编制该项目环境影响报告表，呈报环境保护主管部门审批。</w:t>
            </w:r>
          </w:p>
          <w:p w14:paraId="5597A113">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b/>
                <w:bCs/>
                <w:color w:val="auto"/>
                <w:szCs w:val="21"/>
              </w:rPr>
            </w:pPr>
            <w:r>
              <w:rPr>
                <w:b/>
                <w:bCs/>
                <w:color w:val="auto"/>
                <w:szCs w:val="21"/>
              </w:rPr>
              <w:t xml:space="preserve">2、主要产品及产能情况 </w:t>
            </w:r>
          </w:p>
          <w:p w14:paraId="03AE8AF1">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center"/>
              <w:textAlignment w:val="auto"/>
              <w:rPr>
                <w:b/>
                <w:bCs/>
                <w:color w:val="auto"/>
                <w:szCs w:val="21"/>
              </w:rPr>
            </w:pPr>
            <w:r>
              <w:rPr>
                <w:b/>
                <w:bCs/>
                <w:color w:val="auto"/>
                <w:szCs w:val="21"/>
              </w:rPr>
              <w:t>表 2-1 建设项目</w:t>
            </w:r>
            <w:r>
              <w:rPr>
                <w:rFonts w:hint="eastAsia"/>
                <w:b/>
                <w:bCs/>
                <w:color w:val="auto"/>
                <w:szCs w:val="21"/>
                <w:lang w:eastAsia="zh-CN"/>
              </w:rPr>
              <w:t>主要产品及处理能力</w:t>
            </w:r>
            <w:r>
              <w:rPr>
                <w:b/>
                <w:bCs/>
                <w:color w:val="auto"/>
                <w:szCs w:val="21"/>
              </w:rPr>
              <w:t>情况</w:t>
            </w:r>
          </w:p>
          <w:tbl>
            <w:tblPr>
              <w:tblStyle w:val="20"/>
              <w:tblW w:w="835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1687"/>
              <w:gridCol w:w="1478"/>
              <w:gridCol w:w="1809"/>
              <w:gridCol w:w="1494"/>
            </w:tblGrid>
            <w:tr w14:paraId="297F92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890" w:type="dxa"/>
                  <w:tcBorders>
                    <w:tl2br w:val="nil"/>
                    <w:tr2bl w:val="nil"/>
                  </w:tcBorders>
                  <w:vAlign w:val="center"/>
                </w:tcPr>
                <w:p w14:paraId="2A29A2E1">
                  <w:pPr>
                    <w:jc w:val="center"/>
                    <w:rPr>
                      <w:color w:val="auto"/>
                      <w:sz w:val="18"/>
                      <w:szCs w:val="18"/>
                    </w:rPr>
                  </w:pPr>
                  <w:r>
                    <w:rPr>
                      <w:color w:val="auto"/>
                      <w:sz w:val="18"/>
                      <w:szCs w:val="18"/>
                    </w:rPr>
                    <w:t>生产线名称</w:t>
                  </w:r>
                </w:p>
              </w:tc>
              <w:tc>
                <w:tcPr>
                  <w:tcW w:w="1687" w:type="dxa"/>
                  <w:tcBorders>
                    <w:tl2br w:val="nil"/>
                    <w:tr2bl w:val="nil"/>
                  </w:tcBorders>
                  <w:vAlign w:val="center"/>
                </w:tcPr>
                <w:p w14:paraId="422B17E2">
                  <w:pPr>
                    <w:jc w:val="center"/>
                    <w:rPr>
                      <w:color w:val="auto"/>
                      <w:sz w:val="18"/>
                      <w:szCs w:val="18"/>
                    </w:rPr>
                  </w:pPr>
                  <w:r>
                    <w:rPr>
                      <w:color w:val="auto"/>
                      <w:sz w:val="18"/>
                      <w:szCs w:val="18"/>
                    </w:rPr>
                    <w:t>产品名称</w:t>
                  </w:r>
                </w:p>
              </w:tc>
              <w:tc>
                <w:tcPr>
                  <w:tcW w:w="1478" w:type="dxa"/>
                  <w:tcBorders>
                    <w:tl2br w:val="nil"/>
                    <w:tr2bl w:val="nil"/>
                  </w:tcBorders>
                  <w:vAlign w:val="center"/>
                </w:tcPr>
                <w:p w14:paraId="0FCDE725">
                  <w:pPr>
                    <w:jc w:val="center"/>
                    <w:rPr>
                      <w:rFonts w:hint="eastAsia" w:eastAsia="宋体"/>
                      <w:color w:val="auto"/>
                      <w:sz w:val="18"/>
                      <w:szCs w:val="18"/>
                      <w:lang w:eastAsia="zh-CN"/>
                    </w:rPr>
                  </w:pPr>
                  <w:r>
                    <w:rPr>
                      <w:color w:val="auto"/>
                      <w:sz w:val="18"/>
                      <w:szCs w:val="18"/>
                    </w:rPr>
                    <w:t>产品规格</w:t>
                  </w:r>
                </w:p>
              </w:tc>
              <w:tc>
                <w:tcPr>
                  <w:tcW w:w="1809" w:type="dxa"/>
                  <w:tcBorders>
                    <w:tl2br w:val="nil"/>
                    <w:tr2bl w:val="nil"/>
                  </w:tcBorders>
                  <w:vAlign w:val="center"/>
                </w:tcPr>
                <w:p w14:paraId="6CCF61C9">
                  <w:pPr>
                    <w:jc w:val="center"/>
                    <w:rPr>
                      <w:color w:val="auto"/>
                      <w:sz w:val="18"/>
                      <w:szCs w:val="18"/>
                    </w:rPr>
                  </w:pPr>
                  <w:r>
                    <w:rPr>
                      <w:rFonts w:hint="eastAsia"/>
                      <w:color w:val="auto"/>
                      <w:sz w:val="18"/>
                      <w:szCs w:val="18"/>
                      <w:lang w:eastAsia="zh-CN"/>
                    </w:rPr>
                    <w:t>炉渣处理</w:t>
                  </w:r>
                  <w:r>
                    <w:rPr>
                      <w:color w:val="auto"/>
                      <w:sz w:val="18"/>
                      <w:szCs w:val="18"/>
                    </w:rPr>
                    <w:t>能力</w:t>
                  </w:r>
                </w:p>
              </w:tc>
              <w:tc>
                <w:tcPr>
                  <w:tcW w:w="1494" w:type="dxa"/>
                  <w:tcBorders>
                    <w:tl2br w:val="nil"/>
                    <w:tr2bl w:val="nil"/>
                  </w:tcBorders>
                  <w:vAlign w:val="center"/>
                </w:tcPr>
                <w:p w14:paraId="6EF6C2EF">
                  <w:pPr>
                    <w:jc w:val="center"/>
                    <w:rPr>
                      <w:color w:val="auto"/>
                      <w:sz w:val="18"/>
                      <w:szCs w:val="18"/>
                    </w:rPr>
                  </w:pPr>
                  <w:r>
                    <w:rPr>
                      <w:color w:val="auto"/>
                      <w:sz w:val="18"/>
                      <w:szCs w:val="18"/>
                    </w:rPr>
                    <w:t>年生产时间</w:t>
                  </w:r>
                </w:p>
              </w:tc>
            </w:tr>
            <w:tr w14:paraId="3AEC9C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90" w:type="dxa"/>
                  <w:tcBorders>
                    <w:tl2br w:val="nil"/>
                    <w:tr2bl w:val="nil"/>
                  </w:tcBorders>
                  <w:vAlign w:val="center"/>
                </w:tcPr>
                <w:p w14:paraId="3C46D914">
                  <w:pPr>
                    <w:jc w:val="center"/>
                    <w:rPr>
                      <w:color w:val="auto"/>
                      <w:sz w:val="18"/>
                      <w:szCs w:val="18"/>
                    </w:rPr>
                  </w:pPr>
                  <w:r>
                    <w:rPr>
                      <w:rFonts w:hint="eastAsia"/>
                      <w:sz w:val="18"/>
                      <w:szCs w:val="18"/>
                      <w:lang w:eastAsia="zh-CN"/>
                    </w:rPr>
                    <w:t>炉渣环保砂生产线</w:t>
                  </w:r>
                </w:p>
              </w:tc>
              <w:tc>
                <w:tcPr>
                  <w:tcW w:w="1687" w:type="dxa"/>
                  <w:tcBorders>
                    <w:tl2br w:val="nil"/>
                    <w:tr2bl w:val="nil"/>
                  </w:tcBorders>
                  <w:vAlign w:val="center"/>
                </w:tcPr>
                <w:p w14:paraId="6F0B138C">
                  <w:pPr>
                    <w:jc w:val="center"/>
                    <w:rPr>
                      <w:color w:val="auto"/>
                      <w:sz w:val="18"/>
                      <w:szCs w:val="18"/>
                    </w:rPr>
                  </w:pPr>
                  <w:r>
                    <w:rPr>
                      <w:rFonts w:hint="eastAsia"/>
                      <w:sz w:val="18"/>
                      <w:szCs w:val="18"/>
                      <w:lang w:val="en-US" w:eastAsia="zh-CN"/>
                    </w:rPr>
                    <w:t>炉渣环保砂</w:t>
                  </w:r>
                </w:p>
              </w:tc>
              <w:tc>
                <w:tcPr>
                  <w:tcW w:w="1478" w:type="dxa"/>
                  <w:tcBorders>
                    <w:tl2br w:val="nil"/>
                    <w:tr2bl w:val="nil"/>
                  </w:tcBorders>
                  <w:vAlign w:val="center"/>
                </w:tcPr>
                <w:p w14:paraId="019B0F4B">
                  <w:pPr>
                    <w:jc w:val="center"/>
                    <w:rPr>
                      <w:rFonts w:hint="default" w:eastAsia="宋体"/>
                      <w:color w:val="auto"/>
                      <w:sz w:val="18"/>
                      <w:szCs w:val="18"/>
                      <w:lang w:val="en-US" w:eastAsia="zh-CN"/>
                    </w:rPr>
                  </w:pPr>
                  <w:r>
                    <w:rPr>
                      <w:rFonts w:hint="eastAsia"/>
                      <w:color w:val="auto"/>
                      <w:sz w:val="18"/>
                      <w:szCs w:val="18"/>
                      <w:lang w:val="en-US" w:eastAsia="zh-CN"/>
                    </w:rPr>
                    <w:t>含水率21%</w:t>
                  </w:r>
                </w:p>
              </w:tc>
              <w:tc>
                <w:tcPr>
                  <w:tcW w:w="1809" w:type="dxa"/>
                  <w:tcBorders>
                    <w:tl2br w:val="nil"/>
                    <w:tr2bl w:val="nil"/>
                  </w:tcBorders>
                  <w:vAlign w:val="center"/>
                </w:tcPr>
                <w:p w14:paraId="335FC752">
                  <w:pPr>
                    <w:jc w:val="center"/>
                    <w:rPr>
                      <w:rFonts w:hint="default"/>
                      <w:color w:val="auto"/>
                      <w:sz w:val="18"/>
                      <w:szCs w:val="18"/>
                      <w:lang w:val="en-US"/>
                    </w:rPr>
                  </w:pPr>
                  <w:r>
                    <w:rPr>
                      <w:rFonts w:hint="eastAsia"/>
                      <w:color w:val="auto"/>
                      <w:sz w:val="18"/>
                      <w:szCs w:val="18"/>
                      <w:lang w:val="en-US" w:eastAsia="zh-CN"/>
                    </w:rPr>
                    <w:t>30吨</w:t>
                  </w:r>
                </w:p>
              </w:tc>
              <w:tc>
                <w:tcPr>
                  <w:tcW w:w="1494" w:type="dxa"/>
                  <w:tcBorders>
                    <w:tl2br w:val="nil"/>
                    <w:tr2bl w:val="nil"/>
                  </w:tcBorders>
                  <w:vAlign w:val="center"/>
                </w:tcPr>
                <w:p w14:paraId="7CD9D43B">
                  <w:pPr>
                    <w:jc w:val="center"/>
                    <w:rPr>
                      <w:rFonts w:hint="default" w:eastAsia="宋体"/>
                      <w:color w:val="auto"/>
                      <w:sz w:val="18"/>
                      <w:szCs w:val="18"/>
                      <w:lang w:val="en-US" w:eastAsia="zh-CN"/>
                    </w:rPr>
                  </w:pPr>
                  <w:r>
                    <w:rPr>
                      <w:rFonts w:hint="eastAsia"/>
                      <w:color w:val="auto"/>
                      <w:sz w:val="18"/>
                      <w:szCs w:val="18"/>
                      <w:lang w:val="en-US" w:eastAsia="zh-CN"/>
                    </w:rPr>
                    <w:t>300*8=2400h</w:t>
                  </w:r>
                </w:p>
              </w:tc>
            </w:tr>
          </w:tbl>
          <w:p w14:paraId="5A9EF36E">
            <w:pPr>
              <w:spacing w:line="360" w:lineRule="auto"/>
              <w:ind w:firstLine="400" w:firstLineChars="200"/>
              <w:rPr>
                <w:rFonts w:hint="eastAsia" w:eastAsia="宋体"/>
                <w:b w:val="0"/>
                <w:bCs w:val="0"/>
                <w:color w:val="auto"/>
                <w:sz w:val="20"/>
                <w:szCs w:val="22"/>
                <w:lang w:eastAsia="zh-CN"/>
              </w:rPr>
            </w:pPr>
            <w:r>
              <w:rPr>
                <w:rFonts w:hint="eastAsia"/>
                <w:b w:val="0"/>
                <w:bCs w:val="0"/>
                <w:color w:val="auto"/>
                <w:sz w:val="20"/>
                <w:szCs w:val="22"/>
                <w:lang w:eastAsia="zh-CN"/>
              </w:rPr>
              <w:t>产品质量标准：炉渣环保砂满足</w:t>
            </w:r>
            <w:r>
              <w:rPr>
                <w:rFonts w:hint="eastAsia"/>
                <w:b w:val="0"/>
                <w:bCs w:val="0"/>
                <w:color w:val="auto"/>
                <w:sz w:val="20"/>
                <w:szCs w:val="22"/>
              </w:rPr>
              <w:t>《生活垃圾焚烧炉渣集料》（GB/T25032-2010）</w:t>
            </w:r>
            <w:r>
              <w:rPr>
                <w:rFonts w:hint="eastAsia"/>
                <w:b w:val="0"/>
                <w:bCs w:val="0"/>
                <w:color w:val="auto"/>
                <w:sz w:val="20"/>
                <w:szCs w:val="22"/>
                <w:lang w:eastAsia="zh-CN"/>
              </w:rPr>
              <w:t>相关要求。</w:t>
            </w:r>
          </w:p>
          <w:p w14:paraId="60AF8DC6">
            <w:pPr>
              <w:spacing w:line="360" w:lineRule="auto"/>
              <w:ind w:firstLine="422" w:firstLineChars="200"/>
              <w:rPr>
                <w:b/>
                <w:bCs/>
                <w:color w:val="auto"/>
              </w:rPr>
            </w:pPr>
            <w:r>
              <w:rPr>
                <w:rFonts w:hint="eastAsia"/>
                <w:b/>
                <w:bCs/>
                <w:color w:val="auto"/>
              </w:rPr>
              <w:t>3、</w:t>
            </w:r>
            <w:r>
              <w:rPr>
                <w:b/>
                <w:bCs/>
                <w:color w:val="auto"/>
              </w:rPr>
              <w:t>建设项目原辅材料消耗表</w:t>
            </w:r>
          </w:p>
          <w:p w14:paraId="21B82437">
            <w:pPr>
              <w:spacing w:line="360" w:lineRule="auto"/>
              <w:jc w:val="center"/>
              <w:rPr>
                <w:color w:val="auto"/>
              </w:rPr>
            </w:pPr>
            <w:r>
              <w:rPr>
                <w:b/>
                <w:bCs/>
                <w:color w:val="auto"/>
                <w:kern w:val="0"/>
                <w:szCs w:val="21"/>
                <w:lang w:bidi="ar"/>
              </w:rPr>
              <w:t>表 2-</w:t>
            </w:r>
            <w:r>
              <w:rPr>
                <w:rFonts w:hint="eastAsia"/>
                <w:b/>
                <w:bCs/>
                <w:color w:val="auto"/>
                <w:kern w:val="0"/>
                <w:szCs w:val="21"/>
                <w:lang w:bidi="ar"/>
              </w:rPr>
              <w:t>2</w:t>
            </w:r>
            <w:r>
              <w:rPr>
                <w:b/>
                <w:bCs/>
                <w:color w:val="auto"/>
                <w:kern w:val="0"/>
                <w:szCs w:val="21"/>
                <w:lang w:bidi="ar"/>
              </w:rPr>
              <w:t xml:space="preserve"> </w:t>
            </w:r>
            <w:r>
              <w:rPr>
                <w:b/>
                <w:bCs/>
                <w:color w:val="auto"/>
                <w:szCs w:val="21"/>
              </w:rPr>
              <w:t>主要原辅材料一览表</w:t>
            </w:r>
          </w:p>
          <w:tbl>
            <w:tblPr>
              <w:tblStyle w:val="19"/>
              <w:tblW w:w="499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203"/>
              <w:gridCol w:w="1222"/>
              <w:gridCol w:w="1140"/>
              <w:gridCol w:w="1500"/>
              <w:gridCol w:w="1275"/>
              <w:gridCol w:w="1198"/>
            </w:tblGrid>
            <w:tr w14:paraId="0BE3E1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9" w:type="pct"/>
                  <w:vAlign w:val="center"/>
                </w:tcPr>
                <w:p w14:paraId="0B38E0F0">
                  <w:pPr>
                    <w:adjustRightInd w:val="0"/>
                    <w:snapToGrid w:val="0"/>
                    <w:jc w:val="center"/>
                    <w:rPr>
                      <w:color w:val="auto"/>
                      <w:sz w:val="18"/>
                      <w:szCs w:val="18"/>
                    </w:rPr>
                  </w:pPr>
                  <w:r>
                    <w:rPr>
                      <w:color w:val="auto"/>
                      <w:sz w:val="18"/>
                      <w:szCs w:val="18"/>
                    </w:rPr>
                    <w:t>序号</w:t>
                  </w:r>
                </w:p>
              </w:tc>
              <w:tc>
                <w:tcPr>
                  <w:tcW w:w="721" w:type="pct"/>
                  <w:vAlign w:val="center"/>
                </w:tcPr>
                <w:p w14:paraId="41F342E3">
                  <w:pPr>
                    <w:adjustRightInd w:val="0"/>
                    <w:snapToGrid w:val="0"/>
                    <w:jc w:val="center"/>
                    <w:rPr>
                      <w:color w:val="auto"/>
                      <w:sz w:val="18"/>
                      <w:szCs w:val="18"/>
                    </w:rPr>
                  </w:pPr>
                  <w:r>
                    <w:rPr>
                      <w:color w:val="auto"/>
                      <w:sz w:val="18"/>
                      <w:szCs w:val="18"/>
                    </w:rPr>
                    <w:t>名称</w:t>
                  </w:r>
                </w:p>
              </w:tc>
              <w:tc>
                <w:tcPr>
                  <w:tcW w:w="732" w:type="pct"/>
                  <w:vAlign w:val="center"/>
                </w:tcPr>
                <w:p w14:paraId="139EED2E">
                  <w:pPr>
                    <w:adjustRightInd w:val="0"/>
                    <w:snapToGrid w:val="0"/>
                    <w:jc w:val="center"/>
                    <w:rPr>
                      <w:color w:val="auto"/>
                      <w:sz w:val="18"/>
                      <w:szCs w:val="18"/>
                    </w:rPr>
                  </w:pPr>
                  <w:r>
                    <w:rPr>
                      <w:color w:val="auto"/>
                      <w:sz w:val="18"/>
                      <w:szCs w:val="18"/>
                    </w:rPr>
                    <w:t>组分/规格</w:t>
                  </w:r>
                  <w:r>
                    <w:rPr>
                      <w:rFonts w:hint="eastAsia" w:ascii="Times New Roman" w:hAnsi="Times New Roman" w:eastAsia="宋体" w:cs="Times New Roman"/>
                      <w:color w:val="auto"/>
                      <w:sz w:val="18"/>
                      <w:szCs w:val="18"/>
                      <w:lang w:eastAsia="zh-CN"/>
                    </w:rPr>
                    <w:t>（宽度）</w:t>
                  </w:r>
                </w:p>
              </w:tc>
              <w:tc>
                <w:tcPr>
                  <w:tcW w:w="683" w:type="pct"/>
                  <w:vAlign w:val="center"/>
                </w:tcPr>
                <w:p w14:paraId="50E3DCED">
                  <w:pPr>
                    <w:adjustRightInd w:val="0"/>
                    <w:snapToGrid w:val="0"/>
                    <w:jc w:val="center"/>
                    <w:rPr>
                      <w:color w:val="auto"/>
                      <w:sz w:val="18"/>
                      <w:szCs w:val="18"/>
                    </w:rPr>
                  </w:pPr>
                  <w:r>
                    <w:rPr>
                      <w:color w:val="auto"/>
                      <w:sz w:val="18"/>
                      <w:szCs w:val="18"/>
                    </w:rPr>
                    <w:t>年耗量</w:t>
                  </w:r>
                </w:p>
              </w:tc>
              <w:tc>
                <w:tcPr>
                  <w:tcW w:w="899" w:type="pct"/>
                  <w:vAlign w:val="center"/>
                </w:tcPr>
                <w:p w14:paraId="77FCE8F9">
                  <w:pPr>
                    <w:adjustRightInd w:val="0"/>
                    <w:snapToGrid w:val="0"/>
                    <w:jc w:val="center"/>
                    <w:rPr>
                      <w:color w:val="auto"/>
                      <w:sz w:val="18"/>
                      <w:szCs w:val="18"/>
                    </w:rPr>
                  </w:pPr>
                  <w:r>
                    <w:rPr>
                      <w:color w:val="auto"/>
                      <w:sz w:val="18"/>
                      <w:szCs w:val="18"/>
                    </w:rPr>
                    <w:t>包装储存方式</w:t>
                  </w:r>
                </w:p>
              </w:tc>
              <w:tc>
                <w:tcPr>
                  <w:tcW w:w="764" w:type="pct"/>
                  <w:vAlign w:val="center"/>
                </w:tcPr>
                <w:p w14:paraId="5C080CE2">
                  <w:pPr>
                    <w:adjustRightInd w:val="0"/>
                    <w:snapToGrid w:val="0"/>
                    <w:jc w:val="center"/>
                    <w:rPr>
                      <w:color w:val="auto"/>
                      <w:sz w:val="18"/>
                      <w:szCs w:val="18"/>
                    </w:rPr>
                  </w:pPr>
                  <w:r>
                    <w:rPr>
                      <w:color w:val="auto"/>
                      <w:sz w:val="18"/>
                      <w:szCs w:val="18"/>
                    </w:rPr>
                    <w:t>最大储存量</w:t>
                  </w:r>
                </w:p>
              </w:tc>
              <w:tc>
                <w:tcPr>
                  <w:tcW w:w="718" w:type="pct"/>
                  <w:vAlign w:val="center"/>
                </w:tcPr>
                <w:p w14:paraId="6F7F04C1">
                  <w:pPr>
                    <w:adjustRightInd w:val="0"/>
                    <w:snapToGrid w:val="0"/>
                    <w:jc w:val="center"/>
                    <w:rPr>
                      <w:rFonts w:hint="eastAsia" w:eastAsia="宋体"/>
                      <w:color w:val="auto"/>
                      <w:sz w:val="18"/>
                      <w:szCs w:val="18"/>
                      <w:lang w:eastAsia="zh-CN"/>
                    </w:rPr>
                  </w:pPr>
                  <w:r>
                    <w:rPr>
                      <w:rFonts w:hint="eastAsia"/>
                      <w:color w:val="auto"/>
                      <w:sz w:val="18"/>
                      <w:szCs w:val="18"/>
                      <w:lang w:eastAsia="zh-CN"/>
                    </w:rPr>
                    <w:t>备注</w:t>
                  </w:r>
                </w:p>
              </w:tc>
            </w:tr>
            <w:tr w14:paraId="63DF2F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79" w:type="pct"/>
                  <w:vAlign w:val="center"/>
                </w:tcPr>
                <w:p w14:paraId="46CDFFB0">
                  <w:pPr>
                    <w:adjustRightInd w:val="0"/>
                    <w:snapToGrid w:val="0"/>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w:t>
                  </w:r>
                </w:p>
              </w:tc>
              <w:tc>
                <w:tcPr>
                  <w:tcW w:w="721" w:type="pct"/>
                  <w:vAlign w:val="center"/>
                </w:tcPr>
                <w:p w14:paraId="7AE455BF">
                  <w:pPr>
                    <w:adjustRightInd w:val="0"/>
                    <w:snapToGrid w:val="0"/>
                    <w:jc w:val="center"/>
                    <w:rPr>
                      <w:rFonts w:hint="eastAsia" w:ascii="Times New Roman" w:hAnsi="Times New Roman" w:eastAsia="宋体" w:cs="Times New Roman"/>
                      <w:color w:val="auto"/>
                      <w:sz w:val="18"/>
                      <w:szCs w:val="18"/>
                      <w:lang w:eastAsia="zh-CN"/>
                    </w:rPr>
                  </w:pPr>
                  <w:r>
                    <w:rPr>
                      <w:rFonts w:hint="eastAsia" w:cs="Times New Roman"/>
                      <w:color w:val="auto"/>
                      <w:sz w:val="18"/>
                      <w:szCs w:val="18"/>
                      <w:lang w:eastAsia="zh-CN"/>
                    </w:rPr>
                    <w:t>垃圾焚烧渣</w:t>
                  </w:r>
                </w:p>
              </w:tc>
              <w:tc>
                <w:tcPr>
                  <w:tcW w:w="732" w:type="pct"/>
                  <w:vAlign w:val="center"/>
                </w:tcPr>
                <w:p w14:paraId="51F811D0">
                  <w:pPr>
                    <w:adjustRightInd w:val="0"/>
                    <w:snapToGrid w:val="0"/>
                    <w:jc w:val="center"/>
                    <w:rPr>
                      <w:rFonts w:hint="default" w:ascii="Times New Roman" w:hAnsi="Times New Roman" w:cs="Times New Roman"/>
                      <w:color w:val="auto"/>
                      <w:sz w:val="18"/>
                      <w:szCs w:val="18"/>
                      <w:lang w:val="en-US" w:eastAsia="zh-CN"/>
                    </w:rPr>
                  </w:pPr>
                  <w:r>
                    <w:rPr>
                      <w:rFonts w:hint="eastAsia" w:cs="Times New Roman"/>
                      <w:color w:val="auto"/>
                      <w:sz w:val="18"/>
                      <w:szCs w:val="18"/>
                      <w:lang w:val="en-US" w:eastAsia="zh-CN"/>
                    </w:rPr>
                    <w:t>含水率21%</w:t>
                  </w:r>
                </w:p>
              </w:tc>
              <w:tc>
                <w:tcPr>
                  <w:tcW w:w="683" w:type="pct"/>
                  <w:vAlign w:val="center"/>
                </w:tcPr>
                <w:p w14:paraId="48F61EBB">
                  <w:pPr>
                    <w:adjustRightInd w:val="0"/>
                    <w:snapToGrid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30万</w:t>
                  </w:r>
                </w:p>
              </w:tc>
              <w:tc>
                <w:tcPr>
                  <w:tcW w:w="899" w:type="pct"/>
                  <w:vAlign w:val="center"/>
                </w:tcPr>
                <w:p w14:paraId="24E4E622">
                  <w:pPr>
                    <w:adjustRightInd w:val="0"/>
                    <w:snapToGrid w:val="0"/>
                    <w:jc w:val="center"/>
                    <w:rPr>
                      <w:rFonts w:hint="eastAsia" w:ascii="Times New Roman" w:hAnsi="Times New Roman" w:eastAsia="宋体" w:cs="Times New Roman"/>
                      <w:color w:val="auto"/>
                      <w:sz w:val="18"/>
                      <w:szCs w:val="18"/>
                      <w:lang w:eastAsia="zh-CN"/>
                    </w:rPr>
                  </w:pPr>
                  <w:r>
                    <w:rPr>
                      <w:rFonts w:hint="eastAsia" w:ascii="Times New Roman" w:hAnsi="Times New Roman" w:cs="Times New Roman"/>
                      <w:color w:val="auto"/>
                      <w:sz w:val="18"/>
                      <w:szCs w:val="18"/>
                      <w:lang w:eastAsia="zh-CN"/>
                    </w:rPr>
                    <w:t>袋装</w:t>
                  </w:r>
                </w:p>
              </w:tc>
              <w:tc>
                <w:tcPr>
                  <w:tcW w:w="764" w:type="pct"/>
                  <w:vAlign w:val="center"/>
                </w:tcPr>
                <w:p w14:paraId="70A93B2D">
                  <w:pPr>
                    <w:adjustRightInd w:val="0"/>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300t</w:t>
                  </w:r>
                </w:p>
              </w:tc>
              <w:tc>
                <w:tcPr>
                  <w:tcW w:w="718" w:type="pct"/>
                  <w:vAlign w:val="center"/>
                </w:tcPr>
                <w:p w14:paraId="00999A82">
                  <w:pPr>
                    <w:adjustRightInd w:val="0"/>
                    <w:snapToGrid w:val="0"/>
                    <w:jc w:val="center"/>
                    <w:rPr>
                      <w:rFonts w:hint="default" w:ascii="Times New Roman" w:hAnsi="Times New Roman" w:cs="Times New Roman"/>
                      <w:color w:val="auto"/>
                      <w:sz w:val="18"/>
                      <w:szCs w:val="18"/>
                      <w:lang w:val="en-US" w:eastAsia="zh-CN"/>
                    </w:rPr>
                  </w:pPr>
                  <w:r>
                    <w:rPr>
                      <w:rFonts w:hint="eastAsia" w:cs="Times New Roman"/>
                      <w:color w:val="auto"/>
                      <w:sz w:val="18"/>
                      <w:szCs w:val="18"/>
                      <w:lang w:val="en-US" w:eastAsia="zh-CN"/>
                    </w:rPr>
                    <w:t>来源于启东天楹环保能源有限公司</w:t>
                  </w:r>
                </w:p>
              </w:tc>
            </w:tr>
            <w:tr w14:paraId="4AFCAD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9" w:type="pct"/>
                  <w:vAlign w:val="center"/>
                </w:tcPr>
                <w:p w14:paraId="5BBF6359">
                  <w:pPr>
                    <w:adjustRightInd w:val="0"/>
                    <w:snapToGrid w:val="0"/>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2</w:t>
                  </w:r>
                </w:p>
              </w:tc>
              <w:tc>
                <w:tcPr>
                  <w:tcW w:w="721" w:type="pct"/>
                  <w:vAlign w:val="center"/>
                </w:tcPr>
                <w:p w14:paraId="0A767191">
                  <w:pPr>
                    <w:adjustRightInd w:val="0"/>
                    <w:snapToGrid w:val="0"/>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eastAsia="zh-CN"/>
                    </w:rPr>
                    <w:t>机油</w:t>
                  </w:r>
                </w:p>
              </w:tc>
              <w:tc>
                <w:tcPr>
                  <w:tcW w:w="732" w:type="pct"/>
                  <w:vAlign w:val="center"/>
                </w:tcPr>
                <w:p w14:paraId="17A9AFF1">
                  <w:pPr>
                    <w:adjustRightInd w:val="0"/>
                    <w:snapToGrid w:val="0"/>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w:t>
                  </w:r>
                </w:p>
              </w:tc>
              <w:tc>
                <w:tcPr>
                  <w:tcW w:w="683" w:type="pct"/>
                  <w:vAlign w:val="center"/>
                </w:tcPr>
                <w:p w14:paraId="0E1B09D6">
                  <w:pPr>
                    <w:adjustRightInd w:val="0"/>
                    <w:snapToGrid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1.5t</w:t>
                  </w:r>
                </w:p>
              </w:tc>
              <w:tc>
                <w:tcPr>
                  <w:tcW w:w="899" w:type="pct"/>
                  <w:vAlign w:val="center"/>
                </w:tcPr>
                <w:p w14:paraId="692AECC7">
                  <w:pPr>
                    <w:adjustRightInd w:val="0"/>
                    <w:snapToGrid w:val="0"/>
                    <w:jc w:val="center"/>
                    <w:rPr>
                      <w:rFonts w:hint="default" w:ascii="Times New Roman" w:hAnsi="Times New Roman" w:cs="Times New Roman"/>
                      <w:color w:val="auto"/>
                      <w:sz w:val="18"/>
                      <w:szCs w:val="18"/>
                      <w:lang w:val="en-US"/>
                    </w:rPr>
                  </w:pPr>
                  <w:r>
                    <w:rPr>
                      <w:rFonts w:hint="eastAsia" w:ascii="Times New Roman" w:hAnsi="Times New Roman" w:cs="Times New Roman"/>
                      <w:color w:val="auto"/>
                      <w:sz w:val="18"/>
                      <w:szCs w:val="18"/>
                      <w:lang w:eastAsia="zh-CN"/>
                    </w:rPr>
                    <w:t>袋装</w:t>
                  </w:r>
                  <w:r>
                    <w:rPr>
                      <w:rFonts w:hint="eastAsia" w:cs="Times New Roman"/>
                      <w:color w:val="auto"/>
                      <w:sz w:val="18"/>
                      <w:szCs w:val="18"/>
                      <w:lang w:val="en-US" w:eastAsia="zh-CN"/>
                    </w:rPr>
                    <w:t>/25kg</w:t>
                  </w:r>
                </w:p>
              </w:tc>
              <w:tc>
                <w:tcPr>
                  <w:tcW w:w="764" w:type="pct"/>
                  <w:vAlign w:val="center"/>
                </w:tcPr>
                <w:p w14:paraId="1854E27F">
                  <w:pPr>
                    <w:adjustRightInd w:val="0"/>
                    <w:snapToGrid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1.5</w:t>
                  </w:r>
                  <w:r>
                    <w:rPr>
                      <w:rFonts w:hint="eastAsia" w:ascii="Times New Roman" w:hAnsi="Times New Roman" w:cs="Times New Roman"/>
                      <w:color w:val="auto"/>
                      <w:sz w:val="18"/>
                      <w:szCs w:val="18"/>
                      <w:lang w:val="en-US" w:eastAsia="zh-CN"/>
                    </w:rPr>
                    <w:t>t</w:t>
                  </w:r>
                </w:p>
              </w:tc>
              <w:tc>
                <w:tcPr>
                  <w:tcW w:w="718" w:type="pct"/>
                  <w:vAlign w:val="center"/>
                </w:tcPr>
                <w:p w14:paraId="4C9A33FD">
                  <w:pPr>
                    <w:adjustRightInd w:val="0"/>
                    <w:snapToGrid w:val="0"/>
                    <w:jc w:val="center"/>
                    <w:rPr>
                      <w:rFonts w:hint="eastAsia" w:ascii="Times New Roman" w:hAnsi="Times New Roman" w:cs="Times New Roman"/>
                      <w:color w:val="auto"/>
                      <w:sz w:val="18"/>
                      <w:szCs w:val="18"/>
                      <w:lang w:val="en-US" w:eastAsia="zh-CN"/>
                    </w:rPr>
                  </w:pPr>
                  <w:r>
                    <w:rPr>
                      <w:rFonts w:hint="eastAsia" w:cs="Times New Roman"/>
                      <w:color w:val="auto"/>
                      <w:sz w:val="18"/>
                      <w:szCs w:val="18"/>
                      <w:lang w:val="en-US" w:eastAsia="zh-CN"/>
                    </w:rPr>
                    <w:t>/</w:t>
                  </w:r>
                </w:p>
              </w:tc>
            </w:tr>
          </w:tbl>
          <w:p w14:paraId="5D4CEED5">
            <w:pPr>
              <w:adjustRightInd w:val="0"/>
              <w:snapToGrid w:val="0"/>
              <w:spacing w:line="500" w:lineRule="exact"/>
              <w:ind w:firstLine="420" w:firstLineChars="200"/>
              <w:rPr>
                <w:rFonts w:hint="eastAsia"/>
                <w:b w:val="0"/>
                <w:bCs/>
                <w:color w:val="auto"/>
                <w:szCs w:val="21"/>
                <w:lang w:val="en-US" w:eastAsia="zh-CN"/>
              </w:rPr>
            </w:pPr>
            <w:r>
              <w:rPr>
                <w:rFonts w:hint="eastAsia"/>
                <w:b w:val="0"/>
                <w:bCs/>
                <w:color w:val="auto"/>
                <w:szCs w:val="21"/>
                <w:lang w:val="en-US" w:eastAsia="zh-CN"/>
              </w:rPr>
              <w:t>炉渣理化特性：焚烧炉渣呈黑褐色，形状通常是不规则的，带棱角的蜂窝状颗粒，是由熔渣、铁和其他金属、陶瓷类碎片，玻璃和其他一些不可燃烧物质，以及未燃烧的有机物组成的不均匀混合物，炉渣热灼减率</w:t>
            </w:r>
            <w:r>
              <w:rPr>
                <w:rFonts w:hint="default" w:ascii="Arial" w:hAnsi="Arial" w:cs="Arial"/>
                <w:b w:val="0"/>
                <w:bCs/>
                <w:color w:val="auto"/>
                <w:szCs w:val="21"/>
                <w:lang w:val="en-US" w:eastAsia="zh-CN"/>
              </w:rPr>
              <w:t>≤</w:t>
            </w:r>
            <w:r>
              <w:rPr>
                <w:rFonts w:hint="eastAsia"/>
                <w:b w:val="0"/>
                <w:bCs/>
                <w:color w:val="auto"/>
                <w:szCs w:val="21"/>
                <w:lang w:val="en-US" w:eastAsia="zh-CN"/>
              </w:rPr>
              <w:t>3%，含水率一般在21%左右，密度为1250kg/m</w:t>
            </w:r>
            <w:r>
              <w:rPr>
                <w:rFonts w:hint="eastAsia"/>
                <w:b w:val="0"/>
                <w:bCs/>
                <w:color w:val="auto"/>
                <w:szCs w:val="21"/>
                <w:vertAlign w:val="superscript"/>
                <w:lang w:val="en-US" w:eastAsia="zh-CN"/>
              </w:rPr>
              <w:t>3</w:t>
            </w:r>
            <w:r>
              <w:rPr>
                <w:rFonts w:hint="eastAsia"/>
                <w:b w:val="0"/>
                <w:bCs/>
                <w:color w:val="auto"/>
                <w:szCs w:val="21"/>
                <w:lang w:val="en-US" w:eastAsia="zh-CN"/>
              </w:rPr>
              <w:t>左右，吸水率为9%左右。</w:t>
            </w:r>
          </w:p>
          <w:p w14:paraId="1DA71FF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b w:val="0"/>
                <w:bCs/>
                <w:lang w:val="en-US" w:eastAsia="zh-CN"/>
              </w:rPr>
            </w:pPr>
            <w:r>
              <w:rPr>
                <w:rFonts w:hint="eastAsia"/>
                <w:b w:val="0"/>
                <w:bCs/>
                <w:lang w:val="en-US" w:eastAsia="zh-CN"/>
              </w:rPr>
              <w:t>炉渣化学组成：根据相关资料表明，炉渣的化学成分与用于水泥混凝土工业中的硅质混合材料十分相似，焚烧炉渣的化学成分中，SiO</w:t>
            </w:r>
            <w:r>
              <w:rPr>
                <w:rFonts w:hint="eastAsia"/>
                <w:b w:val="0"/>
                <w:bCs/>
                <w:vertAlign w:val="subscript"/>
                <w:lang w:val="en-US" w:eastAsia="zh-CN"/>
              </w:rPr>
              <w:t>2</w:t>
            </w:r>
            <w:r>
              <w:rPr>
                <w:rFonts w:hint="eastAsia"/>
                <w:b w:val="0"/>
                <w:bCs/>
                <w:lang w:val="en-US" w:eastAsia="zh-CN"/>
              </w:rPr>
              <w:t>含量最高，约为45%，其次为CaO和Al</w:t>
            </w:r>
            <w:r>
              <w:rPr>
                <w:rFonts w:hint="eastAsia"/>
                <w:b w:val="0"/>
                <w:bCs/>
                <w:vertAlign w:val="subscript"/>
                <w:lang w:val="en-US" w:eastAsia="zh-CN"/>
              </w:rPr>
              <w:t>2</w:t>
            </w:r>
            <w:r>
              <w:rPr>
                <w:rFonts w:hint="eastAsia"/>
                <w:b w:val="0"/>
                <w:bCs/>
                <w:lang w:val="en-US" w:eastAsia="zh-CN"/>
              </w:rPr>
              <w:t>O</w:t>
            </w:r>
            <w:r>
              <w:rPr>
                <w:rFonts w:hint="eastAsia"/>
                <w:b w:val="0"/>
                <w:bCs/>
                <w:vertAlign w:val="subscript"/>
                <w:lang w:val="en-US" w:eastAsia="zh-CN"/>
              </w:rPr>
              <w:t>3</w:t>
            </w:r>
            <w:r>
              <w:rPr>
                <w:rFonts w:hint="eastAsia"/>
                <w:b w:val="0"/>
                <w:bCs/>
                <w:lang w:val="en-US" w:eastAsia="zh-CN"/>
              </w:rPr>
              <w:t>，分别为19%和10%，碱含量为5.5%，其他化学成分的含量相对较少。</w:t>
            </w:r>
          </w:p>
          <w:p w14:paraId="4F108C65">
            <w:pPr>
              <w:adjustRightInd w:val="0"/>
              <w:snapToGrid w:val="0"/>
              <w:spacing w:line="500" w:lineRule="exact"/>
              <w:ind w:firstLine="420" w:firstLineChars="200"/>
              <w:rPr>
                <w:rFonts w:hint="eastAsia"/>
                <w:b w:val="0"/>
                <w:bCs/>
                <w:color w:val="auto"/>
                <w:szCs w:val="21"/>
                <w:lang w:val="en-US" w:eastAsia="zh-CN"/>
              </w:rPr>
            </w:pPr>
            <w:r>
              <w:rPr>
                <w:rFonts w:hint="eastAsia"/>
                <w:b w:val="0"/>
                <w:bCs/>
                <w:color w:val="auto"/>
                <w:szCs w:val="21"/>
                <w:lang w:val="en-US" w:eastAsia="zh-CN"/>
              </w:rPr>
              <w:t>根据泰科检测科技江苏有限公司对启东天楹环保能源有限公司固体废物（炉渣）检测报告结果如下：</w:t>
            </w:r>
          </w:p>
          <w:p w14:paraId="0F5671E6">
            <w:pPr>
              <w:adjustRightInd w:val="0"/>
              <w:snapToGrid w:val="0"/>
              <w:spacing w:line="500" w:lineRule="exact"/>
              <w:jc w:val="center"/>
              <w:rPr>
                <w:rFonts w:hint="default"/>
                <w:b/>
                <w:bCs w:val="0"/>
                <w:color w:val="auto"/>
                <w:szCs w:val="21"/>
                <w:lang w:val="en-US" w:eastAsia="zh-CN"/>
              </w:rPr>
            </w:pPr>
            <w:r>
              <w:rPr>
                <w:rFonts w:hint="eastAsia"/>
                <w:b/>
                <w:bCs w:val="0"/>
                <w:color w:val="auto"/>
                <w:szCs w:val="21"/>
                <w:lang w:val="en-US" w:eastAsia="zh-CN"/>
              </w:rPr>
              <w:t>表2-3 炉渣鉴别毒性检测结果 mg/L</w:t>
            </w:r>
          </w:p>
          <w:tbl>
            <w:tblPr>
              <w:tblStyle w:val="19"/>
              <w:tblW w:w="819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8"/>
              <w:gridCol w:w="840"/>
              <w:gridCol w:w="2991"/>
              <w:gridCol w:w="2255"/>
              <w:gridCol w:w="1275"/>
            </w:tblGrid>
            <w:tr w14:paraId="0E53A3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678" w:type="dxa"/>
                  <w:gridSpan w:val="2"/>
                  <w:noWrap w:val="0"/>
                  <w:vAlign w:val="center"/>
                </w:tcPr>
                <w:p w14:paraId="333D2BF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b/>
                      <w:bCs/>
                      <w:color w:val="auto"/>
                      <w:kern w:val="0"/>
                      <w:sz w:val="18"/>
                      <w:szCs w:val="18"/>
                      <w:lang w:val="en-US" w:eastAsia="zh-CN"/>
                    </w:rPr>
                  </w:pPr>
                  <w:r>
                    <w:rPr>
                      <w:rFonts w:hint="eastAsia"/>
                      <w:b/>
                      <w:bCs/>
                      <w:color w:val="auto"/>
                      <w:kern w:val="0"/>
                      <w:sz w:val="18"/>
                      <w:szCs w:val="18"/>
                      <w:lang w:val="en-US" w:eastAsia="zh-CN"/>
                    </w:rPr>
                    <w:t>检测项目</w:t>
                  </w:r>
                </w:p>
              </w:tc>
              <w:tc>
                <w:tcPr>
                  <w:tcW w:w="2991" w:type="dxa"/>
                  <w:noWrap w:val="0"/>
                  <w:vAlign w:val="center"/>
                </w:tcPr>
                <w:p w14:paraId="5B032C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bCs/>
                      <w:color w:val="auto"/>
                      <w:kern w:val="0"/>
                      <w:sz w:val="18"/>
                      <w:szCs w:val="18"/>
                      <w:lang w:eastAsia="zh-CN"/>
                    </w:rPr>
                  </w:pPr>
                  <w:r>
                    <w:rPr>
                      <w:rFonts w:hint="eastAsia"/>
                      <w:b/>
                      <w:bCs/>
                      <w:color w:val="auto"/>
                      <w:kern w:val="0"/>
                      <w:sz w:val="18"/>
                      <w:szCs w:val="18"/>
                      <w:lang w:eastAsia="zh-CN"/>
                    </w:rPr>
                    <w:t>检测结果</w:t>
                  </w:r>
                </w:p>
              </w:tc>
              <w:tc>
                <w:tcPr>
                  <w:tcW w:w="2255" w:type="dxa"/>
                  <w:noWrap w:val="0"/>
                  <w:vAlign w:val="center"/>
                </w:tcPr>
                <w:p w14:paraId="5FE95F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bCs/>
                      <w:color w:val="auto"/>
                      <w:kern w:val="0"/>
                      <w:sz w:val="18"/>
                      <w:szCs w:val="18"/>
                      <w:lang w:eastAsia="zh-CN"/>
                    </w:rPr>
                  </w:pPr>
                  <w:r>
                    <w:rPr>
                      <w:rFonts w:hint="eastAsia"/>
                      <w:b/>
                      <w:bCs/>
                      <w:color w:val="auto"/>
                      <w:kern w:val="0"/>
                      <w:sz w:val="18"/>
                      <w:szCs w:val="18"/>
                      <w:lang w:eastAsia="zh-CN"/>
                    </w:rPr>
                    <w:t>执行标准及限值（</w:t>
                  </w:r>
                  <w:r>
                    <w:rPr>
                      <w:rFonts w:hint="eastAsia"/>
                      <w:b/>
                      <w:bCs/>
                      <w:color w:val="auto"/>
                      <w:kern w:val="0"/>
                      <w:sz w:val="18"/>
                      <w:szCs w:val="18"/>
                      <w:lang w:val="en-US" w:eastAsia="zh-CN"/>
                    </w:rPr>
                    <w:t>GB5085-2007</w:t>
                  </w:r>
                  <w:r>
                    <w:rPr>
                      <w:rFonts w:hint="eastAsia"/>
                      <w:b/>
                      <w:bCs/>
                      <w:color w:val="auto"/>
                      <w:kern w:val="0"/>
                      <w:sz w:val="18"/>
                      <w:szCs w:val="18"/>
                      <w:lang w:eastAsia="zh-CN"/>
                    </w:rPr>
                    <w:t>）</w:t>
                  </w:r>
                </w:p>
              </w:tc>
              <w:tc>
                <w:tcPr>
                  <w:tcW w:w="1275" w:type="dxa"/>
                  <w:noWrap w:val="0"/>
                  <w:vAlign w:val="center"/>
                </w:tcPr>
                <w:p w14:paraId="7CDBC0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kern w:val="0"/>
                      <w:sz w:val="18"/>
                      <w:szCs w:val="18"/>
                      <w:lang w:eastAsia="zh-CN"/>
                    </w:rPr>
                  </w:pPr>
                  <w:r>
                    <w:rPr>
                      <w:rFonts w:hint="eastAsia"/>
                      <w:b/>
                      <w:bCs/>
                      <w:color w:val="auto"/>
                      <w:kern w:val="0"/>
                      <w:sz w:val="18"/>
                      <w:szCs w:val="18"/>
                      <w:lang w:eastAsia="zh-CN"/>
                    </w:rPr>
                    <w:t>单位</w:t>
                  </w:r>
                </w:p>
              </w:tc>
            </w:tr>
            <w:tr w14:paraId="49E083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678" w:type="dxa"/>
                  <w:gridSpan w:val="2"/>
                  <w:noWrap w:val="0"/>
                  <w:vAlign w:val="center"/>
                </w:tcPr>
                <w:p w14:paraId="41244F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kern w:val="0"/>
                      <w:sz w:val="18"/>
                      <w:szCs w:val="18"/>
                      <w:lang w:val="en-US" w:eastAsia="zh-CN"/>
                    </w:rPr>
                  </w:pPr>
                  <w:r>
                    <w:rPr>
                      <w:rFonts w:hint="eastAsia"/>
                      <w:color w:val="auto"/>
                      <w:kern w:val="0"/>
                      <w:sz w:val="18"/>
                      <w:szCs w:val="18"/>
                      <w:lang w:val="en-US" w:eastAsia="zh-CN"/>
                    </w:rPr>
                    <w:t>汞</w:t>
                  </w:r>
                </w:p>
              </w:tc>
              <w:tc>
                <w:tcPr>
                  <w:tcW w:w="2991" w:type="dxa"/>
                  <w:noWrap w:val="0"/>
                  <w:vAlign w:val="center"/>
                </w:tcPr>
                <w:p w14:paraId="621399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7.07</w:t>
                  </w:r>
                  <w:r>
                    <w:rPr>
                      <w:rFonts w:hint="default" w:ascii="Arial" w:hAnsi="Arial" w:cs="Arial"/>
                      <w:color w:val="auto"/>
                      <w:kern w:val="0"/>
                      <w:sz w:val="18"/>
                      <w:szCs w:val="18"/>
                      <w:lang w:val="en-US" w:eastAsia="zh-CN"/>
                    </w:rPr>
                    <w:t>×</w:t>
                  </w:r>
                  <w:r>
                    <w:rPr>
                      <w:rFonts w:hint="eastAsia"/>
                      <w:color w:val="auto"/>
                      <w:kern w:val="0"/>
                      <w:sz w:val="18"/>
                      <w:szCs w:val="18"/>
                      <w:lang w:val="en-US" w:eastAsia="zh-CN"/>
                    </w:rPr>
                    <w:t>10</w:t>
                  </w:r>
                  <w:r>
                    <w:rPr>
                      <w:rFonts w:hint="eastAsia"/>
                      <w:color w:val="auto"/>
                      <w:kern w:val="0"/>
                      <w:sz w:val="18"/>
                      <w:szCs w:val="18"/>
                      <w:vertAlign w:val="superscript"/>
                      <w:lang w:val="en-US" w:eastAsia="zh-CN"/>
                    </w:rPr>
                    <w:t>-4</w:t>
                  </w:r>
                </w:p>
              </w:tc>
              <w:tc>
                <w:tcPr>
                  <w:tcW w:w="2255" w:type="dxa"/>
                  <w:noWrap w:val="0"/>
                  <w:vAlign w:val="center"/>
                </w:tcPr>
                <w:p w14:paraId="735BD8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0.1</w:t>
                  </w:r>
                </w:p>
              </w:tc>
              <w:tc>
                <w:tcPr>
                  <w:tcW w:w="1275" w:type="dxa"/>
                  <w:noWrap w:val="0"/>
                  <w:vAlign w:val="center"/>
                </w:tcPr>
                <w:p w14:paraId="0020BE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FF"/>
                      <w:kern w:val="0"/>
                      <w:sz w:val="18"/>
                      <w:szCs w:val="18"/>
                      <w:lang w:val="en-US" w:eastAsia="zh-CN"/>
                    </w:rPr>
                  </w:pPr>
                  <w:r>
                    <w:rPr>
                      <w:rFonts w:hint="eastAsia"/>
                      <w:color w:val="auto"/>
                      <w:kern w:val="0"/>
                      <w:sz w:val="18"/>
                      <w:szCs w:val="18"/>
                      <w:lang w:val="en-US" w:eastAsia="zh-CN"/>
                    </w:rPr>
                    <w:t>mg/L</w:t>
                  </w:r>
                </w:p>
              </w:tc>
            </w:tr>
            <w:tr w14:paraId="0C4E52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678" w:type="dxa"/>
                  <w:gridSpan w:val="2"/>
                  <w:noWrap w:val="0"/>
                  <w:vAlign w:val="center"/>
                </w:tcPr>
                <w:p w14:paraId="4EAB76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砷</w:t>
                  </w:r>
                </w:p>
              </w:tc>
              <w:tc>
                <w:tcPr>
                  <w:tcW w:w="2991" w:type="dxa"/>
                  <w:noWrap w:val="0"/>
                  <w:vAlign w:val="center"/>
                </w:tcPr>
                <w:p w14:paraId="45386C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4.04</w:t>
                  </w:r>
                  <w:r>
                    <w:rPr>
                      <w:rFonts w:hint="default" w:ascii="Arial" w:hAnsi="Arial" w:cs="Arial"/>
                      <w:color w:val="auto"/>
                      <w:kern w:val="0"/>
                      <w:sz w:val="18"/>
                      <w:szCs w:val="18"/>
                      <w:lang w:val="en-US" w:eastAsia="zh-CN"/>
                    </w:rPr>
                    <w:t>×</w:t>
                  </w:r>
                  <w:r>
                    <w:rPr>
                      <w:rFonts w:hint="eastAsia"/>
                      <w:color w:val="auto"/>
                      <w:kern w:val="0"/>
                      <w:sz w:val="18"/>
                      <w:szCs w:val="18"/>
                      <w:lang w:val="en-US" w:eastAsia="zh-CN"/>
                    </w:rPr>
                    <w:t>10</w:t>
                  </w:r>
                  <w:r>
                    <w:rPr>
                      <w:rFonts w:hint="eastAsia"/>
                      <w:color w:val="auto"/>
                      <w:kern w:val="0"/>
                      <w:sz w:val="18"/>
                      <w:szCs w:val="18"/>
                      <w:vertAlign w:val="superscript"/>
                      <w:lang w:val="en-US" w:eastAsia="zh-CN"/>
                    </w:rPr>
                    <w:t>-3</w:t>
                  </w:r>
                </w:p>
              </w:tc>
              <w:tc>
                <w:tcPr>
                  <w:tcW w:w="2255" w:type="dxa"/>
                  <w:noWrap w:val="0"/>
                  <w:vAlign w:val="center"/>
                </w:tcPr>
                <w:p w14:paraId="548FC6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5</w:t>
                  </w:r>
                </w:p>
              </w:tc>
              <w:tc>
                <w:tcPr>
                  <w:tcW w:w="1275" w:type="dxa"/>
                  <w:noWrap w:val="0"/>
                  <w:vAlign w:val="center"/>
                </w:tcPr>
                <w:p w14:paraId="62DB95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FF"/>
                      <w:kern w:val="0"/>
                      <w:sz w:val="18"/>
                      <w:szCs w:val="18"/>
                      <w:lang w:val="en-US" w:eastAsia="zh-CN"/>
                    </w:rPr>
                  </w:pPr>
                  <w:r>
                    <w:rPr>
                      <w:rFonts w:hint="eastAsia"/>
                      <w:color w:val="auto"/>
                      <w:kern w:val="0"/>
                      <w:sz w:val="18"/>
                      <w:szCs w:val="18"/>
                      <w:lang w:val="en-US" w:eastAsia="zh-CN"/>
                    </w:rPr>
                    <w:t>mg/L</w:t>
                  </w:r>
                </w:p>
              </w:tc>
            </w:tr>
            <w:tr w14:paraId="1499A2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678" w:type="dxa"/>
                  <w:gridSpan w:val="2"/>
                  <w:noWrap w:val="0"/>
                  <w:vAlign w:val="center"/>
                </w:tcPr>
                <w:p w14:paraId="30BA2F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硒</w:t>
                  </w:r>
                </w:p>
              </w:tc>
              <w:tc>
                <w:tcPr>
                  <w:tcW w:w="2991" w:type="dxa"/>
                  <w:noWrap w:val="0"/>
                  <w:vAlign w:val="center"/>
                </w:tcPr>
                <w:p w14:paraId="719EC0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3.44</w:t>
                  </w:r>
                  <w:r>
                    <w:rPr>
                      <w:rFonts w:hint="default" w:ascii="Arial" w:hAnsi="Arial" w:cs="Arial"/>
                      <w:color w:val="auto"/>
                      <w:kern w:val="0"/>
                      <w:sz w:val="18"/>
                      <w:szCs w:val="18"/>
                      <w:lang w:val="en-US" w:eastAsia="zh-CN"/>
                    </w:rPr>
                    <w:t>×</w:t>
                  </w:r>
                  <w:r>
                    <w:rPr>
                      <w:rFonts w:hint="eastAsia"/>
                      <w:color w:val="auto"/>
                      <w:kern w:val="0"/>
                      <w:sz w:val="18"/>
                      <w:szCs w:val="18"/>
                      <w:lang w:val="en-US" w:eastAsia="zh-CN"/>
                    </w:rPr>
                    <w:t>10</w:t>
                  </w:r>
                  <w:r>
                    <w:rPr>
                      <w:rFonts w:hint="eastAsia"/>
                      <w:color w:val="auto"/>
                      <w:kern w:val="0"/>
                      <w:sz w:val="18"/>
                      <w:szCs w:val="18"/>
                      <w:vertAlign w:val="superscript"/>
                      <w:lang w:val="en-US" w:eastAsia="zh-CN"/>
                    </w:rPr>
                    <w:t>-3</w:t>
                  </w:r>
                </w:p>
              </w:tc>
              <w:tc>
                <w:tcPr>
                  <w:tcW w:w="2255" w:type="dxa"/>
                  <w:noWrap w:val="0"/>
                  <w:vAlign w:val="center"/>
                </w:tcPr>
                <w:p w14:paraId="30334C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1</w:t>
                  </w:r>
                </w:p>
              </w:tc>
              <w:tc>
                <w:tcPr>
                  <w:tcW w:w="1275" w:type="dxa"/>
                  <w:noWrap w:val="0"/>
                  <w:vAlign w:val="center"/>
                </w:tcPr>
                <w:p w14:paraId="5F1574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FF"/>
                      <w:kern w:val="0"/>
                      <w:sz w:val="18"/>
                      <w:szCs w:val="18"/>
                      <w:lang w:val="en-US" w:eastAsia="zh-CN"/>
                    </w:rPr>
                  </w:pPr>
                  <w:r>
                    <w:rPr>
                      <w:rFonts w:hint="eastAsia"/>
                      <w:color w:val="auto"/>
                      <w:kern w:val="0"/>
                      <w:sz w:val="18"/>
                      <w:szCs w:val="18"/>
                      <w:lang w:val="en-US" w:eastAsia="zh-CN"/>
                    </w:rPr>
                    <w:t>mg/L</w:t>
                  </w:r>
                </w:p>
              </w:tc>
            </w:tr>
            <w:tr w14:paraId="5C528E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78" w:type="dxa"/>
                  <w:gridSpan w:val="2"/>
                  <w:noWrap w:val="0"/>
                  <w:vAlign w:val="center"/>
                </w:tcPr>
                <w:p w14:paraId="0022A9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kern w:val="0"/>
                      <w:sz w:val="18"/>
                      <w:szCs w:val="18"/>
                      <w:lang w:val="en-US" w:eastAsia="zh-CN"/>
                    </w:rPr>
                  </w:pPr>
                  <w:r>
                    <w:rPr>
                      <w:rFonts w:hint="eastAsia"/>
                      <w:color w:val="auto"/>
                      <w:kern w:val="0"/>
                      <w:sz w:val="18"/>
                      <w:szCs w:val="18"/>
                      <w:lang w:val="en-US" w:eastAsia="zh-CN"/>
                    </w:rPr>
                    <w:t>银</w:t>
                  </w:r>
                </w:p>
              </w:tc>
              <w:tc>
                <w:tcPr>
                  <w:tcW w:w="2991" w:type="dxa"/>
                  <w:noWrap w:val="0"/>
                  <w:vAlign w:val="center"/>
                </w:tcPr>
                <w:p w14:paraId="61E951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ND</w:t>
                  </w:r>
                </w:p>
              </w:tc>
              <w:tc>
                <w:tcPr>
                  <w:tcW w:w="2255" w:type="dxa"/>
                  <w:noWrap w:val="0"/>
                  <w:vAlign w:val="center"/>
                </w:tcPr>
                <w:p w14:paraId="376F8C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w:t>
                  </w:r>
                </w:p>
              </w:tc>
              <w:tc>
                <w:tcPr>
                  <w:tcW w:w="1275" w:type="dxa"/>
                  <w:noWrap w:val="0"/>
                  <w:vAlign w:val="center"/>
                </w:tcPr>
                <w:p w14:paraId="0F0AA5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FF"/>
                      <w:kern w:val="0"/>
                      <w:sz w:val="18"/>
                      <w:szCs w:val="18"/>
                      <w:lang w:val="en-US" w:eastAsia="zh-CN"/>
                    </w:rPr>
                  </w:pPr>
                  <w:r>
                    <w:rPr>
                      <w:rFonts w:hint="eastAsia"/>
                      <w:color w:val="auto"/>
                      <w:kern w:val="0"/>
                      <w:sz w:val="18"/>
                      <w:szCs w:val="18"/>
                      <w:lang w:val="en-US" w:eastAsia="zh-CN"/>
                    </w:rPr>
                    <w:t>mg/L</w:t>
                  </w:r>
                </w:p>
              </w:tc>
            </w:tr>
            <w:tr w14:paraId="4DE24F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78" w:type="dxa"/>
                  <w:gridSpan w:val="2"/>
                  <w:noWrap w:val="0"/>
                  <w:vAlign w:val="center"/>
                </w:tcPr>
                <w:p w14:paraId="016830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kern w:val="0"/>
                      <w:sz w:val="18"/>
                      <w:szCs w:val="18"/>
                      <w:lang w:val="en-US" w:eastAsia="zh-CN"/>
                    </w:rPr>
                  </w:pPr>
                  <w:r>
                    <w:rPr>
                      <w:rFonts w:hint="eastAsia"/>
                      <w:color w:val="auto"/>
                      <w:kern w:val="0"/>
                      <w:sz w:val="18"/>
                      <w:szCs w:val="18"/>
                      <w:lang w:val="en-US" w:eastAsia="zh-CN"/>
                    </w:rPr>
                    <w:t>钡</w:t>
                  </w:r>
                </w:p>
              </w:tc>
              <w:tc>
                <w:tcPr>
                  <w:tcW w:w="2991" w:type="dxa"/>
                  <w:noWrap w:val="0"/>
                  <w:vAlign w:val="center"/>
                </w:tcPr>
                <w:p w14:paraId="751C2E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1.53</w:t>
                  </w:r>
                </w:p>
              </w:tc>
              <w:tc>
                <w:tcPr>
                  <w:tcW w:w="2255" w:type="dxa"/>
                  <w:noWrap w:val="0"/>
                  <w:vAlign w:val="center"/>
                </w:tcPr>
                <w:p w14:paraId="2EBA5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100</w:t>
                  </w:r>
                </w:p>
              </w:tc>
              <w:tc>
                <w:tcPr>
                  <w:tcW w:w="1275" w:type="dxa"/>
                  <w:noWrap w:val="0"/>
                  <w:vAlign w:val="center"/>
                </w:tcPr>
                <w:p w14:paraId="472910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FF"/>
                      <w:kern w:val="0"/>
                      <w:sz w:val="18"/>
                      <w:szCs w:val="18"/>
                      <w:lang w:val="en-US" w:eastAsia="zh-CN"/>
                    </w:rPr>
                  </w:pPr>
                  <w:r>
                    <w:rPr>
                      <w:rFonts w:hint="eastAsia"/>
                      <w:color w:val="auto"/>
                      <w:kern w:val="0"/>
                      <w:sz w:val="18"/>
                      <w:szCs w:val="18"/>
                      <w:lang w:val="en-US" w:eastAsia="zh-CN"/>
                    </w:rPr>
                    <w:t>mg/L</w:t>
                  </w:r>
                </w:p>
              </w:tc>
            </w:tr>
            <w:tr w14:paraId="0D6BDD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78" w:type="dxa"/>
                  <w:gridSpan w:val="2"/>
                  <w:noWrap w:val="0"/>
                  <w:vAlign w:val="center"/>
                </w:tcPr>
                <w:p w14:paraId="6B210A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kern w:val="0"/>
                      <w:sz w:val="18"/>
                      <w:szCs w:val="18"/>
                      <w:lang w:val="en-US" w:eastAsia="zh-CN"/>
                    </w:rPr>
                  </w:pPr>
                  <w:r>
                    <w:rPr>
                      <w:rFonts w:hint="eastAsia"/>
                      <w:color w:val="auto"/>
                      <w:kern w:val="0"/>
                      <w:sz w:val="18"/>
                      <w:szCs w:val="18"/>
                      <w:lang w:val="en-US" w:eastAsia="zh-CN"/>
                    </w:rPr>
                    <w:t>铍</w:t>
                  </w:r>
                </w:p>
              </w:tc>
              <w:tc>
                <w:tcPr>
                  <w:tcW w:w="2991" w:type="dxa"/>
                  <w:noWrap w:val="0"/>
                  <w:vAlign w:val="center"/>
                </w:tcPr>
                <w:p w14:paraId="1F1F2B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ND</w:t>
                  </w:r>
                </w:p>
              </w:tc>
              <w:tc>
                <w:tcPr>
                  <w:tcW w:w="2255" w:type="dxa"/>
                  <w:noWrap w:val="0"/>
                  <w:vAlign w:val="center"/>
                </w:tcPr>
                <w:p w14:paraId="1A6714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0.02</w:t>
                  </w:r>
                </w:p>
              </w:tc>
              <w:tc>
                <w:tcPr>
                  <w:tcW w:w="1275" w:type="dxa"/>
                  <w:noWrap w:val="0"/>
                  <w:vAlign w:val="center"/>
                </w:tcPr>
                <w:p w14:paraId="0B73D0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FF"/>
                      <w:kern w:val="0"/>
                      <w:sz w:val="18"/>
                      <w:szCs w:val="18"/>
                      <w:lang w:val="en-US" w:eastAsia="zh-CN"/>
                    </w:rPr>
                  </w:pPr>
                  <w:r>
                    <w:rPr>
                      <w:rFonts w:hint="eastAsia"/>
                      <w:color w:val="auto"/>
                      <w:kern w:val="0"/>
                      <w:sz w:val="18"/>
                      <w:szCs w:val="18"/>
                      <w:lang w:val="en-US" w:eastAsia="zh-CN"/>
                    </w:rPr>
                    <w:t>mg/L</w:t>
                  </w:r>
                </w:p>
              </w:tc>
            </w:tr>
            <w:tr w14:paraId="20ABF7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78" w:type="dxa"/>
                  <w:gridSpan w:val="2"/>
                  <w:noWrap w:val="0"/>
                  <w:vAlign w:val="center"/>
                </w:tcPr>
                <w:p w14:paraId="6A4B35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kern w:val="0"/>
                      <w:sz w:val="18"/>
                      <w:szCs w:val="18"/>
                      <w:lang w:val="en-US" w:eastAsia="zh-CN"/>
                    </w:rPr>
                  </w:pPr>
                  <w:r>
                    <w:rPr>
                      <w:rFonts w:hint="eastAsia"/>
                      <w:color w:val="auto"/>
                      <w:kern w:val="0"/>
                      <w:sz w:val="18"/>
                      <w:szCs w:val="18"/>
                      <w:lang w:val="en-US" w:eastAsia="zh-CN"/>
                    </w:rPr>
                    <w:t>镉</w:t>
                  </w:r>
                </w:p>
              </w:tc>
              <w:tc>
                <w:tcPr>
                  <w:tcW w:w="2991" w:type="dxa"/>
                  <w:noWrap w:val="0"/>
                  <w:vAlign w:val="center"/>
                </w:tcPr>
                <w:p w14:paraId="3DF57D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ND</w:t>
                  </w:r>
                </w:p>
              </w:tc>
              <w:tc>
                <w:tcPr>
                  <w:tcW w:w="2255" w:type="dxa"/>
                  <w:noWrap w:val="0"/>
                  <w:vAlign w:val="center"/>
                </w:tcPr>
                <w:p w14:paraId="399972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1</w:t>
                  </w:r>
                </w:p>
              </w:tc>
              <w:tc>
                <w:tcPr>
                  <w:tcW w:w="1275" w:type="dxa"/>
                  <w:noWrap w:val="0"/>
                  <w:vAlign w:val="center"/>
                </w:tcPr>
                <w:p w14:paraId="431323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FF"/>
                      <w:kern w:val="0"/>
                      <w:sz w:val="18"/>
                      <w:szCs w:val="18"/>
                      <w:lang w:val="en-US" w:eastAsia="zh-CN"/>
                    </w:rPr>
                  </w:pPr>
                  <w:r>
                    <w:rPr>
                      <w:rFonts w:hint="eastAsia"/>
                      <w:color w:val="auto"/>
                      <w:kern w:val="0"/>
                      <w:sz w:val="18"/>
                      <w:szCs w:val="18"/>
                      <w:lang w:val="en-US" w:eastAsia="zh-CN"/>
                    </w:rPr>
                    <w:t>mg/L</w:t>
                  </w:r>
                </w:p>
              </w:tc>
            </w:tr>
            <w:tr w14:paraId="63388E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78" w:type="dxa"/>
                  <w:gridSpan w:val="2"/>
                  <w:noWrap w:val="0"/>
                  <w:vAlign w:val="center"/>
                </w:tcPr>
                <w:p w14:paraId="6C5C2A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kern w:val="0"/>
                      <w:sz w:val="18"/>
                      <w:szCs w:val="18"/>
                      <w:lang w:val="en-US" w:eastAsia="zh-CN"/>
                    </w:rPr>
                  </w:pPr>
                  <w:r>
                    <w:rPr>
                      <w:rFonts w:hint="eastAsia"/>
                      <w:color w:val="auto"/>
                      <w:kern w:val="0"/>
                      <w:sz w:val="18"/>
                      <w:szCs w:val="18"/>
                      <w:lang w:val="en-US" w:eastAsia="zh-CN"/>
                    </w:rPr>
                    <w:t>铬</w:t>
                  </w:r>
                </w:p>
              </w:tc>
              <w:tc>
                <w:tcPr>
                  <w:tcW w:w="2991" w:type="dxa"/>
                  <w:noWrap w:val="0"/>
                  <w:vAlign w:val="center"/>
                </w:tcPr>
                <w:p w14:paraId="3A31E8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0.08</w:t>
                  </w:r>
                </w:p>
              </w:tc>
              <w:tc>
                <w:tcPr>
                  <w:tcW w:w="2255" w:type="dxa"/>
                  <w:noWrap w:val="0"/>
                  <w:vAlign w:val="center"/>
                </w:tcPr>
                <w:p w14:paraId="48AAAC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15</w:t>
                  </w:r>
                </w:p>
              </w:tc>
              <w:tc>
                <w:tcPr>
                  <w:tcW w:w="1275" w:type="dxa"/>
                  <w:noWrap w:val="0"/>
                  <w:vAlign w:val="center"/>
                </w:tcPr>
                <w:p w14:paraId="65145E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FF"/>
                      <w:kern w:val="0"/>
                      <w:sz w:val="18"/>
                      <w:szCs w:val="18"/>
                      <w:lang w:val="en-US" w:eastAsia="zh-CN"/>
                    </w:rPr>
                  </w:pPr>
                  <w:r>
                    <w:rPr>
                      <w:rFonts w:hint="eastAsia"/>
                      <w:color w:val="auto"/>
                      <w:kern w:val="0"/>
                      <w:sz w:val="18"/>
                      <w:szCs w:val="18"/>
                      <w:lang w:val="en-US" w:eastAsia="zh-CN"/>
                    </w:rPr>
                    <w:t>mg/L</w:t>
                  </w:r>
                </w:p>
              </w:tc>
            </w:tr>
            <w:tr w14:paraId="3FA784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78" w:type="dxa"/>
                  <w:gridSpan w:val="2"/>
                  <w:noWrap w:val="0"/>
                  <w:vAlign w:val="center"/>
                </w:tcPr>
                <w:p w14:paraId="56A46C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kern w:val="0"/>
                      <w:sz w:val="18"/>
                      <w:szCs w:val="18"/>
                      <w:lang w:val="en-US" w:eastAsia="zh-CN"/>
                    </w:rPr>
                  </w:pPr>
                  <w:r>
                    <w:rPr>
                      <w:rFonts w:hint="eastAsia"/>
                      <w:color w:val="auto"/>
                      <w:kern w:val="0"/>
                      <w:sz w:val="18"/>
                      <w:szCs w:val="18"/>
                      <w:lang w:val="en-US" w:eastAsia="zh-CN"/>
                    </w:rPr>
                    <w:t>铜</w:t>
                  </w:r>
                </w:p>
              </w:tc>
              <w:tc>
                <w:tcPr>
                  <w:tcW w:w="2991" w:type="dxa"/>
                  <w:noWrap w:val="0"/>
                  <w:vAlign w:val="center"/>
                </w:tcPr>
                <w:p w14:paraId="0F5060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ND</w:t>
                  </w:r>
                </w:p>
              </w:tc>
              <w:tc>
                <w:tcPr>
                  <w:tcW w:w="2255" w:type="dxa"/>
                  <w:noWrap w:val="0"/>
                  <w:vAlign w:val="center"/>
                </w:tcPr>
                <w:p w14:paraId="27F9BE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100</w:t>
                  </w:r>
                </w:p>
              </w:tc>
              <w:tc>
                <w:tcPr>
                  <w:tcW w:w="1275" w:type="dxa"/>
                  <w:noWrap w:val="0"/>
                  <w:vAlign w:val="center"/>
                </w:tcPr>
                <w:p w14:paraId="76AFFC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FF"/>
                      <w:kern w:val="0"/>
                      <w:sz w:val="18"/>
                      <w:szCs w:val="18"/>
                      <w:lang w:val="en-US" w:eastAsia="zh-CN"/>
                    </w:rPr>
                  </w:pPr>
                  <w:r>
                    <w:rPr>
                      <w:rFonts w:hint="eastAsia"/>
                      <w:color w:val="auto"/>
                      <w:kern w:val="0"/>
                      <w:sz w:val="18"/>
                      <w:szCs w:val="18"/>
                      <w:lang w:val="en-US" w:eastAsia="zh-CN"/>
                    </w:rPr>
                    <w:t>mg/L</w:t>
                  </w:r>
                </w:p>
              </w:tc>
            </w:tr>
            <w:tr w14:paraId="17520D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78" w:type="dxa"/>
                  <w:gridSpan w:val="2"/>
                  <w:noWrap w:val="0"/>
                  <w:vAlign w:val="center"/>
                </w:tcPr>
                <w:p w14:paraId="552DD2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kern w:val="0"/>
                      <w:sz w:val="18"/>
                      <w:szCs w:val="18"/>
                      <w:lang w:val="en-US" w:eastAsia="zh-CN"/>
                    </w:rPr>
                  </w:pPr>
                  <w:r>
                    <w:rPr>
                      <w:rFonts w:hint="eastAsia"/>
                      <w:color w:val="auto"/>
                      <w:kern w:val="0"/>
                      <w:sz w:val="18"/>
                      <w:szCs w:val="18"/>
                      <w:lang w:val="en-US" w:eastAsia="zh-CN"/>
                    </w:rPr>
                    <w:t>镍</w:t>
                  </w:r>
                </w:p>
              </w:tc>
              <w:tc>
                <w:tcPr>
                  <w:tcW w:w="2991" w:type="dxa"/>
                  <w:noWrap w:val="0"/>
                  <w:vAlign w:val="center"/>
                </w:tcPr>
                <w:p w14:paraId="7A927A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ND</w:t>
                  </w:r>
                </w:p>
              </w:tc>
              <w:tc>
                <w:tcPr>
                  <w:tcW w:w="2255" w:type="dxa"/>
                  <w:noWrap w:val="0"/>
                  <w:vAlign w:val="center"/>
                </w:tcPr>
                <w:p w14:paraId="50FD27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5</w:t>
                  </w:r>
                </w:p>
              </w:tc>
              <w:tc>
                <w:tcPr>
                  <w:tcW w:w="1275" w:type="dxa"/>
                  <w:noWrap w:val="0"/>
                  <w:vAlign w:val="center"/>
                </w:tcPr>
                <w:p w14:paraId="47605F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FF"/>
                      <w:kern w:val="0"/>
                      <w:sz w:val="18"/>
                      <w:szCs w:val="18"/>
                      <w:lang w:val="en-US" w:eastAsia="zh-CN"/>
                    </w:rPr>
                  </w:pPr>
                  <w:r>
                    <w:rPr>
                      <w:rFonts w:hint="eastAsia"/>
                      <w:color w:val="auto"/>
                      <w:kern w:val="0"/>
                      <w:sz w:val="18"/>
                      <w:szCs w:val="18"/>
                      <w:lang w:val="en-US" w:eastAsia="zh-CN"/>
                    </w:rPr>
                    <w:t>mg/L</w:t>
                  </w:r>
                </w:p>
              </w:tc>
            </w:tr>
            <w:tr w14:paraId="2DF3F4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78" w:type="dxa"/>
                  <w:gridSpan w:val="2"/>
                  <w:noWrap w:val="0"/>
                  <w:vAlign w:val="center"/>
                </w:tcPr>
                <w:p w14:paraId="4C85E9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kern w:val="0"/>
                      <w:sz w:val="18"/>
                      <w:szCs w:val="18"/>
                      <w:lang w:val="en-US" w:eastAsia="zh-CN"/>
                    </w:rPr>
                  </w:pPr>
                  <w:r>
                    <w:rPr>
                      <w:rFonts w:hint="eastAsia"/>
                      <w:color w:val="auto"/>
                      <w:kern w:val="0"/>
                      <w:sz w:val="18"/>
                      <w:szCs w:val="18"/>
                      <w:lang w:val="en-US" w:eastAsia="zh-CN"/>
                    </w:rPr>
                    <w:t>铅</w:t>
                  </w:r>
                </w:p>
              </w:tc>
              <w:tc>
                <w:tcPr>
                  <w:tcW w:w="2991" w:type="dxa"/>
                  <w:noWrap w:val="0"/>
                  <w:vAlign w:val="center"/>
                </w:tcPr>
                <w:p w14:paraId="4518BB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ND</w:t>
                  </w:r>
                </w:p>
              </w:tc>
              <w:tc>
                <w:tcPr>
                  <w:tcW w:w="2255" w:type="dxa"/>
                  <w:noWrap w:val="0"/>
                  <w:vAlign w:val="center"/>
                </w:tcPr>
                <w:p w14:paraId="230B2E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5</w:t>
                  </w:r>
                </w:p>
              </w:tc>
              <w:tc>
                <w:tcPr>
                  <w:tcW w:w="1275" w:type="dxa"/>
                  <w:noWrap w:val="0"/>
                  <w:vAlign w:val="center"/>
                </w:tcPr>
                <w:p w14:paraId="6D0C80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FF"/>
                      <w:kern w:val="0"/>
                      <w:sz w:val="18"/>
                      <w:szCs w:val="18"/>
                      <w:lang w:val="en-US" w:eastAsia="zh-CN"/>
                    </w:rPr>
                  </w:pPr>
                  <w:r>
                    <w:rPr>
                      <w:rFonts w:hint="eastAsia"/>
                      <w:color w:val="auto"/>
                      <w:kern w:val="0"/>
                      <w:sz w:val="18"/>
                      <w:szCs w:val="18"/>
                      <w:lang w:val="en-US" w:eastAsia="zh-CN"/>
                    </w:rPr>
                    <w:t>mg/L</w:t>
                  </w:r>
                </w:p>
              </w:tc>
            </w:tr>
            <w:tr w14:paraId="216461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78" w:type="dxa"/>
                  <w:gridSpan w:val="2"/>
                  <w:noWrap w:val="0"/>
                  <w:vAlign w:val="center"/>
                </w:tcPr>
                <w:p w14:paraId="31FA02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kern w:val="0"/>
                      <w:sz w:val="18"/>
                      <w:szCs w:val="18"/>
                      <w:lang w:val="en-US" w:eastAsia="zh-CN"/>
                    </w:rPr>
                  </w:pPr>
                  <w:r>
                    <w:rPr>
                      <w:rFonts w:hint="eastAsia"/>
                      <w:color w:val="auto"/>
                      <w:kern w:val="0"/>
                      <w:sz w:val="18"/>
                      <w:szCs w:val="18"/>
                      <w:lang w:val="en-US" w:eastAsia="zh-CN"/>
                    </w:rPr>
                    <w:t>锌</w:t>
                  </w:r>
                </w:p>
              </w:tc>
              <w:tc>
                <w:tcPr>
                  <w:tcW w:w="2991" w:type="dxa"/>
                  <w:noWrap w:val="0"/>
                  <w:vAlign w:val="center"/>
                </w:tcPr>
                <w:p w14:paraId="0EAC68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0.60</w:t>
                  </w:r>
                </w:p>
              </w:tc>
              <w:tc>
                <w:tcPr>
                  <w:tcW w:w="2255" w:type="dxa"/>
                  <w:noWrap w:val="0"/>
                  <w:vAlign w:val="center"/>
                </w:tcPr>
                <w:p w14:paraId="6F572B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100</w:t>
                  </w:r>
                </w:p>
              </w:tc>
              <w:tc>
                <w:tcPr>
                  <w:tcW w:w="1275" w:type="dxa"/>
                  <w:noWrap w:val="0"/>
                  <w:vAlign w:val="center"/>
                </w:tcPr>
                <w:p w14:paraId="59E187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FF"/>
                      <w:kern w:val="0"/>
                      <w:sz w:val="18"/>
                      <w:szCs w:val="18"/>
                      <w:lang w:val="en-US" w:eastAsia="zh-CN"/>
                    </w:rPr>
                  </w:pPr>
                  <w:r>
                    <w:rPr>
                      <w:rFonts w:hint="eastAsia"/>
                      <w:color w:val="auto"/>
                      <w:kern w:val="0"/>
                      <w:sz w:val="18"/>
                      <w:szCs w:val="18"/>
                      <w:lang w:val="en-US" w:eastAsia="zh-CN"/>
                    </w:rPr>
                    <w:t>mg/L</w:t>
                  </w:r>
                </w:p>
              </w:tc>
            </w:tr>
            <w:tr w14:paraId="78E241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78" w:type="dxa"/>
                  <w:gridSpan w:val="2"/>
                  <w:noWrap w:val="0"/>
                  <w:vAlign w:val="center"/>
                </w:tcPr>
                <w:p w14:paraId="4099FE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kern w:val="0"/>
                      <w:sz w:val="18"/>
                      <w:szCs w:val="18"/>
                      <w:lang w:val="en-US" w:eastAsia="zh-CN"/>
                    </w:rPr>
                  </w:pPr>
                  <w:r>
                    <w:rPr>
                      <w:rFonts w:hint="eastAsia"/>
                      <w:color w:val="auto"/>
                      <w:kern w:val="0"/>
                      <w:sz w:val="18"/>
                      <w:szCs w:val="18"/>
                      <w:lang w:val="en-US" w:eastAsia="zh-CN"/>
                    </w:rPr>
                    <w:t>六价铬</w:t>
                  </w:r>
                </w:p>
              </w:tc>
              <w:tc>
                <w:tcPr>
                  <w:tcW w:w="2991" w:type="dxa"/>
                  <w:noWrap w:val="0"/>
                  <w:vAlign w:val="center"/>
                </w:tcPr>
                <w:p w14:paraId="019EF0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ND</w:t>
                  </w:r>
                </w:p>
              </w:tc>
              <w:tc>
                <w:tcPr>
                  <w:tcW w:w="2255" w:type="dxa"/>
                  <w:noWrap w:val="0"/>
                  <w:vAlign w:val="center"/>
                </w:tcPr>
                <w:p w14:paraId="5E056E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5</w:t>
                  </w:r>
                </w:p>
              </w:tc>
              <w:tc>
                <w:tcPr>
                  <w:tcW w:w="1275" w:type="dxa"/>
                  <w:noWrap w:val="0"/>
                  <w:vAlign w:val="center"/>
                </w:tcPr>
                <w:p w14:paraId="5945FC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FF"/>
                      <w:kern w:val="0"/>
                      <w:sz w:val="18"/>
                      <w:szCs w:val="18"/>
                      <w:lang w:val="en-US" w:eastAsia="zh-CN"/>
                    </w:rPr>
                  </w:pPr>
                  <w:r>
                    <w:rPr>
                      <w:rFonts w:hint="eastAsia"/>
                      <w:color w:val="auto"/>
                      <w:kern w:val="0"/>
                      <w:sz w:val="18"/>
                      <w:szCs w:val="18"/>
                      <w:lang w:val="en-US" w:eastAsia="zh-CN"/>
                    </w:rPr>
                    <w:t>mg/L</w:t>
                  </w:r>
                </w:p>
              </w:tc>
            </w:tr>
            <w:tr w14:paraId="58F9F2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78" w:type="dxa"/>
                  <w:gridSpan w:val="2"/>
                  <w:noWrap w:val="0"/>
                  <w:vAlign w:val="center"/>
                </w:tcPr>
                <w:p w14:paraId="585CC1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kern w:val="0"/>
                      <w:sz w:val="18"/>
                      <w:szCs w:val="18"/>
                      <w:lang w:val="en-US" w:eastAsia="zh-CN"/>
                    </w:rPr>
                  </w:pPr>
                  <w:r>
                    <w:rPr>
                      <w:rFonts w:hint="eastAsia"/>
                      <w:color w:val="auto"/>
                      <w:kern w:val="0"/>
                      <w:sz w:val="18"/>
                      <w:szCs w:val="18"/>
                      <w:lang w:val="en-US" w:eastAsia="zh-CN"/>
                    </w:rPr>
                    <w:t>氟离子</w:t>
                  </w:r>
                </w:p>
              </w:tc>
              <w:tc>
                <w:tcPr>
                  <w:tcW w:w="2991" w:type="dxa"/>
                  <w:noWrap w:val="0"/>
                  <w:vAlign w:val="center"/>
                </w:tcPr>
                <w:p w14:paraId="24AE46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0.359</w:t>
                  </w:r>
                </w:p>
              </w:tc>
              <w:tc>
                <w:tcPr>
                  <w:tcW w:w="2255" w:type="dxa"/>
                  <w:noWrap w:val="0"/>
                  <w:vAlign w:val="center"/>
                </w:tcPr>
                <w:p w14:paraId="2BD2A4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w:t>
                  </w:r>
                </w:p>
              </w:tc>
              <w:tc>
                <w:tcPr>
                  <w:tcW w:w="1275" w:type="dxa"/>
                  <w:noWrap w:val="0"/>
                  <w:vAlign w:val="center"/>
                </w:tcPr>
                <w:p w14:paraId="14E0F2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FF"/>
                      <w:kern w:val="0"/>
                      <w:sz w:val="18"/>
                      <w:szCs w:val="18"/>
                      <w:lang w:val="en-US" w:eastAsia="zh-CN"/>
                    </w:rPr>
                  </w:pPr>
                  <w:r>
                    <w:rPr>
                      <w:rFonts w:hint="eastAsia"/>
                      <w:color w:val="auto"/>
                      <w:kern w:val="0"/>
                      <w:sz w:val="18"/>
                      <w:szCs w:val="18"/>
                      <w:lang w:val="en-US" w:eastAsia="zh-CN"/>
                    </w:rPr>
                    <w:t>mg/L</w:t>
                  </w:r>
                </w:p>
              </w:tc>
            </w:tr>
            <w:tr w14:paraId="4BCE1A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38" w:type="dxa"/>
                  <w:vMerge w:val="restart"/>
                  <w:noWrap w:val="0"/>
                  <w:vAlign w:val="center"/>
                </w:tcPr>
                <w:p w14:paraId="5DCAEB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kern w:val="0"/>
                      <w:sz w:val="18"/>
                      <w:szCs w:val="18"/>
                      <w:lang w:val="en-US" w:eastAsia="zh-CN"/>
                    </w:rPr>
                  </w:pPr>
                  <w:r>
                    <w:rPr>
                      <w:rFonts w:hint="eastAsia"/>
                      <w:color w:val="auto"/>
                      <w:kern w:val="0"/>
                      <w:sz w:val="18"/>
                      <w:szCs w:val="18"/>
                      <w:lang w:val="en-US" w:eastAsia="zh-CN"/>
                    </w:rPr>
                    <w:t>烷基汞</w:t>
                  </w:r>
                </w:p>
              </w:tc>
              <w:tc>
                <w:tcPr>
                  <w:tcW w:w="840" w:type="dxa"/>
                  <w:noWrap w:val="0"/>
                  <w:vAlign w:val="center"/>
                </w:tcPr>
                <w:p w14:paraId="32BE74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kern w:val="0"/>
                      <w:sz w:val="18"/>
                      <w:szCs w:val="18"/>
                      <w:lang w:val="en-US" w:eastAsia="zh-CN"/>
                    </w:rPr>
                  </w:pPr>
                  <w:r>
                    <w:rPr>
                      <w:rFonts w:hint="eastAsia"/>
                      <w:color w:val="auto"/>
                      <w:kern w:val="0"/>
                      <w:sz w:val="18"/>
                      <w:szCs w:val="18"/>
                      <w:lang w:val="en-US" w:eastAsia="zh-CN"/>
                    </w:rPr>
                    <w:t>甲基汞</w:t>
                  </w:r>
                </w:p>
              </w:tc>
              <w:tc>
                <w:tcPr>
                  <w:tcW w:w="2991" w:type="dxa"/>
                  <w:noWrap w:val="0"/>
                  <w:vAlign w:val="center"/>
                </w:tcPr>
                <w:p w14:paraId="0AD043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kern w:val="0"/>
                      <w:sz w:val="18"/>
                      <w:szCs w:val="18"/>
                      <w:lang w:val="en-US" w:eastAsia="zh-CN"/>
                    </w:rPr>
                  </w:pPr>
                  <w:r>
                    <w:rPr>
                      <w:rFonts w:hint="eastAsia"/>
                      <w:color w:val="auto"/>
                      <w:kern w:val="0"/>
                      <w:sz w:val="18"/>
                      <w:szCs w:val="18"/>
                      <w:lang w:val="en-US" w:eastAsia="zh-CN"/>
                    </w:rPr>
                    <w:t>ND</w:t>
                  </w:r>
                </w:p>
              </w:tc>
              <w:tc>
                <w:tcPr>
                  <w:tcW w:w="2255" w:type="dxa"/>
                  <w:vMerge w:val="restart"/>
                  <w:noWrap w:val="0"/>
                  <w:vAlign w:val="center"/>
                </w:tcPr>
                <w:p w14:paraId="474AD0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kern w:val="0"/>
                      <w:sz w:val="18"/>
                      <w:szCs w:val="18"/>
                      <w:lang w:val="en-US" w:eastAsia="zh-CN"/>
                    </w:rPr>
                  </w:pPr>
                  <w:r>
                    <w:rPr>
                      <w:rFonts w:hint="eastAsia"/>
                      <w:color w:val="auto"/>
                      <w:kern w:val="0"/>
                      <w:sz w:val="18"/>
                      <w:szCs w:val="18"/>
                      <w:lang w:val="en-US" w:eastAsia="zh-CN"/>
                    </w:rPr>
                    <w:t>不得检出</w:t>
                  </w:r>
                </w:p>
              </w:tc>
              <w:tc>
                <w:tcPr>
                  <w:tcW w:w="1275" w:type="dxa"/>
                  <w:noWrap w:val="0"/>
                  <w:vAlign w:val="center"/>
                </w:tcPr>
                <w:p w14:paraId="0DFBF0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FF"/>
                      <w:kern w:val="0"/>
                      <w:sz w:val="18"/>
                      <w:szCs w:val="18"/>
                      <w:lang w:val="en-US" w:eastAsia="zh-CN"/>
                    </w:rPr>
                  </w:pPr>
                  <w:r>
                    <w:rPr>
                      <w:rFonts w:hint="eastAsia"/>
                      <w:color w:val="auto"/>
                      <w:kern w:val="0"/>
                      <w:sz w:val="18"/>
                      <w:szCs w:val="18"/>
                      <w:lang w:val="en-US" w:eastAsia="zh-CN"/>
                    </w:rPr>
                    <w:t>mg/L</w:t>
                  </w:r>
                </w:p>
              </w:tc>
            </w:tr>
            <w:tr w14:paraId="7A23DF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8" w:type="dxa"/>
                  <w:vMerge w:val="continue"/>
                  <w:noWrap w:val="0"/>
                  <w:vAlign w:val="center"/>
                </w:tcPr>
                <w:p w14:paraId="25F167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kern w:val="0"/>
                      <w:sz w:val="18"/>
                      <w:szCs w:val="18"/>
                      <w:lang w:val="en-US" w:eastAsia="zh-CN"/>
                    </w:rPr>
                  </w:pPr>
                </w:p>
              </w:tc>
              <w:tc>
                <w:tcPr>
                  <w:tcW w:w="840" w:type="dxa"/>
                  <w:noWrap w:val="0"/>
                  <w:vAlign w:val="center"/>
                </w:tcPr>
                <w:p w14:paraId="45955B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kern w:val="0"/>
                      <w:sz w:val="18"/>
                      <w:szCs w:val="18"/>
                      <w:lang w:val="en-US" w:eastAsia="zh-CN"/>
                    </w:rPr>
                  </w:pPr>
                  <w:r>
                    <w:rPr>
                      <w:rFonts w:hint="eastAsia"/>
                      <w:color w:val="auto"/>
                      <w:kern w:val="0"/>
                      <w:sz w:val="18"/>
                      <w:szCs w:val="18"/>
                      <w:lang w:val="en-US" w:eastAsia="zh-CN"/>
                    </w:rPr>
                    <w:t>乙基汞</w:t>
                  </w:r>
                </w:p>
              </w:tc>
              <w:tc>
                <w:tcPr>
                  <w:tcW w:w="2991" w:type="dxa"/>
                  <w:noWrap w:val="0"/>
                  <w:vAlign w:val="center"/>
                </w:tcPr>
                <w:p w14:paraId="0A2C52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kern w:val="0"/>
                      <w:sz w:val="18"/>
                      <w:szCs w:val="18"/>
                      <w:lang w:val="en-US" w:eastAsia="zh-CN"/>
                    </w:rPr>
                  </w:pPr>
                  <w:r>
                    <w:rPr>
                      <w:rFonts w:hint="eastAsia"/>
                      <w:color w:val="auto"/>
                      <w:kern w:val="0"/>
                      <w:sz w:val="18"/>
                      <w:szCs w:val="18"/>
                      <w:lang w:val="en-US" w:eastAsia="zh-CN"/>
                    </w:rPr>
                    <w:t>ND</w:t>
                  </w:r>
                </w:p>
              </w:tc>
              <w:tc>
                <w:tcPr>
                  <w:tcW w:w="2255" w:type="dxa"/>
                  <w:vMerge w:val="continue"/>
                  <w:noWrap w:val="0"/>
                  <w:vAlign w:val="center"/>
                </w:tcPr>
                <w:p w14:paraId="27ED0E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FF"/>
                      <w:kern w:val="0"/>
                      <w:sz w:val="18"/>
                      <w:szCs w:val="18"/>
                      <w:lang w:val="en-US" w:eastAsia="zh-CN"/>
                    </w:rPr>
                  </w:pPr>
                </w:p>
              </w:tc>
              <w:tc>
                <w:tcPr>
                  <w:tcW w:w="1275" w:type="dxa"/>
                  <w:noWrap w:val="0"/>
                  <w:vAlign w:val="center"/>
                </w:tcPr>
                <w:p w14:paraId="067B7D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FF"/>
                      <w:kern w:val="0"/>
                      <w:sz w:val="18"/>
                      <w:szCs w:val="18"/>
                      <w:lang w:val="en-US" w:eastAsia="zh-CN"/>
                    </w:rPr>
                  </w:pPr>
                  <w:r>
                    <w:rPr>
                      <w:rFonts w:hint="eastAsia"/>
                      <w:color w:val="auto"/>
                      <w:kern w:val="0"/>
                      <w:sz w:val="18"/>
                      <w:szCs w:val="18"/>
                      <w:lang w:val="en-US" w:eastAsia="zh-CN"/>
                    </w:rPr>
                    <w:t>mg/L</w:t>
                  </w:r>
                </w:p>
              </w:tc>
            </w:tr>
          </w:tbl>
          <w:p w14:paraId="7D171C9F">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default"/>
              </w:rPr>
            </w:pPr>
            <w:r>
              <w:rPr>
                <w:rFonts w:hint="eastAsia"/>
                <w:b w:val="0"/>
                <w:bCs/>
                <w:color w:val="auto"/>
                <w:szCs w:val="21"/>
                <w:lang w:val="en-US" w:eastAsia="zh-CN"/>
              </w:rPr>
              <w:t>由上表可知：汞、砷、铜、铅、铬、镍等重金属浸出浓度均低于《危险废物鉴别标准—浸出毒性鉴别》（GB5085.3-2007）浸出毒性鉴别标准限值，属于一般固废。</w:t>
            </w:r>
          </w:p>
          <w:p w14:paraId="0B17A83E">
            <w:pPr>
              <w:widowControl/>
              <w:spacing w:line="500" w:lineRule="exact"/>
              <w:jc w:val="left"/>
              <w:rPr>
                <w:color w:val="auto"/>
              </w:rPr>
            </w:pPr>
            <w:r>
              <w:rPr>
                <w:b/>
                <w:bCs/>
                <w:color w:val="auto"/>
                <w:kern w:val="0"/>
                <w:szCs w:val="21"/>
                <w:lang w:bidi="ar"/>
              </w:rPr>
              <w:t>4、生产设备</w:t>
            </w:r>
          </w:p>
          <w:p w14:paraId="3F1BA273">
            <w:pPr>
              <w:widowControl/>
              <w:spacing w:line="500" w:lineRule="exact"/>
              <w:jc w:val="center"/>
              <w:rPr>
                <w:color w:val="auto"/>
                <w:szCs w:val="21"/>
              </w:rPr>
            </w:pPr>
            <w:commentRangeStart w:id="0"/>
            <w:r>
              <w:rPr>
                <w:b/>
                <w:bCs/>
                <w:color w:val="auto"/>
                <w:kern w:val="0"/>
                <w:szCs w:val="21"/>
                <w:lang w:bidi="ar"/>
              </w:rPr>
              <w:t>表 2-</w:t>
            </w:r>
            <w:r>
              <w:rPr>
                <w:rFonts w:hint="eastAsia"/>
                <w:b/>
                <w:bCs/>
                <w:color w:val="auto"/>
                <w:kern w:val="0"/>
                <w:szCs w:val="21"/>
                <w:lang w:val="en-US" w:eastAsia="zh-CN" w:bidi="ar"/>
              </w:rPr>
              <w:t>8</w:t>
            </w:r>
            <w:r>
              <w:rPr>
                <w:b/>
                <w:bCs/>
                <w:color w:val="auto"/>
                <w:kern w:val="0"/>
                <w:szCs w:val="21"/>
                <w:lang w:bidi="ar"/>
              </w:rPr>
              <w:t xml:space="preserve"> </w:t>
            </w:r>
            <w:r>
              <w:rPr>
                <w:b/>
                <w:bCs/>
                <w:color w:val="auto"/>
                <w:szCs w:val="21"/>
              </w:rPr>
              <w:t>主要设备一览表</w:t>
            </w:r>
            <w:commentRangeEnd w:id="0"/>
            <w:r>
              <w:commentReference w:id="0"/>
            </w:r>
          </w:p>
          <w:tbl>
            <w:tblPr>
              <w:tblStyle w:val="20"/>
              <w:tblW w:w="835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2418"/>
              <w:gridCol w:w="2656"/>
              <w:gridCol w:w="1841"/>
            </w:tblGrid>
            <w:tr w14:paraId="7BE2B7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43" w:type="dxa"/>
                  <w:tcBorders>
                    <w:tl2br w:val="nil"/>
                    <w:tr2bl w:val="nil"/>
                  </w:tcBorders>
                  <w:vAlign w:val="center"/>
                </w:tcPr>
                <w:p w14:paraId="3FD5B698">
                  <w:pPr>
                    <w:bidi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2418" w:type="dxa"/>
                  <w:tcBorders>
                    <w:tl2br w:val="nil"/>
                    <w:tr2bl w:val="nil"/>
                  </w:tcBorders>
                  <w:vAlign w:val="center"/>
                </w:tcPr>
                <w:p w14:paraId="460AB4EA">
                  <w:pPr>
                    <w:bidi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设备名称</w:t>
                  </w:r>
                </w:p>
              </w:tc>
              <w:tc>
                <w:tcPr>
                  <w:tcW w:w="2656" w:type="dxa"/>
                  <w:tcBorders>
                    <w:tl2br w:val="nil"/>
                    <w:tr2bl w:val="nil"/>
                  </w:tcBorders>
                  <w:vAlign w:val="center"/>
                </w:tcPr>
                <w:p w14:paraId="79EB0BF5">
                  <w:pPr>
                    <w:bidi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型号</w:t>
                  </w:r>
                </w:p>
              </w:tc>
              <w:tc>
                <w:tcPr>
                  <w:tcW w:w="1841" w:type="dxa"/>
                  <w:tcBorders>
                    <w:tl2br w:val="nil"/>
                    <w:tr2bl w:val="nil"/>
                  </w:tcBorders>
                  <w:vAlign w:val="center"/>
                </w:tcPr>
                <w:p w14:paraId="66C57891">
                  <w:pPr>
                    <w:bidi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数量（台/套）</w:t>
                  </w:r>
                </w:p>
              </w:tc>
            </w:tr>
            <w:tr w14:paraId="109308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2C73CB52">
                  <w:pPr>
                    <w:bidi w:val="0"/>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w:t>
                  </w:r>
                </w:p>
              </w:tc>
              <w:tc>
                <w:tcPr>
                  <w:tcW w:w="2418" w:type="dxa"/>
                  <w:tcBorders>
                    <w:tl2br w:val="nil"/>
                    <w:tr2bl w:val="nil"/>
                  </w:tcBorders>
                  <w:vAlign w:val="center"/>
                </w:tcPr>
                <w:p w14:paraId="3574D678">
                  <w:pPr>
                    <w:jc w:val="center"/>
                    <w:rPr>
                      <w:rFonts w:hint="eastAsia"/>
                      <w:sz w:val="18"/>
                      <w:szCs w:val="18"/>
                      <w:lang w:eastAsia="zh-CN"/>
                    </w:rPr>
                  </w:pPr>
                  <w:r>
                    <w:rPr>
                      <w:rFonts w:hint="eastAsia"/>
                      <w:sz w:val="18"/>
                      <w:szCs w:val="18"/>
                      <w:lang w:eastAsia="zh-CN"/>
                    </w:rPr>
                    <w:t>推料机</w:t>
                  </w:r>
                </w:p>
              </w:tc>
              <w:tc>
                <w:tcPr>
                  <w:tcW w:w="2656" w:type="dxa"/>
                  <w:tcBorders>
                    <w:tl2br w:val="nil"/>
                    <w:tr2bl w:val="nil"/>
                  </w:tcBorders>
                  <w:vAlign w:val="center"/>
                </w:tcPr>
                <w:p w14:paraId="4E71ED5C">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规格0.6*1.2m</w:t>
                  </w:r>
                </w:p>
              </w:tc>
              <w:tc>
                <w:tcPr>
                  <w:tcW w:w="1841" w:type="dxa"/>
                  <w:tcBorders>
                    <w:tl2br w:val="nil"/>
                    <w:tr2bl w:val="nil"/>
                  </w:tcBorders>
                  <w:vAlign w:val="center"/>
                </w:tcPr>
                <w:p w14:paraId="51CDE8F4">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1</w:t>
                  </w:r>
                </w:p>
              </w:tc>
            </w:tr>
            <w:tr w14:paraId="01D221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4C826E03">
                  <w:pPr>
                    <w:bidi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w:t>
                  </w:r>
                </w:p>
              </w:tc>
              <w:tc>
                <w:tcPr>
                  <w:tcW w:w="2418" w:type="dxa"/>
                  <w:tcBorders>
                    <w:tl2br w:val="nil"/>
                    <w:tr2bl w:val="nil"/>
                  </w:tcBorders>
                  <w:vAlign w:val="center"/>
                </w:tcPr>
                <w:p w14:paraId="47274838">
                  <w:pPr>
                    <w:jc w:val="center"/>
                    <w:rPr>
                      <w:rFonts w:hint="default" w:ascii="Times New Roman" w:hAnsi="Times New Roman" w:cs="Times New Roman"/>
                      <w:color w:val="auto"/>
                      <w:sz w:val="18"/>
                      <w:szCs w:val="18"/>
                      <w:lang w:val="en-US" w:eastAsia="zh-CN"/>
                    </w:rPr>
                  </w:pPr>
                  <w:r>
                    <w:rPr>
                      <w:rFonts w:hint="eastAsia"/>
                      <w:sz w:val="18"/>
                      <w:szCs w:val="18"/>
                      <w:lang w:eastAsia="zh-CN"/>
                    </w:rPr>
                    <w:t>振动上料斗</w:t>
                  </w:r>
                </w:p>
              </w:tc>
              <w:tc>
                <w:tcPr>
                  <w:tcW w:w="2656" w:type="dxa"/>
                  <w:tcBorders>
                    <w:tl2br w:val="nil"/>
                    <w:tr2bl w:val="nil"/>
                  </w:tcBorders>
                  <w:vAlign w:val="center"/>
                </w:tcPr>
                <w:p w14:paraId="2E3C9B0A">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3.6*2.6*3.1m</w:t>
                  </w:r>
                </w:p>
              </w:tc>
              <w:tc>
                <w:tcPr>
                  <w:tcW w:w="1841" w:type="dxa"/>
                  <w:tcBorders>
                    <w:tl2br w:val="nil"/>
                    <w:tr2bl w:val="nil"/>
                  </w:tcBorders>
                  <w:vAlign w:val="center"/>
                </w:tcPr>
                <w:p w14:paraId="434F1344">
                  <w:pPr>
                    <w:bidi w:val="0"/>
                    <w:jc w:val="center"/>
                    <w:rPr>
                      <w:rFonts w:hint="default" w:ascii="Times New Roman" w:hAnsi="Times New Roman" w:cs="Times New Roman"/>
                      <w:color w:val="auto"/>
                      <w:sz w:val="18"/>
                      <w:szCs w:val="18"/>
                      <w:lang w:val="en-US" w:eastAsia="zh-CN"/>
                    </w:rPr>
                  </w:pPr>
                  <w:r>
                    <w:rPr>
                      <w:rFonts w:hint="eastAsia" w:cs="Times New Roman"/>
                      <w:color w:val="auto"/>
                      <w:sz w:val="18"/>
                      <w:szCs w:val="18"/>
                      <w:lang w:val="en-US" w:eastAsia="zh-CN"/>
                    </w:rPr>
                    <w:t>1</w:t>
                  </w:r>
                </w:p>
              </w:tc>
            </w:tr>
            <w:tr w14:paraId="50BAEA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128BA2FC">
                  <w:pPr>
                    <w:bidi w:val="0"/>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3</w:t>
                  </w:r>
                </w:p>
              </w:tc>
              <w:tc>
                <w:tcPr>
                  <w:tcW w:w="2418" w:type="dxa"/>
                  <w:tcBorders>
                    <w:tl2br w:val="nil"/>
                    <w:tr2bl w:val="nil"/>
                  </w:tcBorders>
                  <w:vAlign w:val="center"/>
                </w:tcPr>
                <w:p w14:paraId="1034F692">
                  <w:pPr>
                    <w:jc w:val="center"/>
                    <w:rPr>
                      <w:rFonts w:hint="eastAsia"/>
                      <w:sz w:val="18"/>
                      <w:szCs w:val="18"/>
                      <w:lang w:eastAsia="zh-CN"/>
                    </w:rPr>
                  </w:pPr>
                  <w:r>
                    <w:rPr>
                      <w:rFonts w:hint="eastAsia"/>
                      <w:sz w:val="18"/>
                      <w:szCs w:val="18"/>
                      <w:lang w:eastAsia="zh-CN"/>
                    </w:rPr>
                    <w:t>滚笼筛</w:t>
                  </w:r>
                </w:p>
              </w:tc>
              <w:tc>
                <w:tcPr>
                  <w:tcW w:w="2656" w:type="dxa"/>
                  <w:tcBorders>
                    <w:tl2br w:val="nil"/>
                    <w:tr2bl w:val="nil"/>
                  </w:tcBorders>
                  <w:vAlign w:val="center"/>
                </w:tcPr>
                <w:p w14:paraId="0E181751">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φ1.5m×3.0m，</w:t>
                  </w:r>
                </w:p>
              </w:tc>
              <w:tc>
                <w:tcPr>
                  <w:tcW w:w="1841" w:type="dxa"/>
                  <w:tcBorders>
                    <w:tl2br w:val="nil"/>
                    <w:tr2bl w:val="nil"/>
                  </w:tcBorders>
                  <w:vAlign w:val="center"/>
                </w:tcPr>
                <w:p w14:paraId="3AB2CC07">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1</w:t>
                  </w:r>
                </w:p>
              </w:tc>
            </w:tr>
            <w:tr w14:paraId="74A094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142727BE">
                  <w:pPr>
                    <w:bidi w:val="0"/>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4</w:t>
                  </w:r>
                </w:p>
              </w:tc>
              <w:tc>
                <w:tcPr>
                  <w:tcW w:w="2418" w:type="dxa"/>
                  <w:tcBorders>
                    <w:tl2br w:val="nil"/>
                    <w:tr2bl w:val="nil"/>
                  </w:tcBorders>
                  <w:vAlign w:val="center"/>
                </w:tcPr>
                <w:p w14:paraId="5C8559CF">
                  <w:pPr>
                    <w:jc w:val="center"/>
                    <w:rPr>
                      <w:rFonts w:hint="eastAsia"/>
                      <w:sz w:val="18"/>
                      <w:szCs w:val="18"/>
                      <w:lang w:eastAsia="zh-CN"/>
                    </w:rPr>
                  </w:pPr>
                  <w:r>
                    <w:rPr>
                      <w:rFonts w:hint="eastAsia"/>
                      <w:sz w:val="18"/>
                      <w:szCs w:val="18"/>
                      <w:lang w:eastAsia="zh-CN"/>
                    </w:rPr>
                    <w:t>电磁除铁器</w:t>
                  </w:r>
                </w:p>
              </w:tc>
              <w:tc>
                <w:tcPr>
                  <w:tcW w:w="2656" w:type="dxa"/>
                  <w:tcBorders>
                    <w:tl2br w:val="nil"/>
                    <w:tr2bl w:val="nil"/>
                  </w:tcBorders>
                  <w:vAlign w:val="center"/>
                </w:tcPr>
                <w:p w14:paraId="5E57D566">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RCDD-8</w:t>
                  </w:r>
                </w:p>
              </w:tc>
              <w:tc>
                <w:tcPr>
                  <w:tcW w:w="1841" w:type="dxa"/>
                  <w:tcBorders>
                    <w:tl2br w:val="nil"/>
                    <w:tr2bl w:val="nil"/>
                  </w:tcBorders>
                  <w:vAlign w:val="center"/>
                </w:tcPr>
                <w:p w14:paraId="6B07A03D">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3</w:t>
                  </w:r>
                </w:p>
              </w:tc>
            </w:tr>
            <w:tr w14:paraId="3499A4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2E5F018E">
                  <w:pPr>
                    <w:bidi w:val="0"/>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5</w:t>
                  </w:r>
                </w:p>
              </w:tc>
              <w:tc>
                <w:tcPr>
                  <w:tcW w:w="2418" w:type="dxa"/>
                  <w:tcBorders>
                    <w:tl2br w:val="nil"/>
                    <w:tr2bl w:val="nil"/>
                  </w:tcBorders>
                  <w:vAlign w:val="center"/>
                </w:tcPr>
                <w:p w14:paraId="5DD1B52E">
                  <w:pPr>
                    <w:jc w:val="center"/>
                    <w:rPr>
                      <w:rFonts w:hint="eastAsia"/>
                      <w:sz w:val="18"/>
                      <w:szCs w:val="18"/>
                      <w:lang w:eastAsia="zh-CN"/>
                    </w:rPr>
                  </w:pPr>
                  <w:r>
                    <w:rPr>
                      <w:rFonts w:hint="eastAsia"/>
                      <w:sz w:val="18"/>
                      <w:szCs w:val="18"/>
                      <w:lang w:eastAsia="zh-CN"/>
                    </w:rPr>
                    <w:t>磁辊筒</w:t>
                  </w:r>
                </w:p>
              </w:tc>
              <w:tc>
                <w:tcPr>
                  <w:tcW w:w="2656" w:type="dxa"/>
                  <w:tcBorders>
                    <w:tl2br w:val="nil"/>
                    <w:tr2bl w:val="nil"/>
                  </w:tcBorders>
                  <w:vAlign w:val="center"/>
                </w:tcPr>
                <w:p w14:paraId="260F523D">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定制式,5000GS</w:t>
                  </w:r>
                </w:p>
              </w:tc>
              <w:tc>
                <w:tcPr>
                  <w:tcW w:w="1841" w:type="dxa"/>
                  <w:tcBorders>
                    <w:tl2br w:val="nil"/>
                    <w:tr2bl w:val="nil"/>
                  </w:tcBorders>
                  <w:vAlign w:val="center"/>
                </w:tcPr>
                <w:p w14:paraId="2664EC56">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1</w:t>
                  </w:r>
                </w:p>
              </w:tc>
            </w:tr>
            <w:tr w14:paraId="1A5C3B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670A3028">
                  <w:pPr>
                    <w:bidi w:val="0"/>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6</w:t>
                  </w:r>
                </w:p>
              </w:tc>
              <w:tc>
                <w:tcPr>
                  <w:tcW w:w="2418" w:type="dxa"/>
                  <w:tcBorders>
                    <w:tl2br w:val="nil"/>
                    <w:tr2bl w:val="nil"/>
                  </w:tcBorders>
                  <w:vAlign w:val="center"/>
                </w:tcPr>
                <w:p w14:paraId="4EEAC7EC">
                  <w:pPr>
                    <w:jc w:val="center"/>
                    <w:rPr>
                      <w:rFonts w:hint="eastAsia"/>
                      <w:sz w:val="18"/>
                      <w:szCs w:val="18"/>
                      <w:lang w:eastAsia="zh-CN"/>
                    </w:rPr>
                  </w:pPr>
                  <w:r>
                    <w:rPr>
                      <w:rFonts w:hint="eastAsia"/>
                      <w:sz w:val="18"/>
                      <w:szCs w:val="18"/>
                      <w:lang w:eastAsia="zh-CN"/>
                    </w:rPr>
                    <w:t>破碎机</w:t>
                  </w:r>
                </w:p>
              </w:tc>
              <w:tc>
                <w:tcPr>
                  <w:tcW w:w="2656" w:type="dxa"/>
                  <w:tcBorders>
                    <w:tl2br w:val="nil"/>
                    <w:tr2bl w:val="nil"/>
                  </w:tcBorders>
                  <w:vAlign w:val="center"/>
                </w:tcPr>
                <w:p w14:paraId="61F012DB">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650机</w:t>
                  </w:r>
                </w:p>
              </w:tc>
              <w:tc>
                <w:tcPr>
                  <w:tcW w:w="1841" w:type="dxa"/>
                  <w:tcBorders>
                    <w:tl2br w:val="nil"/>
                    <w:tr2bl w:val="nil"/>
                  </w:tcBorders>
                  <w:vAlign w:val="center"/>
                </w:tcPr>
                <w:p w14:paraId="7D0693CC">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1</w:t>
                  </w:r>
                </w:p>
              </w:tc>
            </w:tr>
            <w:tr w14:paraId="3ED6BF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34195EE2">
                  <w:pPr>
                    <w:bidi w:val="0"/>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7</w:t>
                  </w:r>
                </w:p>
              </w:tc>
              <w:tc>
                <w:tcPr>
                  <w:tcW w:w="2418" w:type="dxa"/>
                  <w:tcBorders>
                    <w:tl2br w:val="nil"/>
                    <w:tr2bl w:val="nil"/>
                  </w:tcBorders>
                  <w:vAlign w:val="center"/>
                </w:tcPr>
                <w:p w14:paraId="6EB4559C">
                  <w:pPr>
                    <w:jc w:val="center"/>
                    <w:rPr>
                      <w:rFonts w:hint="eastAsia"/>
                      <w:sz w:val="18"/>
                      <w:szCs w:val="18"/>
                      <w:lang w:eastAsia="zh-CN"/>
                    </w:rPr>
                  </w:pPr>
                  <w:r>
                    <w:rPr>
                      <w:rFonts w:hint="eastAsia"/>
                      <w:sz w:val="18"/>
                      <w:szCs w:val="18"/>
                      <w:lang w:eastAsia="zh-CN"/>
                    </w:rPr>
                    <w:t>皮带输送机</w:t>
                  </w:r>
                </w:p>
              </w:tc>
              <w:tc>
                <w:tcPr>
                  <w:tcW w:w="2656" w:type="dxa"/>
                  <w:tcBorders>
                    <w:tl2br w:val="nil"/>
                    <w:tr2bl w:val="nil"/>
                  </w:tcBorders>
                  <w:vAlign w:val="center"/>
                </w:tcPr>
                <w:p w14:paraId="33FC44E0">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输送系统，800带共6条，总长约80m</w:t>
                  </w:r>
                </w:p>
              </w:tc>
              <w:tc>
                <w:tcPr>
                  <w:tcW w:w="1841" w:type="dxa"/>
                  <w:tcBorders>
                    <w:tl2br w:val="nil"/>
                    <w:tr2bl w:val="nil"/>
                  </w:tcBorders>
                  <w:vAlign w:val="center"/>
                </w:tcPr>
                <w:p w14:paraId="7E524EE2">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1</w:t>
                  </w:r>
                </w:p>
              </w:tc>
            </w:tr>
            <w:tr w14:paraId="62B30F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612F4F07">
                  <w:pPr>
                    <w:bidi w:val="0"/>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8</w:t>
                  </w:r>
                </w:p>
              </w:tc>
              <w:tc>
                <w:tcPr>
                  <w:tcW w:w="2418" w:type="dxa"/>
                  <w:tcBorders>
                    <w:tl2br w:val="nil"/>
                    <w:tr2bl w:val="nil"/>
                  </w:tcBorders>
                  <w:vAlign w:val="center"/>
                </w:tcPr>
                <w:p w14:paraId="450A78A2">
                  <w:pPr>
                    <w:jc w:val="center"/>
                    <w:rPr>
                      <w:rFonts w:hint="eastAsia"/>
                      <w:sz w:val="18"/>
                      <w:szCs w:val="18"/>
                      <w:lang w:eastAsia="zh-CN"/>
                    </w:rPr>
                  </w:pPr>
                  <w:r>
                    <w:rPr>
                      <w:rFonts w:hint="eastAsia"/>
                      <w:sz w:val="18"/>
                      <w:szCs w:val="18"/>
                      <w:lang w:eastAsia="zh-CN"/>
                    </w:rPr>
                    <w:t>皮带输送机</w:t>
                  </w:r>
                </w:p>
              </w:tc>
              <w:tc>
                <w:tcPr>
                  <w:tcW w:w="2656" w:type="dxa"/>
                  <w:tcBorders>
                    <w:tl2br w:val="nil"/>
                    <w:tr2bl w:val="nil"/>
                  </w:tcBorders>
                  <w:vAlign w:val="center"/>
                </w:tcPr>
                <w:p w14:paraId="50E670E1">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输送系统，650带共8条，总长约130m</w:t>
                  </w:r>
                </w:p>
              </w:tc>
              <w:tc>
                <w:tcPr>
                  <w:tcW w:w="1841" w:type="dxa"/>
                  <w:tcBorders>
                    <w:tl2br w:val="nil"/>
                    <w:tr2bl w:val="nil"/>
                  </w:tcBorders>
                  <w:vAlign w:val="center"/>
                </w:tcPr>
                <w:p w14:paraId="22FBA90B">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1</w:t>
                  </w:r>
                </w:p>
              </w:tc>
            </w:tr>
            <w:tr w14:paraId="0B9D2D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2D03786C">
                  <w:pPr>
                    <w:bidi w:val="0"/>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9</w:t>
                  </w:r>
                </w:p>
              </w:tc>
              <w:tc>
                <w:tcPr>
                  <w:tcW w:w="2418" w:type="dxa"/>
                  <w:tcBorders>
                    <w:tl2br w:val="nil"/>
                    <w:tr2bl w:val="nil"/>
                  </w:tcBorders>
                  <w:vAlign w:val="center"/>
                </w:tcPr>
                <w:p w14:paraId="06A5ACC9">
                  <w:pPr>
                    <w:jc w:val="center"/>
                    <w:rPr>
                      <w:rFonts w:hint="eastAsia"/>
                      <w:sz w:val="18"/>
                      <w:szCs w:val="18"/>
                      <w:lang w:eastAsia="zh-CN"/>
                    </w:rPr>
                  </w:pPr>
                  <w:r>
                    <w:rPr>
                      <w:rFonts w:hint="eastAsia"/>
                      <w:sz w:val="18"/>
                      <w:szCs w:val="18"/>
                      <w:lang w:eastAsia="zh-CN"/>
                    </w:rPr>
                    <w:t>破碎机</w:t>
                  </w:r>
                </w:p>
              </w:tc>
              <w:tc>
                <w:tcPr>
                  <w:tcW w:w="2656" w:type="dxa"/>
                  <w:tcBorders>
                    <w:tl2br w:val="nil"/>
                    <w:tr2bl w:val="nil"/>
                  </w:tcBorders>
                  <w:vAlign w:val="center"/>
                </w:tcPr>
                <w:p w14:paraId="34314D92">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800型机</w:t>
                  </w:r>
                </w:p>
              </w:tc>
              <w:tc>
                <w:tcPr>
                  <w:tcW w:w="1841" w:type="dxa"/>
                  <w:tcBorders>
                    <w:tl2br w:val="nil"/>
                    <w:tr2bl w:val="nil"/>
                  </w:tcBorders>
                  <w:vAlign w:val="center"/>
                </w:tcPr>
                <w:p w14:paraId="6844BEA4">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1</w:t>
                  </w:r>
                </w:p>
              </w:tc>
            </w:tr>
            <w:tr w14:paraId="663211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2AE83AFE">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10</w:t>
                  </w:r>
                </w:p>
              </w:tc>
              <w:tc>
                <w:tcPr>
                  <w:tcW w:w="2418" w:type="dxa"/>
                  <w:tcBorders>
                    <w:tl2br w:val="nil"/>
                    <w:tr2bl w:val="nil"/>
                  </w:tcBorders>
                  <w:vAlign w:val="center"/>
                </w:tcPr>
                <w:p w14:paraId="5DF08473">
                  <w:pPr>
                    <w:jc w:val="center"/>
                    <w:rPr>
                      <w:rFonts w:hint="eastAsia"/>
                      <w:sz w:val="18"/>
                      <w:szCs w:val="18"/>
                      <w:lang w:eastAsia="zh-CN"/>
                    </w:rPr>
                  </w:pPr>
                  <w:r>
                    <w:rPr>
                      <w:rFonts w:hint="eastAsia"/>
                      <w:sz w:val="18"/>
                      <w:szCs w:val="18"/>
                      <w:lang w:eastAsia="zh-CN"/>
                    </w:rPr>
                    <w:t>破碎机</w:t>
                  </w:r>
                </w:p>
              </w:tc>
              <w:tc>
                <w:tcPr>
                  <w:tcW w:w="2656" w:type="dxa"/>
                  <w:tcBorders>
                    <w:tl2br w:val="nil"/>
                    <w:tr2bl w:val="nil"/>
                  </w:tcBorders>
                  <w:vAlign w:val="center"/>
                </w:tcPr>
                <w:p w14:paraId="0CB11902">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1000型机</w:t>
                  </w:r>
                </w:p>
              </w:tc>
              <w:tc>
                <w:tcPr>
                  <w:tcW w:w="1841" w:type="dxa"/>
                  <w:tcBorders>
                    <w:tl2br w:val="nil"/>
                    <w:tr2bl w:val="nil"/>
                  </w:tcBorders>
                  <w:vAlign w:val="center"/>
                </w:tcPr>
                <w:p w14:paraId="4CB00920">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2</w:t>
                  </w:r>
                </w:p>
              </w:tc>
            </w:tr>
            <w:tr w14:paraId="0CF712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1ECAF856">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11</w:t>
                  </w:r>
                </w:p>
              </w:tc>
              <w:tc>
                <w:tcPr>
                  <w:tcW w:w="2418" w:type="dxa"/>
                  <w:tcBorders>
                    <w:tl2br w:val="nil"/>
                    <w:tr2bl w:val="nil"/>
                  </w:tcBorders>
                  <w:vAlign w:val="center"/>
                </w:tcPr>
                <w:p w14:paraId="367D7DAB">
                  <w:pPr>
                    <w:jc w:val="center"/>
                    <w:rPr>
                      <w:rFonts w:hint="eastAsia"/>
                      <w:sz w:val="18"/>
                      <w:szCs w:val="18"/>
                      <w:lang w:eastAsia="zh-CN"/>
                    </w:rPr>
                  </w:pPr>
                  <w:r>
                    <w:rPr>
                      <w:rFonts w:hint="eastAsia"/>
                      <w:sz w:val="18"/>
                      <w:szCs w:val="18"/>
                      <w:lang w:eastAsia="zh-CN"/>
                    </w:rPr>
                    <w:t>磁选机</w:t>
                  </w:r>
                </w:p>
              </w:tc>
              <w:tc>
                <w:tcPr>
                  <w:tcW w:w="2656" w:type="dxa"/>
                  <w:tcBorders>
                    <w:tl2br w:val="nil"/>
                    <w:tr2bl w:val="nil"/>
                  </w:tcBorders>
                  <w:vAlign w:val="center"/>
                </w:tcPr>
                <w:p w14:paraId="29B07A49">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型号：60/150</w:t>
                  </w:r>
                </w:p>
              </w:tc>
              <w:tc>
                <w:tcPr>
                  <w:tcW w:w="1841" w:type="dxa"/>
                  <w:tcBorders>
                    <w:tl2br w:val="nil"/>
                    <w:tr2bl w:val="nil"/>
                  </w:tcBorders>
                  <w:vAlign w:val="center"/>
                </w:tcPr>
                <w:p w14:paraId="2E2A13C8">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1</w:t>
                  </w:r>
                </w:p>
              </w:tc>
            </w:tr>
            <w:tr w14:paraId="689C7F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541989AE">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12</w:t>
                  </w:r>
                </w:p>
              </w:tc>
              <w:tc>
                <w:tcPr>
                  <w:tcW w:w="2418" w:type="dxa"/>
                  <w:tcBorders>
                    <w:tl2br w:val="nil"/>
                    <w:tr2bl w:val="nil"/>
                  </w:tcBorders>
                  <w:vAlign w:val="center"/>
                </w:tcPr>
                <w:p w14:paraId="0EC1F519">
                  <w:pPr>
                    <w:jc w:val="center"/>
                    <w:rPr>
                      <w:rFonts w:hint="eastAsia"/>
                      <w:sz w:val="18"/>
                      <w:szCs w:val="18"/>
                      <w:lang w:eastAsia="zh-CN"/>
                    </w:rPr>
                  </w:pPr>
                  <w:r>
                    <w:rPr>
                      <w:rFonts w:hint="eastAsia"/>
                      <w:sz w:val="18"/>
                      <w:szCs w:val="18"/>
                      <w:lang w:eastAsia="zh-CN"/>
                    </w:rPr>
                    <w:t>磁选机</w:t>
                  </w:r>
                </w:p>
              </w:tc>
              <w:tc>
                <w:tcPr>
                  <w:tcW w:w="2656" w:type="dxa"/>
                  <w:tcBorders>
                    <w:tl2br w:val="nil"/>
                    <w:tr2bl w:val="nil"/>
                  </w:tcBorders>
                  <w:vAlign w:val="center"/>
                </w:tcPr>
                <w:p w14:paraId="40E6456F">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型号：60/120</w:t>
                  </w:r>
                </w:p>
              </w:tc>
              <w:tc>
                <w:tcPr>
                  <w:tcW w:w="1841" w:type="dxa"/>
                  <w:tcBorders>
                    <w:tl2br w:val="nil"/>
                    <w:tr2bl w:val="nil"/>
                  </w:tcBorders>
                  <w:vAlign w:val="center"/>
                </w:tcPr>
                <w:p w14:paraId="3E3B33A8">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6</w:t>
                  </w:r>
                </w:p>
              </w:tc>
            </w:tr>
            <w:tr w14:paraId="543D16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338A05B8">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13</w:t>
                  </w:r>
                </w:p>
              </w:tc>
              <w:tc>
                <w:tcPr>
                  <w:tcW w:w="2418" w:type="dxa"/>
                  <w:tcBorders>
                    <w:tl2br w:val="nil"/>
                    <w:tr2bl w:val="nil"/>
                  </w:tcBorders>
                  <w:vAlign w:val="center"/>
                </w:tcPr>
                <w:p w14:paraId="25900C7D">
                  <w:pPr>
                    <w:jc w:val="center"/>
                    <w:rPr>
                      <w:rFonts w:hint="eastAsia"/>
                      <w:sz w:val="18"/>
                      <w:szCs w:val="18"/>
                      <w:lang w:eastAsia="zh-CN"/>
                    </w:rPr>
                  </w:pPr>
                  <w:r>
                    <w:rPr>
                      <w:rFonts w:hint="eastAsia"/>
                      <w:sz w:val="18"/>
                      <w:szCs w:val="18"/>
                      <w:lang w:eastAsia="zh-CN"/>
                    </w:rPr>
                    <w:t>摇床悬挂除铁器</w:t>
                  </w:r>
                </w:p>
              </w:tc>
              <w:tc>
                <w:tcPr>
                  <w:tcW w:w="2656" w:type="dxa"/>
                  <w:tcBorders>
                    <w:tl2br w:val="nil"/>
                    <w:tr2bl w:val="nil"/>
                  </w:tcBorders>
                  <w:vAlign w:val="center"/>
                </w:tcPr>
                <w:p w14:paraId="2277DBBD">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HRYC-3</w:t>
                  </w:r>
                </w:p>
              </w:tc>
              <w:tc>
                <w:tcPr>
                  <w:tcW w:w="1841" w:type="dxa"/>
                  <w:tcBorders>
                    <w:tl2br w:val="nil"/>
                    <w:tr2bl w:val="nil"/>
                  </w:tcBorders>
                  <w:vAlign w:val="center"/>
                </w:tcPr>
                <w:p w14:paraId="0EF81975">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5</w:t>
                  </w:r>
                </w:p>
              </w:tc>
            </w:tr>
            <w:tr w14:paraId="25CD7E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252B315B">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14</w:t>
                  </w:r>
                </w:p>
              </w:tc>
              <w:tc>
                <w:tcPr>
                  <w:tcW w:w="2418" w:type="dxa"/>
                  <w:tcBorders>
                    <w:tl2br w:val="nil"/>
                    <w:tr2bl w:val="nil"/>
                  </w:tcBorders>
                  <w:vAlign w:val="center"/>
                </w:tcPr>
                <w:p w14:paraId="00A6804B">
                  <w:pPr>
                    <w:jc w:val="center"/>
                    <w:rPr>
                      <w:rFonts w:hint="eastAsia"/>
                      <w:sz w:val="18"/>
                      <w:szCs w:val="18"/>
                      <w:lang w:eastAsia="zh-CN"/>
                    </w:rPr>
                  </w:pPr>
                  <w:r>
                    <w:rPr>
                      <w:rFonts w:hint="eastAsia"/>
                      <w:sz w:val="18"/>
                      <w:szCs w:val="18"/>
                      <w:lang w:eastAsia="zh-CN"/>
                    </w:rPr>
                    <w:t>一级锯齿波跳汰机</w:t>
                  </w:r>
                </w:p>
              </w:tc>
              <w:tc>
                <w:tcPr>
                  <w:tcW w:w="2656" w:type="dxa"/>
                  <w:tcBorders>
                    <w:tl2br w:val="nil"/>
                    <w:tr2bl w:val="nil"/>
                  </w:tcBorders>
                  <w:vAlign w:val="center"/>
                </w:tcPr>
                <w:p w14:paraId="75BF9908">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JT8-2S</w:t>
                  </w:r>
                </w:p>
              </w:tc>
              <w:tc>
                <w:tcPr>
                  <w:tcW w:w="1841" w:type="dxa"/>
                  <w:tcBorders>
                    <w:tl2br w:val="nil"/>
                    <w:tr2bl w:val="nil"/>
                  </w:tcBorders>
                  <w:vAlign w:val="center"/>
                </w:tcPr>
                <w:p w14:paraId="3F062EE6">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2</w:t>
                  </w:r>
                </w:p>
              </w:tc>
            </w:tr>
            <w:tr w14:paraId="17E188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7BCD17BE">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15</w:t>
                  </w:r>
                </w:p>
              </w:tc>
              <w:tc>
                <w:tcPr>
                  <w:tcW w:w="2418" w:type="dxa"/>
                  <w:tcBorders>
                    <w:tl2br w:val="nil"/>
                    <w:tr2bl w:val="nil"/>
                  </w:tcBorders>
                  <w:vAlign w:val="center"/>
                </w:tcPr>
                <w:p w14:paraId="7BEBEFE9">
                  <w:pPr>
                    <w:jc w:val="center"/>
                    <w:rPr>
                      <w:rFonts w:hint="eastAsia"/>
                      <w:sz w:val="18"/>
                      <w:szCs w:val="18"/>
                      <w:lang w:eastAsia="zh-CN"/>
                    </w:rPr>
                  </w:pPr>
                  <w:r>
                    <w:rPr>
                      <w:rFonts w:hint="eastAsia"/>
                      <w:sz w:val="18"/>
                      <w:szCs w:val="18"/>
                      <w:lang w:eastAsia="zh-CN"/>
                    </w:rPr>
                    <w:t>二级锯齿波跳汰机</w:t>
                  </w:r>
                </w:p>
              </w:tc>
              <w:tc>
                <w:tcPr>
                  <w:tcW w:w="2656" w:type="dxa"/>
                  <w:tcBorders>
                    <w:tl2br w:val="nil"/>
                    <w:tr2bl w:val="nil"/>
                  </w:tcBorders>
                  <w:vAlign w:val="center"/>
                </w:tcPr>
                <w:p w14:paraId="5E3A86C6">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JT4-2S</w:t>
                  </w:r>
                </w:p>
              </w:tc>
              <w:tc>
                <w:tcPr>
                  <w:tcW w:w="1841" w:type="dxa"/>
                  <w:tcBorders>
                    <w:tl2br w:val="nil"/>
                    <w:tr2bl w:val="nil"/>
                  </w:tcBorders>
                  <w:vAlign w:val="center"/>
                </w:tcPr>
                <w:p w14:paraId="0F671E92">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2</w:t>
                  </w:r>
                </w:p>
              </w:tc>
            </w:tr>
            <w:tr w14:paraId="6058B8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6623F56D">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16</w:t>
                  </w:r>
                </w:p>
              </w:tc>
              <w:tc>
                <w:tcPr>
                  <w:tcW w:w="2418" w:type="dxa"/>
                  <w:tcBorders>
                    <w:tl2br w:val="nil"/>
                    <w:tr2bl w:val="nil"/>
                  </w:tcBorders>
                  <w:vAlign w:val="center"/>
                </w:tcPr>
                <w:p w14:paraId="6368DA6A">
                  <w:pPr>
                    <w:jc w:val="center"/>
                    <w:rPr>
                      <w:rFonts w:hint="eastAsia"/>
                      <w:sz w:val="18"/>
                      <w:szCs w:val="18"/>
                      <w:lang w:eastAsia="zh-CN"/>
                    </w:rPr>
                  </w:pPr>
                  <w:r>
                    <w:rPr>
                      <w:rFonts w:hint="eastAsia"/>
                      <w:sz w:val="18"/>
                      <w:szCs w:val="18"/>
                      <w:lang w:eastAsia="zh-CN"/>
                    </w:rPr>
                    <w:t>螺旋洗砂机</w:t>
                  </w:r>
                </w:p>
              </w:tc>
              <w:tc>
                <w:tcPr>
                  <w:tcW w:w="2656" w:type="dxa"/>
                  <w:tcBorders>
                    <w:tl2br w:val="nil"/>
                    <w:tr2bl w:val="nil"/>
                  </w:tcBorders>
                  <w:vAlign w:val="center"/>
                </w:tcPr>
                <w:p w14:paraId="43FE4DAE">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1200*8000</w:t>
                  </w:r>
                </w:p>
              </w:tc>
              <w:tc>
                <w:tcPr>
                  <w:tcW w:w="1841" w:type="dxa"/>
                  <w:tcBorders>
                    <w:tl2br w:val="nil"/>
                    <w:tr2bl w:val="nil"/>
                  </w:tcBorders>
                  <w:vAlign w:val="center"/>
                </w:tcPr>
                <w:p w14:paraId="5F0F7B44">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1</w:t>
                  </w:r>
                </w:p>
              </w:tc>
            </w:tr>
            <w:tr w14:paraId="00A393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5BDB0ABE">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17</w:t>
                  </w:r>
                </w:p>
              </w:tc>
              <w:tc>
                <w:tcPr>
                  <w:tcW w:w="2418" w:type="dxa"/>
                  <w:tcBorders>
                    <w:tl2br w:val="nil"/>
                    <w:tr2bl w:val="nil"/>
                  </w:tcBorders>
                  <w:vAlign w:val="center"/>
                </w:tcPr>
                <w:p w14:paraId="5420C28E">
                  <w:pPr>
                    <w:jc w:val="center"/>
                    <w:rPr>
                      <w:rFonts w:hint="eastAsia"/>
                      <w:sz w:val="18"/>
                      <w:szCs w:val="18"/>
                      <w:lang w:eastAsia="zh-CN"/>
                    </w:rPr>
                  </w:pPr>
                  <w:r>
                    <w:rPr>
                      <w:rFonts w:hint="eastAsia"/>
                      <w:sz w:val="18"/>
                      <w:szCs w:val="18"/>
                      <w:lang w:eastAsia="zh-CN"/>
                    </w:rPr>
                    <w:t>螺旋洗砂机</w:t>
                  </w:r>
                </w:p>
              </w:tc>
              <w:tc>
                <w:tcPr>
                  <w:tcW w:w="2656" w:type="dxa"/>
                  <w:tcBorders>
                    <w:tl2br w:val="nil"/>
                    <w:tr2bl w:val="nil"/>
                  </w:tcBorders>
                  <w:vAlign w:val="center"/>
                </w:tcPr>
                <w:p w14:paraId="45D25C65">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800*6500</w:t>
                  </w:r>
                </w:p>
              </w:tc>
              <w:tc>
                <w:tcPr>
                  <w:tcW w:w="1841" w:type="dxa"/>
                  <w:tcBorders>
                    <w:tl2br w:val="nil"/>
                    <w:tr2bl w:val="nil"/>
                  </w:tcBorders>
                  <w:vAlign w:val="center"/>
                </w:tcPr>
                <w:p w14:paraId="19E246EB">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1</w:t>
                  </w:r>
                </w:p>
              </w:tc>
            </w:tr>
            <w:tr w14:paraId="5AE2A0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22BD57B1">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18</w:t>
                  </w:r>
                </w:p>
              </w:tc>
              <w:tc>
                <w:tcPr>
                  <w:tcW w:w="2418" w:type="dxa"/>
                  <w:tcBorders>
                    <w:tl2br w:val="nil"/>
                    <w:tr2bl w:val="nil"/>
                  </w:tcBorders>
                  <w:vAlign w:val="center"/>
                </w:tcPr>
                <w:p w14:paraId="7A4D343F">
                  <w:pPr>
                    <w:jc w:val="center"/>
                    <w:rPr>
                      <w:rFonts w:hint="eastAsia"/>
                      <w:sz w:val="18"/>
                      <w:szCs w:val="18"/>
                      <w:lang w:eastAsia="zh-CN"/>
                    </w:rPr>
                  </w:pPr>
                  <w:r>
                    <w:rPr>
                      <w:rFonts w:hint="eastAsia"/>
                      <w:sz w:val="18"/>
                      <w:szCs w:val="18"/>
                      <w:lang w:eastAsia="zh-CN"/>
                    </w:rPr>
                    <w:t>分级滚笼筛</w:t>
                  </w:r>
                </w:p>
              </w:tc>
              <w:tc>
                <w:tcPr>
                  <w:tcW w:w="2656" w:type="dxa"/>
                  <w:tcBorders>
                    <w:tl2br w:val="nil"/>
                    <w:tr2bl w:val="nil"/>
                  </w:tcBorders>
                  <w:vAlign w:val="center"/>
                </w:tcPr>
                <w:p w14:paraId="3CF59B39">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φ1500×8500mm</w:t>
                  </w:r>
                </w:p>
              </w:tc>
              <w:tc>
                <w:tcPr>
                  <w:tcW w:w="1841" w:type="dxa"/>
                  <w:tcBorders>
                    <w:tl2br w:val="nil"/>
                    <w:tr2bl w:val="nil"/>
                  </w:tcBorders>
                  <w:vAlign w:val="center"/>
                </w:tcPr>
                <w:p w14:paraId="2714B226">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1</w:t>
                  </w:r>
                </w:p>
              </w:tc>
            </w:tr>
            <w:tr w14:paraId="046247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5878BA8A">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19</w:t>
                  </w:r>
                </w:p>
              </w:tc>
              <w:tc>
                <w:tcPr>
                  <w:tcW w:w="2418" w:type="dxa"/>
                  <w:tcBorders>
                    <w:tl2br w:val="nil"/>
                    <w:tr2bl w:val="nil"/>
                  </w:tcBorders>
                  <w:vAlign w:val="center"/>
                </w:tcPr>
                <w:p w14:paraId="010A7348">
                  <w:pPr>
                    <w:jc w:val="center"/>
                    <w:rPr>
                      <w:rFonts w:hint="eastAsia"/>
                      <w:sz w:val="18"/>
                      <w:szCs w:val="18"/>
                      <w:lang w:eastAsia="zh-CN"/>
                    </w:rPr>
                  </w:pPr>
                  <w:r>
                    <w:rPr>
                      <w:rFonts w:hint="eastAsia"/>
                      <w:sz w:val="18"/>
                      <w:szCs w:val="18"/>
                      <w:lang w:eastAsia="zh-CN"/>
                    </w:rPr>
                    <w:t>垃圾滚笼筛</w:t>
                  </w:r>
                </w:p>
              </w:tc>
              <w:tc>
                <w:tcPr>
                  <w:tcW w:w="2656" w:type="dxa"/>
                  <w:tcBorders>
                    <w:tl2br w:val="nil"/>
                    <w:tr2bl w:val="nil"/>
                  </w:tcBorders>
                  <w:vAlign w:val="center"/>
                </w:tcPr>
                <w:p w14:paraId="4E7978B9">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φ1200×6000mm，</w:t>
                  </w:r>
                </w:p>
              </w:tc>
              <w:tc>
                <w:tcPr>
                  <w:tcW w:w="1841" w:type="dxa"/>
                  <w:tcBorders>
                    <w:tl2br w:val="nil"/>
                    <w:tr2bl w:val="nil"/>
                  </w:tcBorders>
                  <w:vAlign w:val="center"/>
                </w:tcPr>
                <w:p w14:paraId="146A00F2">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1</w:t>
                  </w:r>
                </w:p>
              </w:tc>
            </w:tr>
            <w:tr w14:paraId="27555C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4ADC2BE5">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20</w:t>
                  </w:r>
                </w:p>
              </w:tc>
              <w:tc>
                <w:tcPr>
                  <w:tcW w:w="2418" w:type="dxa"/>
                  <w:tcBorders>
                    <w:tl2br w:val="nil"/>
                    <w:tr2bl w:val="nil"/>
                  </w:tcBorders>
                  <w:vAlign w:val="center"/>
                </w:tcPr>
                <w:p w14:paraId="493484C0">
                  <w:pPr>
                    <w:jc w:val="center"/>
                    <w:rPr>
                      <w:rFonts w:hint="eastAsia"/>
                      <w:sz w:val="18"/>
                      <w:szCs w:val="18"/>
                      <w:lang w:eastAsia="zh-CN"/>
                    </w:rPr>
                  </w:pPr>
                  <w:r>
                    <w:rPr>
                      <w:rFonts w:hint="eastAsia"/>
                      <w:sz w:val="18"/>
                      <w:szCs w:val="18"/>
                      <w:lang w:eastAsia="zh-CN"/>
                    </w:rPr>
                    <w:t>滚笼筛</w:t>
                  </w:r>
                </w:p>
              </w:tc>
              <w:tc>
                <w:tcPr>
                  <w:tcW w:w="2656" w:type="dxa"/>
                  <w:tcBorders>
                    <w:tl2br w:val="nil"/>
                    <w:tr2bl w:val="nil"/>
                  </w:tcBorders>
                  <w:vAlign w:val="center"/>
                </w:tcPr>
                <w:p w14:paraId="7CDAAAF9">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φ1000*2500MM</w:t>
                  </w:r>
                </w:p>
              </w:tc>
              <w:tc>
                <w:tcPr>
                  <w:tcW w:w="1841" w:type="dxa"/>
                  <w:tcBorders>
                    <w:tl2br w:val="nil"/>
                    <w:tr2bl w:val="nil"/>
                  </w:tcBorders>
                  <w:vAlign w:val="center"/>
                </w:tcPr>
                <w:p w14:paraId="63FE60FB">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2</w:t>
                  </w:r>
                </w:p>
              </w:tc>
            </w:tr>
            <w:tr w14:paraId="7EB930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131500DC">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21</w:t>
                  </w:r>
                </w:p>
              </w:tc>
              <w:tc>
                <w:tcPr>
                  <w:tcW w:w="2418" w:type="dxa"/>
                  <w:tcBorders>
                    <w:tl2br w:val="nil"/>
                    <w:tr2bl w:val="nil"/>
                  </w:tcBorders>
                  <w:vAlign w:val="center"/>
                </w:tcPr>
                <w:p w14:paraId="6BA2DADB">
                  <w:pPr>
                    <w:jc w:val="center"/>
                    <w:rPr>
                      <w:rFonts w:hint="eastAsia"/>
                      <w:sz w:val="18"/>
                      <w:szCs w:val="18"/>
                      <w:lang w:eastAsia="zh-CN"/>
                    </w:rPr>
                  </w:pPr>
                  <w:r>
                    <w:rPr>
                      <w:rFonts w:hint="eastAsia"/>
                      <w:sz w:val="18"/>
                      <w:szCs w:val="18"/>
                      <w:lang w:eastAsia="zh-CN"/>
                    </w:rPr>
                    <w:t>涡电流跳汰铝机</w:t>
                  </w:r>
                </w:p>
              </w:tc>
              <w:tc>
                <w:tcPr>
                  <w:tcW w:w="2656" w:type="dxa"/>
                  <w:tcBorders>
                    <w:tl2br w:val="nil"/>
                    <w:tr2bl w:val="nil"/>
                  </w:tcBorders>
                  <w:vAlign w:val="center"/>
                </w:tcPr>
                <w:p w14:paraId="05921BC1">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LES-150单层</w:t>
                  </w:r>
                </w:p>
              </w:tc>
              <w:tc>
                <w:tcPr>
                  <w:tcW w:w="1841" w:type="dxa"/>
                  <w:tcBorders>
                    <w:tl2br w:val="nil"/>
                    <w:tr2bl w:val="nil"/>
                  </w:tcBorders>
                  <w:vAlign w:val="center"/>
                </w:tcPr>
                <w:p w14:paraId="05628DD7">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4</w:t>
                  </w:r>
                </w:p>
              </w:tc>
            </w:tr>
            <w:tr w14:paraId="37A948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4F890311">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22</w:t>
                  </w:r>
                </w:p>
              </w:tc>
              <w:tc>
                <w:tcPr>
                  <w:tcW w:w="2418" w:type="dxa"/>
                  <w:tcBorders>
                    <w:tl2br w:val="nil"/>
                    <w:tr2bl w:val="nil"/>
                  </w:tcBorders>
                  <w:vAlign w:val="center"/>
                </w:tcPr>
                <w:p w14:paraId="1ABD5C85">
                  <w:pPr>
                    <w:jc w:val="center"/>
                    <w:rPr>
                      <w:rFonts w:hint="eastAsia"/>
                      <w:sz w:val="18"/>
                      <w:szCs w:val="18"/>
                      <w:lang w:eastAsia="zh-CN"/>
                    </w:rPr>
                  </w:pPr>
                  <w:r>
                    <w:rPr>
                      <w:rFonts w:hint="eastAsia"/>
                      <w:sz w:val="18"/>
                      <w:szCs w:val="18"/>
                      <w:lang w:eastAsia="zh-CN"/>
                    </w:rPr>
                    <w:t>涡电流分选机</w:t>
                  </w:r>
                </w:p>
              </w:tc>
              <w:tc>
                <w:tcPr>
                  <w:tcW w:w="2656" w:type="dxa"/>
                  <w:tcBorders>
                    <w:tl2br w:val="nil"/>
                    <w:tr2bl w:val="nil"/>
                  </w:tcBorders>
                  <w:vAlign w:val="center"/>
                </w:tcPr>
                <w:p w14:paraId="645BB15D">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LES-650单层</w:t>
                  </w:r>
                </w:p>
              </w:tc>
              <w:tc>
                <w:tcPr>
                  <w:tcW w:w="1841" w:type="dxa"/>
                  <w:tcBorders>
                    <w:tl2br w:val="nil"/>
                    <w:tr2bl w:val="nil"/>
                  </w:tcBorders>
                  <w:vAlign w:val="center"/>
                </w:tcPr>
                <w:p w14:paraId="48867FBE">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2</w:t>
                  </w:r>
                </w:p>
              </w:tc>
            </w:tr>
            <w:tr w14:paraId="417BA2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16A34B05">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23</w:t>
                  </w:r>
                </w:p>
              </w:tc>
              <w:tc>
                <w:tcPr>
                  <w:tcW w:w="2418" w:type="dxa"/>
                  <w:tcBorders>
                    <w:tl2br w:val="nil"/>
                    <w:tr2bl w:val="nil"/>
                  </w:tcBorders>
                  <w:vAlign w:val="center"/>
                </w:tcPr>
                <w:p w14:paraId="58C90DF8">
                  <w:pPr>
                    <w:jc w:val="center"/>
                    <w:rPr>
                      <w:rFonts w:hint="eastAsia"/>
                      <w:sz w:val="18"/>
                      <w:szCs w:val="18"/>
                      <w:lang w:eastAsia="zh-CN"/>
                    </w:rPr>
                  </w:pPr>
                  <w:r>
                    <w:rPr>
                      <w:rFonts w:hint="eastAsia"/>
                      <w:sz w:val="18"/>
                      <w:szCs w:val="18"/>
                      <w:lang w:eastAsia="zh-CN"/>
                    </w:rPr>
                    <w:t>摇床</w:t>
                  </w:r>
                </w:p>
              </w:tc>
              <w:tc>
                <w:tcPr>
                  <w:tcW w:w="2656" w:type="dxa"/>
                  <w:tcBorders>
                    <w:tl2br w:val="nil"/>
                    <w:tr2bl w:val="nil"/>
                  </w:tcBorders>
                  <w:vAlign w:val="center"/>
                </w:tcPr>
                <w:p w14:paraId="57D15800">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60槽摇床</w:t>
                  </w:r>
                </w:p>
              </w:tc>
              <w:tc>
                <w:tcPr>
                  <w:tcW w:w="1841" w:type="dxa"/>
                  <w:tcBorders>
                    <w:tl2br w:val="nil"/>
                    <w:tr2bl w:val="nil"/>
                  </w:tcBorders>
                  <w:vAlign w:val="center"/>
                </w:tcPr>
                <w:p w14:paraId="4338B74F">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9</w:t>
                  </w:r>
                </w:p>
              </w:tc>
            </w:tr>
            <w:tr w14:paraId="49C90C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72B3D5FA">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24</w:t>
                  </w:r>
                </w:p>
              </w:tc>
              <w:tc>
                <w:tcPr>
                  <w:tcW w:w="2418" w:type="dxa"/>
                  <w:tcBorders>
                    <w:tl2br w:val="nil"/>
                    <w:tr2bl w:val="nil"/>
                  </w:tcBorders>
                  <w:vAlign w:val="center"/>
                </w:tcPr>
                <w:p w14:paraId="2E668F60">
                  <w:pPr>
                    <w:jc w:val="center"/>
                    <w:rPr>
                      <w:rFonts w:hint="eastAsia"/>
                      <w:sz w:val="18"/>
                      <w:szCs w:val="18"/>
                      <w:lang w:eastAsia="zh-CN"/>
                    </w:rPr>
                  </w:pPr>
                  <w:r>
                    <w:rPr>
                      <w:rFonts w:hint="eastAsia"/>
                      <w:sz w:val="18"/>
                      <w:szCs w:val="18"/>
                      <w:lang w:eastAsia="zh-CN"/>
                    </w:rPr>
                    <w:t>螺旋输送机</w:t>
                  </w:r>
                </w:p>
              </w:tc>
              <w:tc>
                <w:tcPr>
                  <w:tcW w:w="2656" w:type="dxa"/>
                  <w:tcBorders>
                    <w:tl2br w:val="nil"/>
                    <w:tr2bl w:val="nil"/>
                  </w:tcBorders>
                  <w:vAlign w:val="center"/>
                </w:tcPr>
                <w:p w14:paraId="1D13EB03">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350*4000</w:t>
                  </w:r>
                </w:p>
              </w:tc>
              <w:tc>
                <w:tcPr>
                  <w:tcW w:w="1841" w:type="dxa"/>
                  <w:tcBorders>
                    <w:tl2br w:val="nil"/>
                    <w:tr2bl w:val="nil"/>
                  </w:tcBorders>
                  <w:vAlign w:val="center"/>
                </w:tcPr>
                <w:p w14:paraId="0CDA3FB7">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6</w:t>
                  </w:r>
                </w:p>
              </w:tc>
            </w:tr>
            <w:tr w14:paraId="77DE62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5F0E5237">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25</w:t>
                  </w:r>
                </w:p>
              </w:tc>
              <w:tc>
                <w:tcPr>
                  <w:tcW w:w="2418" w:type="dxa"/>
                  <w:tcBorders>
                    <w:tl2br w:val="nil"/>
                    <w:tr2bl w:val="nil"/>
                  </w:tcBorders>
                  <w:vAlign w:val="center"/>
                </w:tcPr>
                <w:p w14:paraId="580B164D">
                  <w:pPr>
                    <w:jc w:val="center"/>
                    <w:rPr>
                      <w:rFonts w:hint="eastAsia"/>
                      <w:sz w:val="18"/>
                      <w:szCs w:val="18"/>
                      <w:lang w:eastAsia="zh-CN"/>
                    </w:rPr>
                  </w:pPr>
                  <w:r>
                    <w:rPr>
                      <w:rFonts w:hint="eastAsia"/>
                      <w:sz w:val="18"/>
                      <w:szCs w:val="18"/>
                      <w:lang w:eastAsia="zh-CN"/>
                    </w:rPr>
                    <w:t>给料机</w:t>
                  </w:r>
                </w:p>
              </w:tc>
              <w:tc>
                <w:tcPr>
                  <w:tcW w:w="2656" w:type="dxa"/>
                  <w:tcBorders>
                    <w:tl2br w:val="nil"/>
                    <w:tr2bl w:val="nil"/>
                  </w:tcBorders>
                  <w:vAlign w:val="center"/>
                </w:tcPr>
                <w:p w14:paraId="72633CCD">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GZ2</w:t>
                  </w:r>
                </w:p>
              </w:tc>
              <w:tc>
                <w:tcPr>
                  <w:tcW w:w="1841" w:type="dxa"/>
                  <w:tcBorders>
                    <w:tl2br w:val="nil"/>
                    <w:tr2bl w:val="nil"/>
                  </w:tcBorders>
                  <w:vAlign w:val="center"/>
                </w:tcPr>
                <w:p w14:paraId="113EA823">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4</w:t>
                  </w:r>
                </w:p>
              </w:tc>
            </w:tr>
            <w:tr w14:paraId="7D905D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56DC121A">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26</w:t>
                  </w:r>
                </w:p>
              </w:tc>
              <w:tc>
                <w:tcPr>
                  <w:tcW w:w="2418" w:type="dxa"/>
                  <w:tcBorders>
                    <w:tl2br w:val="nil"/>
                    <w:tr2bl w:val="nil"/>
                  </w:tcBorders>
                  <w:vAlign w:val="center"/>
                </w:tcPr>
                <w:p w14:paraId="03482784">
                  <w:pPr>
                    <w:jc w:val="center"/>
                    <w:rPr>
                      <w:rFonts w:hint="eastAsia"/>
                      <w:sz w:val="18"/>
                      <w:szCs w:val="18"/>
                      <w:lang w:eastAsia="zh-CN"/>
                    </w:rPr>
                  </w:pPr>
                  <w:r>
                    <w:rPr>
                      <w:rFonts w:hint="eastAsia"/>
                      <w:sz w:val="18"/>
                      <w:szCs w:val="18"/>
                      <w:lang w:eastAsia="zh-CN"/>
                    </w:rPr>
                    <w:t>压滤机</w:t>
                  </w:r>
                </w:p>
              </w:tc>
              <w:tc>
                <w:tcPr>
                  <w:tcW w:w="2656" w:type="dxa"/>
                  <w:tcBorders>
                    <w:tl2br w:val="nil"/>
                    <w:tr2bl w:val="nil"/>
                  </w:tcBorders>
                  <w:vAlign w:val="center"/>
                </w:tcPr>
                <w:p w14:paraId="569B884C">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XAZF300-1500</w:t>
                  </w:r>
                  <w:r>
                    <w:rPr>
                      <w:rFonts w:hint="eastAsia" w:cs="Times New Roman"/>
                      <w:color w:val="auto"/>
                      <w:sz w:val="18"/>
                      <w:szCs w:val="18"/>
                      <w:lang w:val="en-US" w:eastAsia="zh-CN"/>
                    </w:rPr>
                    <w:t>，</w:t>
                  </w:r>
                  <w:r>
                    <w:rPr>
                      <w:rFonts w:hint="default" w:ascii="Times New Roman" w:hAnsi="Times New Roman" w:cs="Times New Roman"/>
                      <w:color w:val="auto"/>
                      <w:sz w:val="18"/>
                      <w:szCs w:val="18"/>
                      <w:lang w:val="en-US" w:eastAsia="zh-CN"/>
                    </w:rPr>
                    <w:t>含二次加压系统设备、翻板机、液压系统等</w:t>
                  </w:r>
                </w:p>
              </w:tc>
              <w:tc>
                <w:tcPr>
                  <w:tcW w:w="1841" w:type="dxa"/>
                  <w:tcBorders>
                    <w:tl2br w:val="nil"/>
                    <w:tr2bl w:val="nil"/>
                  </w:tcBorders>
                  <w:vAlign w:val="center"/>
                </w:tcPr>
                <w:p w14:paraId="721B0331">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3</w:t>
                  </w:r>
                </w:p>
              </w:tc>
            </w:tr>
            <w:tr w14:paraId="591BB3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556A234B">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27</w:t>
                  </w:r>
                </w:p>
              </w:tc>
              <w:tc>
                <w:tcPr>
                  <w:tcW w:w="2418" w:type="dxa"/>
                  <w:tcBorders>
                    <w:tl2br w:val="nil"/>
                    <w:tr2bl w:val="nil"/>
                  </w:tcBorders>
                  <w:vAlign w:val="center"/>
                </w:tcPr>
                <w:p w14:paraId="6AED590E">
                  <w:pPr>
                    <w:jc w:val="center"/>
                    <w:rPr>
                      <w:rFonts w:hint="eastAsia"/>
                      <w:sz w:val="18"/>
                      <w:szCs w:val="18"/>
                      <w:lang w:eastAsia="zh-CN"/>
                    </w:rPr>
                  </w:pPr>
                  <w:r>
                    <w:rPr>
                      <w:rFonts w:hint="eastAsia"/>
                      <w:sz w:val="18"/>
                      <w:szCs w:val="18"/>
                      <w:lang w:eastAsia="zh-CN"/>
                    </w:rPr>
                    <w:t>脱水筛</w:t>
                  </w:r>
                </w:p>
              </w:tc>
              <w:tc>
                <w:tcPr>
                  <w:tcW w:w="2656" w:type="dxa"/>
                  <w:tcBorders>
                    <w:tl2br w:val="nil"/>
                    <w:tr2bl w:val="nil"/>
                  </w:tcBorders>
                  <w:vAlign w:val="center"/>
                </w:tcPr>
                <w:p w14:paraId="131823D2">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2460，含旋流器及泵</w:t>
                  </w:r>
                </w:p>
              </w:tc>
              <w:tc>
                <w:tcPr>
                  <w:tcW w:w="1841" w:type="dxa"/>
                  <w:tcBorders>
                    <w:tl2br w:val="nil"/>
                    <w:tr2bl w:val="nil"/>
                  </w:tcBorders>
                  <w:vAlign w:val="center"/>
                </w:tcPr>
                <w:p w14:paraId="5344F024">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2</w:t>
                  </w:r>
                </w:p>
              </w:tc>
            </w:tr>
            <w:tr w14:paraId="259672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1CF964BA">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28</w:t>
                  </w:r>
                </w:p>
              </w:tc>
              <w:tc>
                <w:tcPr>
                  <w:tcW w:w="2418" w:type="dxa"/>
                  <w:tcBorders>
                    <w:tl2br w:val="nil"/>
                    <w:tr2bl w:val="nil"/>
                  </w:tcBorders>
                  <w:vAlign w:val="center"/>
                </w:tcPr>
                <w:p w14:paraId="619A25D5">
                  <w:pPr>
                    <w:jc w:val="center"/>
                    <w:rPr>
                      <w:rFonts w:hint="eastAsia"/>
                      <w:sz w:val="18"/>
                      <w:szCs w:val="18"/>
                      <w:lang w:eastAsia="zh-CN"/>
                    </w:rPr>
                  </w:pPr>
                  <w:r>
                    <w:rPr>
                      <w:rFonts w:hint="eastAsia"/>
                      <w:sz w:val="18"/>
                      <w:szCs w:val="18"/>
                      <w:lang w:eastAsia="zh-CN"/>
                    </w:rPr>
                    <w:t>沉砂罐</w:t>
                  </w:r>
                </w:p>
              </w:tc>
              <w:tc>
                <w:tcPr>
                  <w:tcW w:w="2656" w:type="dxa"/>
                  <w:tcBorders>
                    <w:tl2br w:val="nil"/>
                    <w:tr2bl w:val="nil"/>
                  </w:tcBorders>
                  <w:vAlign w:val="center"/>
                </w:tcPr>
                <w:p w14:paraId="52CA2CF1">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4500*4500</w:t>
                  </w:r>
                </w:p>
              </w:tc>
              <w:tc>
                <w:tcPr>
                  <w:tcW w:w="1841" w:type="dxa"/>
                  <w:tcBorders>
                    <w:tl2br w:val="nil"/>
                    <w:tr2bl w:val="nil"/>
                  </w:tcBorders>
                  <w:vAlign w:val="center"/>
                </w:tcPr>
                <w:p w14:paraId="1CA2D050">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3</w:t>
                  </w:r>
                </w:p>
              </w:tc>
            </w:tr>
            <w:tr w14:paraId="4943AC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22BD3A6D">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29</w:t>
                  </w:r>
                </w:p>
              </w:tc>
              <w:tc>
                <w:tcPr>
                  <w:tcW w:w="2418" w:type="dxa"/>
                  <w:tcBorders>
                    <w:tl2br w:val="nil"/>
                    <w:tr2bl w:val="nil"/>
                  </w:tcBorders>
                  <w:vAlign w:val="center"/>
                </w:tcPr>
                <w:p w14:paraId="1408ED69">
                  <w:pPr>
                    <w:jc w:val="center"/>
                    <w:rPr>
                      <w:rFonts w:hint="eastAsia"/>
                      <w:sz w:val="18"/>
                      <w:szCs w:val="18"/>
                      <w:lang w:eastAsia="zh-CN"/>
                    </w:rPr>
                  </w:pPr>
                  <w:r>
                    <w:rPr>
                      <w:rFonts w:hint="eastAsia"/>
                      <w:sz w:val="18"/>
                      <w:szCs w:val="18"/>
                      <w:lang w:eastAsia="zh-CN"/>
                    </w:rPr>
                    <w:t>清水罐</w:t>
                  </w:r>
                </w:p>
              </w:tc>
              <w:tc>
                <w:tcPr>
                  <w:tcW w:w="2656" w:type="dxa"/>
                  <w:tcBorders>
                    <w:tl2br w:val="nil"/>
                    <w:tr2bl w:val="nil"/>
                  </w:tcBorders>
                  <w:vAlign w:val="center"/>
                </w:tcPr>
                <w:p w14:paraId="725DECEF">
                  <w:pPr>
                    <w:bidi w:val="0"/>
                    <w:jc w:val="center"/>
                    <w:rPr>
                      <w:rFonts w:hint="default" w:ascii="Times New Roman" w:hAnsi="Times New Roman" w:cs="Times New Roman"/>
                      <w:color w:val="auto"/>
                      <w:sz w:val="18"/>
                      <w:szCs w:val="18"/>
                      <w:lang w:val="en-US" w:eastAsia="zh-CN"/>
                    </w:rPr>
                  </w:pPr>
                  <w:r>
                    <w:rPr>
                      <w:rFonts w:hint="eastAsia" w:cs="Times New Roman"/>
                      <w:color w:val="auto"/>
                      <w:sz w:val="18"/>
                      <w:szCs w:val="18"/>
                      <w:lang w:val="en-US" w:eastAsia="zh-CN"/>
                    </w:rPr>
                    <w:t>310m3</w:t>
                  </w:r>
                </w:p>
              </w:tc>
              <w:tc>
                <w:tcPr>
                  <w:tcW w:w="1841" w:type="dxa"/>
                  <w:tcBorders>
                    <w:tl2br w:val="nil"/>
                    <w:tr2bl w:val="nil"/>
                  </w:tcBorders>
                  <w:vAlign w:val="center"/>
                </w:tcPr>
                <w:p w14:paraId="2C20860E">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2</w:t>
                  </w:r>
                </w:p>
              </w:tc>
            </w:tr>
            <w:tr w14:paraId="24C638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43" w:type="dxa"/>
                  <w:tcBorders>
                    <w:tl2br w:val="nil"/>
                    <w:tr2bl w:val="nil"/>
                  </w:tcBorders>
                  <w:vAlign w:val="center"/>
                </w:tcPr>
                <w:p w14:paraId="62C7E6FB">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30</w:t>
                  </w:r>
                </w:p>
              </w:tc>
              <w:tc>
                <w:tcPr>
                  <w:tcW w:w="2418" w:type="dxa"/>
                  <w:tcBorders>
                    <w:tl2br w:val="nil"/>
                    <w:tr2bl w:val="nil"/>
                  </w:tcBorders>
                  <w:vAlign w:val="center"/>
                </w:tcPr>
                <w:p w14:paraId="6DB5D0DF">
                  <w:pPr>
                    <w:jc w:val="center"/>
                    <w:rPr>
                      <w:rFonts w:hint="eastAsia"/>
                      <w:sz w:val="18"/>
                      <w:szCs w:val="18"/>
                      <w:lang w:eastAsia="zh-CN"/>
                    </w:rPr>
                  </w:pPr>
                  <w:r>
                    <w:rPr>
                      <w:rFonts w:hint="eastAsia"/>
                      <w:sz w:val="18"/>
                      <w:szCs w:val="18"/>
                      <w:lang w:eastAsia="zh-CN"/>
                    </w:rPr>
                    <w:t>污水罐</w:t>
                  </w:r>
                </w:p>
              </w:tc>
              <w:tc>
                <w:tcPr>
                  <w:tcW w:w="2656" w:type="dxa"/>
                  <w:tcBorders>
                    <w:tl2br w:val="nil"/>
                    <w:tr2bl w:val="nil"/>
                  </w:tcBorders>
                  <w:vAlign w:val="center"/>
                </w:tcPr>
                <w:p w14:paraId="30D8647A">
                  <w:pPr>
                    <w:bidi w:val="0"/>
                    <w:jc w:val="center"/>
                    <w:rPr>
                      <w:rFonts w:hint="default" w:ascii="Times New Roman" w:hAnsi="Times New Roman" w:cs="Times New Roman"/>
                      <w:color w:val="auto"/>
                      <w:sz w:val="18"/>
                      <w:szCs w:val="18"/>
                      <w:lang w:val="en-US" w:eastAsia="zh-CN"/>
                    </w:rPr>
                  </w:pPr>
                  <w:r>
                    <w:rPr>
                      <w:rFonts w:hint="eastAsia" w:cs="Times New Roman"/>
                      <w:color w:val="auto"/>
                      <w:sz w:val="18"/>
                      <w:szCs w:val="18"/>
                      <w:lang w:val="en-US" w:eastAsia="zh-CN"/>
                    </w:rPr>
                    <w:t>180m3</w:t>
                  </w:r>
                </w:p>
              </w:tc>
              <w:tc>
                <w:tcPr>
                  <w:tcW w:w="1841" w:type="dxa"/>
                  <w:tcBorders>
                    <w:tl2br w:val="nil"/>
                    <w:tr2bl w:val="nil"/>
                  </w:tcBorders>
                  <w:vAlign w:val="center"/>
                </w:tcPr>
                <w:p w14:paraId="1A271947">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2</w:t>
                  </w:r>
                </w:p>
              </w:tc>
            </w:tr>
          </w:tbl>
          <w:p w14:paraId="005FF44A">
            <w:pPr>
              <w:widowControl/>
              <w:spacing w:line="500" w:lineRule="exact"/>
              <w:jc w:val="left"/>
              <w:rPr>
                <w:b/>
                <w:bCs/>
                <w:color w:val="auto"/>
                <w:kern w:val="0"/>
                <w:szCs w:val="21"/>
                <w:lang w:bidi="ar"/>
              </w:rPr>
            </w:pPr>
            <w:r>
              <w:rPr>
                <w:b/>
                <w:bCs/>
                <w:color w:val="auto"/>
                <w:kern w:val="0"/>
                <w:szCs w:val="21"/>
                <w:lang w:bidi="ar"/>
              </w:rPr>
              <w:t>5、工程内容</w:t>
            </w:r>
          </w:p>
          <w:p w14:paraId="69C4BF1D">
            <w:pPr>
              <w:adjustRightInd w:val="0"/>
              <w:snapToGrid w:val="0"/>
              <w:spacing w:line="500" w:lineRule="exact"/>
              <w:ind w:firstLine="420" w:firstLineChars="200"/>
              <w:rPr>
                <w:bCs/>
                <w:color w:val="auto"/>
                <w:szCs w:val="21"/>
              </w:rPr>
            </w:pPr>
            <w:r>
              <w:rPr>
                <w:rFonts w:hint="eastAsia"/>
                <w:bCs/>
                <w:color w:val="auto"/>
                <w:szCs w:val="21"/>
              </w:rPr>
              <w:t>项目工程内容主要包括主体工程、公用工程及环保工程等，具体内容见表2-</w:t>
            </w:r>
            <w:r>
              <w:rPr>
                <w:rFonts w:hint="eastAsia"/>
                <w:bCs/>
                <w:color w:val="auto"/>
                <w:szCs w:val="21"/>
                <w:lang w:val="en-US" w:eastAsia="zh-CN"/>
              </w:rPr>
              <w:t>10</w:t>
            </w:r>
            <w:r>
              <w:rPr>
                <w:rFonts w:hint="eastAsia"/>
                <w:bCs/>
                <w:color w:val="auto"/>
                <w:szCs w:val="21"/>
              </w:rPr>
              <w:t>。</w:t>
            </w:r>
          </w:p>
          <w:p w14:paraId="72AA8AD2">
            <w:pPr>
              <w:spacing w:line="360" w:lineRule="auto"/>
              <w:jc w:val="center"/>
              <w:rPr>
                <w:b/>
                <w:bCs/>
                <w:color w:val="auto"/>
              </w:rPr>
            </w:pPr>
            <w:r>
              <w:rPr>
                <w:b/>
                <w:bCs/>
                <w:color w:val="auto"/>
              </w:rPr>
              <w:t>表2-</w:t>
            </w:r>
            <w:r>
              <w:rPr>
                <w:rFonts w:hint="eastAsia"/>
                <w:b/>
                <w:bCs/>
                <w:color w:val="auto"/>
                <w:lang w:val="en-US" w:eastAsia="zh-CN"/>
              </w:rPr>
              <w:t xml:space="preserve">10 </w:t>
            </w:r>
            <w:r>
              <w:rPr>
                <w:b/>
                <w:bCs/>
                <w:color w:val="auto"/>
              </w:rPr>
              <w:t>项目主要工程内容一览表</w:t>
            </w:r>
          </w:p>
          <w:tbl>
            <w:tblPr>
              <w:tblStyle w:val="20"/>
              <w:tblW w:w="833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45"/>
              <w:gridCol w:w="720"/>
              <w:gridCol w:w="1380"/>
              <w:gridCol w:w="3795"/>
              <w:gridCol w:w="1498"/>
            </w:tblGrid>
            <w:tr w14:paraId="2B68CB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45" w:type="dxa"/>
                  <w:tcBorders>
                    <w:tl2br w:val="nil"/>
                    <w:tr2bl w:val="nil"/>
                  </w:tcBorders>
                  <w:vAlign w:val="center"/>
                </w:tcPr>
                <w:p w14:paraId="618BECA7">
                  <w:pPr>
                    <w:widowControl/>
                    <w:jc w:val="center"/>
                    <w:rPr>
                      <w:color w:val="auto"/>
                      <w:kern w:val="0"/>
                      <w:sz w:val="18"/>
                      <w:szCs w:val="18"/>
                      <w:lang w:bidi="ar"/>
                    </w:rPr>
                  </w:pPr>
                  <w:r>
                    <w:rPr>
                      <w:color w:val="auto"/>
                      <w:kern w:val="0"/>
                      <w:sz w:val="18"/>
                      <w:szCs w:val="18"/>
                      <w:lang w:bidi="ar"/>
                    </w:rPr>
                    <w:t>工程名称</w:t>
                  </w:r>
                </w:p>
              </w:tc>
              <w:tc>
                <w:tcPr>
                  <w:tcW w:w="2100" w:type="dxa"/>
                  <w:gridSpan w:val="2"/>
                  <w:tcBorders>
                    <w:tl2br w:val="nil"/>
                    <w:tr2bl w:val="nil"/>
                  </w:tcBorders>
                  <w:vAlign w:val="center"/>
                </w:tcPr>
                <w:p w14:paraId="1920F698">
                  <w:pPr>
                    <w:widowControl/>
                    <w:jc w:val="center"/>
                    <w:rPr>
                      <w:color w:val="auto"/>
                      <w:kern w:val="0"/>
                      <w:sz w:val="18"/>
                      <w:szCs w:val="18"/>
                      <w:lang w:bidi="ar"/>
                    </w:rPr>
                  </w:pPr>
                  <w:r>
                    <w:rPr>
                      <w:color w:val="auto"/>
                      <w:kern w:val="0"/>
                      <w:sz w:val="18"/>
                      <w:szCs w:val="18"/>
                      <w:lang w:bidi="ar"/>
                    </w:rPr>
                    <w:t>建设名称</w:t>
                  </w:r>
                </w:p>
              </w:tc>
              <w:tc>
                <w:tcPr>
                  <w:tcW w:w="3795" w:type="dxa"/>
                  <w:tcBorders>
                    <w:tl2br w:val="nil"/>
                    <w:tr2bl w:val="nil"/>
                  </w:tcBorders>
                  <w:vAlign w:val="center"/>
                </w:tcPr>
                <w:p w14:paraId="08C0D9CE">
                  <w:pPr>
                    <w:widowControl/>
                    <w:jc w:val="center"/>
                    <w:rPr>
                      <w:color w:val="auto"/>
                      <w:kern w:val="0"/>
                      <w:sz w:val="18"/>
                      <w:szCs w:val="18"/>
                      <w:lang w:bidi="ar"/>
                    </w:rPr>
                  </w:pPr>
                  <w:r>
                    <w:rPr>
                      <w:rFonts w:hint="eastAsia"/>
                      <w:color w:val="auto"/>
                      <w:kern w:val="0"/>
                      <w:sz w:val="18"/>
                      <w:szCs w:val="18"/>
                      <w:lang w:bidi="ar"/>
                    </w:rPr>
                    <w:t>工程内容</w:t>
                  </w:r>
                </w:p>
              </w:tc>
              <w:tc>
                <w:tcPr>
                  <w:tcW w:w="1498" w:type="dxa"/>
                  <w:tcBorders>
                    <w:tl2br w:val="nil"/>
                    <w:tr2bl w:val="nil"/>
                  </w:tcBorders>
                  <w:vAlign w:val="center"/>
                </w:tcPr>
                <w:p w14:paraId="0A27D7C4">
                  <w:pPr>
                    <w:widowControl/>
                    <w:jc w:val="center"/>
                    <w:rPr>
                      <w:color w:val="auto"/>
                      <w:kern w:val="0"/>
                      <w:sz w:val="18"/>
                      <w:szCs w:val="18"/>
                      <w:lang w:bidi="ar"/>
                    </w:rPr>
                  </w:pPr>
                  <w:r>
                    <w:rPr>
                      <w:color w:val="auto"/>
                      <w:kern w:val="0"/>
                      <w:sz w:val="18"/>
                      <w:szCs w:val="18"/>
                      <w:lang w:bidi="ar"/>
                    </w:rPr>
                    <w:t>备注</w:t>
                  </w:r>
                </w:p>
              </w:tc>
            </w:tr>
            <w:tr w14:paraId="404011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945" w:type="dxa"/>
                  <w:tcBorders>
                    <w:tl2br w:val="nil"/>
                    <w:tr2bl w:val="nil"/>
                  </w:tcBorders>
                  <w:vAlign w:val="center"/>
                </w:tcPr>
                <w:p w14:paraId="7CECCF0F">
                  <w:pPr>
                    <w:widowControl/>
                    <w:jc w:val="center"/>
                    <w:rPr>
                      <w:color w:val="auto"/>
                      <w:kern w:val="0"/>
                      <w:sz w:val="18"/>
                      <w:szCs w:val="18"/>
                      <w:lang w:bidi="ar"/>
                    </w:rPr>
                  </w:pPr>
                  <w:r>
                    <w:rPr>
                      <w:color w:val="auto"/>
                      <w:kern w:val="0"/>
                      <w:sz w:val="18"/>
                      <w:szCs w:val="18"/>
                      <w:lang w:bidi="ar"/>
                    </w:rPr>
                    <w:t>主体工程</w:t>
                  </w:r>
                </w:p>
              </w:tc>
              <w:tc>
                <w:tcPr>
                  <w:tcW w:w="2100" w:type="dxa"/>
                  <w:gridSpan w:val="2"/>
                  <w:tcBorders>
                    <w:tl2br w:val="nil"/>
                    <w:tr2bl w:val="nil"/>
                  </w:tcBorders>
                  <w:vAlign w:val="center"/>
                </w:tcPr>
                <w:p w14:paraId="64EA6B06">
                  <w:pPr>
                    <w:jc w:val="center"/>
                    <w:rPr>
                      <w:rFonts w:hint="default" w:eastAsia="宋体"/>
                      <w:color w:val="auto"/>
                      <w:sz w:val="18"/>
                      <w:szCs w:val="18"/>
                      <w:lang w:val="en-US" w:eastAsia="zh-CN"/>
                    </w:rPr>
                  </w:pPr>
                  <w:r>
                    <w:rPr>
                      <w:rFonts w:hint="eastAsia"/>
                      <w:color w:val="auto"/>
                      <w:sz w:val="18"/>
                      <w:szCs w:val="18"/>
                      <w:lang w:val="en-US" w:eastAsia="zh-CN"/>
                    </w:rPr>
                    <w:t>生产车间</w:t>
                  </w:r>
                </w:p>
              </w:tc>
              <w:tc>
                <w:tcPr>
                  <w:tcW w:w="3795" w:type="dxa"/>
                  <w:tcBorders>
                    <w:tl2br w:val="nil"/>
                    <w:tr2bl w:val="nil"/>
                  </w:tcBorders>
                  <w:vAlign w:val="center"/>
                </w:tcPr>
                <w:p w14:paraId="237E9F8A">
                  <w:pPr>
                    <w:widowControl/>
                    <w:jc w:val="center"/>
                    <w:rPr>
                      <w:rFonts w:hint="eastAsia" w:eastAsia="宋体"/>
                      <w:color w:val="auto"/>
                      <w:kern w:val="0"/>
                      <w:sz w:val="18"/>
                      <w:szCs w:val="18"/>
                      <w:lang w:eastAsia="zh-CN" w:bidi="ar"/>
                    </w:rPr>
                  </w:pPr>
                  <w:r>
                    <w:rPr>
                      <w:rFonts w:hint="eastAsia"/>
                      <w:color w:val="auto"/>
                      <w:sz w:val="18"/>
                      <w:szCs w:val="18"/>
                    </w:rPr>
                    <w:t>1层，建筑面积为</w:t>
                  </w:r>
                  <w:r>
                    <w:rPr>
                      <w:rFonts w:hint="eastAsia"/>
                      <w:color w:val="auto"/>
                      <w:sz w:val="18"/>
                      <w:szCs w:val="18"/>
                      <w:lang w:val="en-US" w:eastAsia="zh-CN"/>
                    </w:rPr>
                    <w:t>2000</w:t>
                  </w:r>
                  <w:r>
                    <w:rPr>
                      <w:rFonts w:hint="eastAsia"/>
                      <w:color w:val="auto"/>
                      <w:sz w:val="18"/>
                      <w:szCs w:val="18"/>
                    </w:rPr>
                    <w:t>m</w:t>
                  </w:r>
                  <w:r>
                    <w:rPr>
                      <w:rFonts w:hint="eastAsia"/>
                      <w:color w:val="auto"/>
                      <w:sz w:val="18"/>
                      <w:szCs w:val="18"/>
                      <w:vertAlign w:val="superscript"/>
                    </w:rPr>
                    <w:t>2</w:t>
                  </w:r>
                  <w:r>
                    <w:rPr>
                      <w:rFonts w:hint="eastAsia"/>
                      <w:color w:val="auto"/>
                      <w:sz w:val="18"/>
                      <w:szCs w:val="18"/>
                      <w:vertAlign w:val="baseline"/>
                      <w:lang w:val="en-US" w:eastAsia="zh-CN"/>
                    </w:rPr>
                    <w:t>，高20m</w:t>
                  </w:r>
                </w:p>
              </w:tc>
              <w:tc>
                <w:tcPr>
                  <w:tcW w:w="1498" w:type="dxa"/>
                  <w:tcBorders>
                    <w:tl2br w:val="nil"/>
                    <w:tr2bl w:val="nil"/>
                  </w:tcBorders>
                  <w:vAlign w:val="center"/>
                </w:tcPr>
                <w:p w14:paraId="2B6622D5">
                  <w:pPr>
                    <w:widowControl/>
                    <w:jc w:val="center"/>
                    <w:rPr>
                      <w:rFonts w:hint="default" w:eastAsia="宋体"/>
                      <w:color w:val="auto"/>
                      <w:kern w:val="0"/>
                      <w:sz w:val="18"/>
                      <w:szCs w:val="18"/>
                      <w:lang w:val="en-US" w:eastAsia="zh-CN" w:bidi="ar"/>
                    </w:rPr>
                  </w:pPr>
                  <w:r>
                    <w:rPr>
                      <w:rFonts w:hint="eastAsia"/>
                      <w:color w:val="auto"/>
                      <w:kern w:val="0"/>
                      <w:sz w:val="18"/>
                      <w:szCs w:val="18"/>
                      <w:lang w:val="en-US" w:eastAsia="zh-CN" w:bidi="ar"/>
                    </w:rPr>
                    <w:t>依托现有厂房</w:t>
                  </w:r>
                </w:p>
              </w:tc>
            </w:tr>
            <w:tr w14:paraId="16BA44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45" w:type="dxa"/>
                  <w:tcBorders>
                    <w:tl2br w:val="nil"/>
                    <w:tr2bl w:val="nil"/>
                  </w:tcBorders>
                  <w:vAlign w:val="center"/>
                </w:tcPr>
                <w:p w14:paraId="5430F654">
                  <w:pPr>
                    <w:widowControl/>
                    <w:jc w:val="center"/>
                    <w:rPr>
                      <w:color w:val="auto"/>
                      <w:kern w:val="0"/>
                      <w:sz w:val="18"/>
                      <w:szCs w:val="18"/>
                      <w:lang w:bidi="ar"/>
                    </w:rPr>
                  </w:pPr>
                  <w:r>
                    <w:rPr>
                      <w:rFonts w:hint="eastAsia"/>
                      <w:color w:val="auto"/>
                      <w:kern w:val="0"/>
                      <w:sz w:val="18"/>
                      <w:szCs w:val="18"/>
                      <w:lang w:bidi="ar"/>
                    </w:rPr>
                    <w:t>辅助工程</w:t>
                  </w:r>
                </w:p>
              </w:tc>
              <w:tc>
                <w:tcPr>
                  <w:tcW w:w="2100" w:type="dxa"/>
                  <w:gridSpan w:val="2"/>
                  <w:tcBorders>
                    <w:tl2br w:val="nil"/>
                    <w:tr2bl w:val="nil"/>
                  </w:tcBorders>
                  <w:vAlign w:val="center"/>
                </w:tcPr>
                <w:p w14:paraId="5E598F80">
                  <w:pPr>
                    <w:jc w:val="center"/>
                    <w:rPr>
                      <w:rFonts w:hint="eastAsia" w:eastAsia="宋体"/>
                      <w:color w:val="auto"/>
                      <w:sz w:val="18"/>
                      <w:szCs w:val="18"/>
                      <w:shd w:val="clear" w:color="auto" w:fill="FFFFFF"/>
                      <w:lang w:eastAsia="zh-CN"/>
                    </w:rPr>
                  </w:pPr>
                  <w:r>
                    <w:rPr>
                      <w:rFonts w:hint="eastAsia"/>
                      <w:color w:val="auto"/>
                      <w:sz w:val="18"/>
                      <w:szCs w:val="18"/>
                      <w:shd w:val="clear" w:color="auto" w:fill="FFFFFF"/>
                      <w:lang w:eastAsia="zh-CN"/>
                    </w:rPr>
                    <w:t>综合楼</w:t>
                  </w:r>
                </w:p>
              </w:tc>
              <w:tc>
                <w:tcPr>
                  <w:tcW w:w="3795" w:type="dxa"/>
                  <w:tcBorders>
                    <w:tl2br w:val="nil"/>
                    <w:tr2bl w:val="nil"/>
                  </w:tcBorders>
                  <w:vAlign w:val="center"/>
                </w:tcPr>
                <w:p w14:paraId="72A9908C">
                  <w:pPr>
                    <w:jc w:val="center"/>
                    <w:rPr>
                      <w:color w:val="auto"/>
                      <w:sz w:val="18"/>
                      <w:szCs w:val="18"/>
                    </w:rPr>
                  </w:pPr>
                  <w:r>
                    <w:rPr>
                      <w:color w:val="auto"/>
                      <w:sz w:val="18"/>
                      <w:szCs w:val="18"/>
                    </w:rPr>
                    <w:t>建筑面积为</w:t>
                  </w:r>
                  <w:r>
                    <w:rPr>
                      <w:rFonts w:hint="eastAsia"/>
                      <w:color w:val="auto"/>
                      <w:sz w:val="18"/>
                      <w:szCs w:val="18"/>
                      <w:lang w:val="en-US" w:eastAsia="zh-CN"/>
                    </w:rPr>
                    <w:t>890</w:t>
                  </w:r>
                  <w:r>
                    <w:rPr>
                      <w:color w:val="auto"/>
                      <w:sz w:val="18"/>
                      <w:szCs w:val="18"/>
                    </w:rPr>
                    <w:t>m</w:t>
                  </w:r>
                  <w:r>
                    <w:rPr>
                      <w:color w:val="auto"/>
                      <w:sz w:val="18"/>
                      <w:szCs w:val="18"/>
                      <w:vertAlign w:val="superscript"/>
                    </w:rPr>
                    <w:t>2</w:t>
                  </w:r>
                  <w:r>
                    <w:rPr>
                      <w:rFonts w:hint="eastAsia"/>
                      <w:color w:val="auto"/>
                      <w:sz w:val="18"/>
                      <w:szCs w:val="18"/>
                      <w:vertAlign w:val="baseline"/>
                      <w:lang w:eastAsia="zh-CN"/>
                    </w:rPr>
                    <w:t>，</w:t>
                  </w:r>
                  <w:r>
                    <w:rPr>
                      <w:rFonts w:hint="eastAsia"/>
                      <w:color w:val="auto"/>
                      <w:sz w:val="18"/>
                      <w:szCs w:val="18"/>
                      <w:vertAlign w:val="baseline"/>
                      <w:lang w:val="en-US" w:eastAsia="zh-CN"/>
                    </w:rPr>
                    <w:t>3F，单层高14m</w:t>
                  </w:r>
                </w:p>
              </w:tc>
              <w:tc>
                <w:tcPr>
                  <w:tcW w:w="1498" w:type="dxa"/>
                  <w:tcBorders>
                    <w:tl2br w:val="nil"/>
                    <w:tr2bl w:val="nil"/>
                  </w:tcBorders>
                  <w:vAlign w:val="center"/>
                </w:tcPr>
                <w:p w14:paraId="40BB776E">
                  <w:pPr>
                    <w:widowControl/>
                    <w:jc w:val="center"/>
                    <w:rPr>
                      <w:rFonts w:hint="default"/>
                      <w:color w:val="auto"/>
                      <w:kern w:val="0"/>
                      <w:sz w:val="18"/>
                      <w:szCs w:val="18"/>
                      <w:lang w:val="en-US" w:bidi="ar"/>
                    </w:rPr>
                  </w:pPr>
                  <w:r>
                    <w:rPr>
                      <w:rFonts w:hint="eastAsia"/>
                      <w:color w:val="auto"/>
                      <w:kern w:val="0"/>
                      <w:sz w:val="18"/>
                      <w:szCs w:val="18"/>
                      <w:lang w:val="en-US" w:eastAsia="zh-CN" w:bidi="ar"/>
                    </w:rPr>
                    <w:t>办公、宿舍</w:t>
                  </w:r>
                </w:p>
              </w:tc>
            </w:tr>
            <w:tr w14:paraId="098419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45" w:type="dxa"/>
                  <w:vMerge w:val="restart"/>
                  <w:tcBorders>
                    <w:tl2br w:val="nil"/>
                    <w:tr2bl w:val="nil"/>
                  </w:tcBorders>
                  <w:vAlign w:val="center"/>
                </w:tcPr>
                <w:p w14:paraId="524C2173">
                  <w:pPr>
                    <w:widowControl/>
                    <w:jc w:val="center"/>
                    <w:rPr>
                      <w:color w:val="auto"/>
                      <w:kern w:val="0"/>
                      <w:sz w:val="18"/>
                      <w:szCs w:val="18"/>
                      <w:lang w:bidi="ar"/>
                    </w:rPr>
                  </w:pPr>
                  <w:r>
                    <w:rPr>
                      <w:color w:val="auto"/>
                      <w:sz w:val="18"/>
                      <w:szCs w:val="18"/>
                    </w:rPr>
                    <w:t>贮运工程</w:t>
                  </w:r>
                </w:p>
              </w:tc>
              <w:tc>
                <w:tcPr>
                  <w:tcW w:w="2100" w:type="dxa"/>
                  <w:gridSpan w:val="2"/>
                  <w:tcBorders>
                    <w:tl2br w:val="nil"/>
                    <w:tr2bl w:val="nil"/>
                  </w:tcBorders>
                  <w:vAlign w:val="center"/>
                </w:tcPr>
                <w:p w14:paraId="365EC3BE">
                  <w:pPr>
                    <w:jc w:val="center"/>
                    <w:rPr>
                      <w:rFonts w:hint="eastAsia" w:eastAsia="宋体"/>
                      <w:color w:val="auto"/>
                      <w:sz w:val="18"/>
                      <w:szCs w:val="18"/>
                      <w:lang w:val="en-US" w:eastAsia="zh-CN"/>
                    </w:rPr>
                  </w:pPr>
                  <w:r>
                    <w:rPr>
                      <w:rFonts w:hint="eastAsia"/>
                      <w:color w:val="auto"/>
                      <w:sz w:val="18"/>
                      <w:szCs w:val="21"/>
                      <w:lang w:eastAsia="zh-CN"/>
                    </w:rPr>
                    <w:t>原料车间</w:t>
                  </w:r>
                </w:p>
              </w:tc>
              <w:tc>
                <w:tcPr>
                  <w:tcW w:w="3795" w:type="dxa"/>
                  <w:tcBorders>
                    <w:tl2br w:val="nil"/>
                    <w:tr2bl w:val="nil"/>
                  </w:tcBorders>
                  <w:vAlign w:val="center"/>
                </w:tcPr>
                <w:p w14:paraId="6D0E58E0">
                  <w:pPr>
                    <w:widowControl/>
                    <w:jc w:val="center"/>
                    <w:rPr>
                      <w:color w:val="auto"/>
                      <w:kern w:val="0"/>
                      <w:sz w:val="18"/>
                      <w:szCs w:val="18"/>
                      <w:lang w:bidi="ar"/>
                    </w:rPr>
                  </w:pPr>
                  <w:r>
                    <w:rPr>
                      <w:color w:val="auto"/>
                      <w:sz w:val="18"/>
                      <w:szCs w:val="18"/>
                    </w:rPr>
                    <w:t>建筑面积为</w:t>
                  </w:r>
                  <w:r>
                    <w:rPr>
                      <w:rFonts w:hint="eastAsia"/>
                      <w:sz w:val="18"/>
                      <w:szCs w:val="18"/>
                      <w:lang w:val="en-US" w:eastAsia="zh-CN"/>
                    </w:rPr>
                    <w:t>1335m</w:t>
                  </w:r>
                  <w:r>
                    <w:rPr>
                      <w:rFonts w:hint="eastAsia"/>
                      <w:sz w:val="18"/>
                      <w:szCs w:val="18"/>
                      <w:vertAlign w:val="superscript"/>
                      <w:lang w:val="en-US" w:eastAsia="zh-CN"/>
                    </w:rPr>
                    <w:t>2</w:t>
                  </w:r>
                  <w:r>
                    <w:rPr>
                      <w:rFonts w:hint="eastAsia"/>
                      <w:color w:val="auto"/>
                      <w:sz w:val="18"/>
                      <w:szCs w:val="18"/>
                      <w:vertAlign w:val="baseline"/>
                      <w:lang w:eastAsia="zh-CN"/>
                    </w:rPr>
                    <w:t>，</w:t>
                  </w:r>
                  <w:r>
                    <w:rPr>
                      <w:rFonts w:hint="eastAsia"/>
                      <w:color w:val="auto"/>
                      <w:sz w:val="18"/>
                      <w:szCs w:val="18"/>
                      <w:vertAlign w:val="baseline"/>
                      <w:lang w:val="en-US" w:eastAsia="zh-CN"/>
                    </w:rPr>
                    <w:t>1F，单层高20m</w:t>
                  </w:r>
                </w:p>
              </w:tc>
              <w:tc>
                <w:tcPr>
                  <w:tcW w:w="1498" w:type="dxa"/>
                  <w:tcBorders>
                    <w:tl2br w:val="nil"/>
                    <w:tr2bl w:val="nil"/>
                  </w:tcBorders>
                  <w:vAlign w:val="center"/>
                </w:tcPr>
                <w:p w14:paraId="105B3818">
                  <w:pPr>
                    <w:jc w:val="center"/>
                    <w:rPr>
                      <w:rFonts w:hint="eastAsia" w:eastAsia="宋体"/>
                      <w:color w:val="auto"/>
                      <w:kern w:val="0"/>
                      <w:sz w:val="18"/>
                      <w:szCs w:val="18"/>
                      <w:lang w:val="en-US" w:eastAsia="zh-CN" w:bidi="ar"/>
                    </w:rPr>
                  </w:pPr>
                  <w:r>
                    <w:rPr>
                      <w:rFonts w:hint="eastAsia"/>
                      <w:color w:val="auto"/>
                      <w:kern w:val="0"/>
                      <w:sz w:val="18"/>
                      <w:szCs w:val="18"/>
                      <w:lang w:val="en-US" w:eastAsia="zh-CN" w:bidi="ar"/>
                    </w:rPr>
                    <w:t>依托</w:t>
                  </w:r>
                </w:p>
              </w:tc>
            </w:tr>
            <w:tr w14:paraId="51C9B4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45" w:type="dxa"/>
                  <w:vMerge w:val="continue"/>
                  <w:tcBorders>
                    <w:tl2br w:val="nil"/>
                    <w:tr2bl w:val="nil"/>
                  </w:tcBorders>
                  <w:vAlign w:val="center"/>
                </w:tcPr>
                <w:p w14:paraId="14CEFCF2">
                  <w:pPr>
                    <w:widowControl/>
                    <w:jc w:val="center"/>
                    <w:rPr>
                      <w:color w:val="auto"/>
                      <w:sz w:val="18"/>
                      <w:szCs w:val="18"/>
                    </w:rPr>
                  </w:pPr>
                </w:p>
              </w:tc>
              <w:tc>
                <w:tcPr>
                  <w:tcW w:w="2100" w:type="dxa"/>
                  <w:gridSpan w:val="2"/>
                  <w:tcBorders>
                    <w:tl2br w:val="nil"/>
                    <w:tr2bl w:val="nil"/>
                  </w:tcBorders>
                  <w:vAlign w:val="center"/>
                </w:tcPr>
                <w:p w14:paraId="7A84D9AC">
                  <w:pPr>
                    <w:jc w:val="center"/>
                    <w:rPr>
                      <w:rFonts w:hint="eastAsia"/>
                      <w:color w:val="auto"/>
                      <w:sz w:val="18"/>
                      <w:szCs w:val="21"/>
                      <w:lang w:eastAsia="zh-CN"/>
                    </w:rPr>
                  </w:pPr>
                  <w:r>
                    <w:rPr>
                      <w:rFonts w:hint="eastAsia"/>
                      <w:color w:val="auto"/>
                      <w:sz w:val="18"/>
                      <w:szCs w:val="21"/>
                      <w:lang w:eastAsia="zh-CN"/>
                    </w:rPr>
                    <w:t>成品车间</w:t>
                  </w:r>
                </w:p>
              </w:tc>
              <w:tc>
                <w:tcPr>
                  <w:tcW w:w="3795" w:type="dxa"/>
                  <w:tcBorders>
                    <w:tl2br w:val="nil"/>
                    <w:tr2bl w:val="nil"/>
                  </w:tcBorders>
                  <w:vAlign w:val="center"/>
                </w:tcPr>
                <w:p w14:paraId="19CA642F">
                  <w:pPr>
                    <w:widowControl/>
                    <w:jc w:val="center"/>
                    <w:rPr>
                      <w:color w:val="auto"/>
                      <w:sz w:val="18"/>
                      <w:szCs w:val="18"/>
                    </w:rPr>
                  </w:pPr>
                  <w:r>
                    <w:rPr>
                      <w:rFonts w:hint="eastAsia"/>
                      <w:sz w:val="18"/>
                      <w:szCs w:val="18"/>
                      <w:lang w:val="en-US" w:eastAsia="zh-CN"/>
                    </w:rPr>
                    <w:t>建筑面积2000m</w:t>
                  </w:r>
                  <w:r>
                    <w:rPr>
                      <w:rFonts w:hint="eastAsia"/>
                      <w:sz w:val="18"/>
                      <w:szCs w:val="18"/>
                      <w:vertAlign w:val="superscript"/>
                      <w:lang w:val="en-US" w:eastAsia="zh-CN"/>
                    </w:rPr>
                    <w:t>2</w:t>
                  </w:r>
                  <w:r>
                    <w:rPr>
                      <w:rFonts w:hint="eastAsia"/>
                      <w:color w:val="auto"/>
                      <w:sz w:val="18"/>
                      <w:szCs w:val="18"/>
                      <w:vertAlign w:val="baseline"/>
                      <w:lang w:val="en-US" w:eastAsia="zh-CN"/>
                    </w:rPr>
                    <w:t>，高20m</w:t>
                  </w:r>
                </w:p>
              </w:tc>
              <w:tc>
                <w:tcPr>
                  <w:tcW w:w="1498" w:type="dxa"/>
                  <w:tcBorders>
                    <w:tl2br w:val="nil"/>
                    <w:tr2bl w:val="nil"/>
                  </w:tcBorders>
                  <w:vAlign w:val="center"/>
                </w:tcPr>
                <w:p w14:paraId="28B1B1D3">
                  <w:pPr>
                    <w:jc w:val="center"/>
                    <w:rPr>
                      <w:rFonts w:hint="eastAsia"/>
                      <w:color w:val="auto"/>
                      <w:sz w:val="18"/>
                      <w:szCs w:val="21"/>
                      <w:highlight w:val="none"/>
                    </w:rPr>
                  </w:pPr>
                  <w:r>
                    <w:rPr>
                      <w:rFonts w:hint="eastAsia"/>
                      <w:color w:val="auto"/>
                      <w:kern w:val="0"/>
                      <w:sz w:val="18"/>
                      <w:szCs w:val="18"/>
                      <w:lang w:val="en-US" w:eastAsia="zh-CN" w:bidi="ar"/>
                    </w:rPr>
                    <w:t>依托</w:t>
                  </w:r>
                </w:p>
              </w:tc>
            </w:tr>
            <w:tr w14:paraId="3F24CF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45" w:type="dxa"/>
                  <w:vMerge w:val="continue"/>
                  <w:tcBorders>
                    <w:tl2br w:val="nil"/>
                    <w:tr2bl w:val="nil"/>
                  </w:tcBorders>
                  <w:vAlign w:val="center"/>
                </w:tcPr>
                <w:p w14:paraId="03385B54">
                  <w:pPr>
                    <w:widowControl/>
                    <w:jc w:val="center"/>
                    <w:rPr>
                      <w:color w:val="auto"/>
                      <w:sz w:val="18"/>
                      <w:szCs w:val="18"/>
                    </w:rPr>
                  </w:pPr>
                </w:p>
              </w:tc>
              <w:tc>
                <w:tcPr>
                  <w:tcW w:w="2100" w:type="dxa"/>
                  <w:gridSpan w:val="2"/>
                  <w:tcBorders>
                    <w:tl2br w:val="nil"/>
                    <w:tr2bl w:val="nil"/>
                  </w:tcBorders>
                  <w:vAlign w:val="center"/>
                </w:tcPr>
                <w:p w14:paraId="22772FBA">
                  <w:pPr>
                    <w:jc w:val="center"/>
                    <w:rPr>
                      <w:rFonts w:hint="eastAsia"/>
                      <w:color w:val="auto"/>
                      <w:sz w:val="18"/>
                      <w:szCs w:val="21"/>
                      <w:lang w:eastAsia="zh-CN"/>
                    </w:rPr>
                  </w:pPr>
                  <w:r>
                    <w:rPr>
                      <w:rFonts w:hint="eastAsia"/>
                      <w:color w:val="auto"/>
                      <w:sz w:val="18"/>
                      <w:szCs w:val="21"/>
                      <w:lang w:eastAsia="zh-CN"/>
                    </w:rPr>
                    <w:t>原料仓库</w:t>
                  </w:r>
                </w:p>
              </w:tc>
              <w:tc>
                <w:tcPr>
                  <w:tcW w:w="3795" w:type="dxa"/>
                  <w:tcBorders>
                    <w:tl2br w:val="nil"/>
                    <w:tr2bl w:val="nil"/>
                  </w:tcBorders>
                  <w:vAlign w:val="center"/>
                </w:tcPr>
                <w:p w14:paraId="79B5963A">
                  <w:pPr>
                    <w:widowControl/>
                    <w:jc w:val="center"/>
                    <w:rPr>
                      <w:color w:val="auto"/>
                      <w:sz w:val="18"/>
                      <w:szCs w:val="18"/>
                    </w:rPr>
                  </w:pPr>
                  <w:r>
                    <w:rPr>
                      <w:rFonts w:hint="eastAsia"/>
                      <w:color w:val="auto"/>
                      <w:sz w:val="18"/>
                      <w:szCs w:val="18"/>
                    </w:rPr>
                    <w:t>1层，建筑面积为</w:t>
                  </w:r>
                  <w:r>
                    <w:rPr>
                      <w:rFonts w:hint="eastAsia"/>
                      <w:color w:val="auto"/>
                      <w:sz w:val="18"/>
                      <w:szCs w:val="18"/>
                      <w:lang w:val="en-US" w:eastAsia="zh-CN"/>
                    </w:rPr>
                    <w:t>1500</w:t>
                  </w:r>
                  <w:r>
                    <w:rPr>
                      <w:rFonts w:hint="eastAsia"/>
                      <w:color w:val="auto"/>
                      <w:sz w:val="18"/>
                      <w:szCs w:val="18"/>
                    </w:rPr>
                    <w:t>m</w:t>
                  </w:r>
                  <w:r>
                    <w:rPr>
                      <w:rFonts w:hint="eastAsia"/>
                      <w:color w:val="auto"/>
                      <w:sz w:val="18"/>
                      <w:szCs w:val="18"/>
                      <w:vertAlign w:val="superscript"/>
                    </w:rPr>
                    <w:t>2</w:t>
                  </w:r>
                  <w:r>
                    <w:rPr>
                      <w:rFonts w:hint="eastAsia"/>
                      <w:color w:val="auto"/>
                      <w:sz w:val="18"/>
                      <w:szCs w:val="18"/>
                      <w:vertAlign w:val="baseline"/>
                      <w:lang w:val="en-US" w:eastAsia="zh-CN"/>
                    </w:rPr>
                    <w:t>，高11m</w:t>
                  </w:r>
                </w:p>
              </w:tc>
              <w:tc>
                <w:tcPr>
                  <w:tcW w:w="1498" w:type="dxa"/>
                  <w:tcBorders>
                    <w:tl2br w:val="nil"/>
                    <w:tr2bl w:val="nil"/>
                  </w:tcBorders>
                  <w:vAlign w:val="center"/>
                </w:tcPr>
                <w:p w14:paraId="7538CA11">
                  <w:pPr>
                    <w:jc w:val="center"/>
                    <w:rPr>
                      <w:rFonts w:hint="eastAsia"/>
                      <w:color w:val="auto"/>
                      <w:sz w:val="18"/>
                      <w:szCs w:val="21"/>
                      <w:highlight w:val="none"/>
                    </w:rPr>
                  </w:pPr>
                  <w:r>
                    <w:rPr>
                      <w:rFonts w:hint="eastAsia"/>
                      <w:color w:val="auto"/>
                      <w:kern w:val="0"/>
                      <w:sz w:val="18"/>
                      <w:szCs w:val="18"/>
                      <w:lang w:val="en-US" w:eastAsia="zh-CN" w:bidi="ar"/>
                    </w:rPr>
                    <w:t>依托</w:t>
                  </w:r>
                </w:p>
              </w:tc>
            </w:tr>
            <w:tr w14:paraId="12F568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45" w:type="dxa"/>
                  <w:vMerge w:val="restart"/>
                  <w:tcBorders>
                    <w:tl2br w:val="nil"/>
                    <w:tr2bl w:val="nil"/>
                  </w:tcBorders>
                  <w:vAlign w:val="center"/>
                </w:tcPr>
                <w:p w14:paraId="3D4A3A4C">
                  <w:pPr>
                    <w:jc w:val="center"/>
                    <w:rPr>
                      <w:rFonts w:hint="eastAsia" w:eastAsia="宋体"/>
                      <w:color w:val="auto"/>
                      <w:sz w:val="18"/>
                      <w:szCs w:val="18"/>
                      <w:lang w:eastAsia="zh-CN"/>
                    </w:rPr>
                  </w:pPr>
                  <w:r>
                    <w:rPr>
                      <w:rFonts w:hint="eastAsia"/>
                      <w:color w:val="auto"/>
                      <w:sz w:val="18"/>
                      <w:szCs w:val="18"/>
                      <w:lang w:eastAsia="zh-CN"/>
                    </w:rPr>
                    <w:t>公用工程</w:t>
                  </w:r>
                </w:p>
              </w:tc>
              <w:tc>
                <w:tcPr>
                  <w:tcW w:w="2100" w:type="dxa"/>
                  <w:gridSpan w:val="2"/>
                  <w:tcBorders>
                    <w:tl2br w:val="nil"/>
                    <w:tr2bl w:val="nil"/>
                  </w:tcBorders>
                  <w:vAlign w:val="center"/>
                </w:tcPr>
                <w:p w14:paraId="1585C9D7">
                  <w:pPr>
                    <w:widowControl/>
                    <w:jc w:val="center"/>
                    <w:rPr>
                      <w:rFonts w:hint="eastAsia" w:eastAsia="宋体"/>
                      <w:color w:val="auto"/>
                      <w:sz w:val="18"/>
                      <w:szCs w:val="18"/>
                      <w:lang w:eastAsia="zh-CN"/>
                    </w:rPr>
                  </w:pPr>
                  <w:r>
                    <w:rPr>
                      <w:rFonts w:hint="eastAsia"/>
                      <w:color w:val="auto"/>
                      <w:sz w:val="18"/>
                      <w:szCs w:val="18"/>
                      <w:lang w:eastAsia="zh-CN"/>
                    </w:rPr>
                    <w:t>给水</w:t>
                  </w:r>
                </w:p>
              </w:tc>
              <w:tc>
                <w:tcPr>
                  <w:tcW w:w="3795" w:type="dxa"/>
                  <w:tcBorders>
                    <w:tl2br w:val="nil"/>
                    <w:tr2bl w:val="nil"/>
                  </w:tcBorders>
                  <w:vAlign w:val="center"/>
                </w:tcPr>
                <w:p w14:paraId="56F955DC">
                  <w:pPr>
                    <w:jc w:val="center"/>
                    <w:rPr>
                      <w:rFonts w:hint="default" w:eastAsia="宋体"/>
                      <w:color w:val="auto"/>
                      <w:sz w:val="18"/>
                      <w:szCs w:val="18"/>
                      <w:lang w:val="en-US" w:eastAsia="zh-CN"/>
                    </w:rPr>
                  </w:pPr>
                  <w:r>
                    <w:rPr>
                      <w:rFonts w:hint="eastAsia"/>
                      <w:color w:val="auto"/>
                      <w:sz w:val="18"/>
                      <w:szCs w:val="18"/>
                      <w:lang w:eastAsia="zh-CN"/>
                    </w:rPr>
                    <w:t>项目年用水量为</w:t>
                  </w:r>
                  <w:r>
                    <w:rPr>
                      <w:rFonts w:hint="eastAsia"/>
                      <w:color w:val="auto"/>
                      <w:sz w:val="18"/>
                      <w:szCs w:val="18"/>
                      <w:lang w:val="en-US" w:eastAsia="zh-CN"/>
                    </w:rPr>
                    <w:t>1335t</w:t>
                  </w:r>
                </w:p>
              </w:tc>
              <w:tc>
                <w:tcPr>
                  <w:tcW w:w="1498" w:type="dxa"/>
                  <w:tcBorders>
                    <w:tl2br w:val="nil"/>
                    <w:tr2bl w:val="nil"/>
                  </w:tcBorders>
                  <w:vAlign w:val="center"/>
                </w:tcPr>
                <w:p w14:paraId="1012A31E">
                  <w:pPr>
                    <w:pStyle w:val="12"/>
                    <w:adjustRightInd w:val="0"/>
                    <w:snapToGrid w:val="0"/>
                    <w:jc w:val="center"/>
                    <w:rPr>
                      <w:rFonts w:hint="eastAsia" w:ascii="Times New Roman" w:hAnsi="Times New Roman" w:eastAsia="宋体" w:cs="Times New Roman"/>
                      <w:color w:val="auto"/>
                      <w:kern w:val="2"/>
                      <w:sz w:val="18"/>
                      <w:szCs w:val="21"/>
                      <w:highlight w:val="none"/>
                      <w:lang w:val="en-US" w:eastAsia="zh-CN" w:bidi="ar-SA"/>
                    </w:rPr>
                  </w:pPr>
                  <w:r>
                    <w:rPr>
                      <w:rFonts w:hint="eastAsia" w:ascii="Times New Roman" w:hAnsi="Times New Roman" w:eastAsia="宋体" w:cs="Times New Roman"/>
                      <w:color w:val="auto"/>
                      <w:kern w:val="2"/>
                      <w:sz w:val="18"/>
                      <w:szCs w:val="21"/>
                      <w:highlight w:val="none"/>
                      <w:lang w:val="en-US" w:eastAsia="zh-CN" w:bidi="ar-SA"/>
                    </w:rPr>
                    <w:t xml:space="preserve">市政供水 </w:t>
                  </w:r>
                </w:p>
              </w:tc>
            </w:tr>
            <w:tr w14:paraId="1747E0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45" w:type="dxa"/>
                  <w:vMerge w:val="continue"/>
                  <w:tcBorders>
                    <w:tl2br w:val="nil"/>
                    <w:tr2bl w:val="nil"/>
                  </w:tcBorders>
                  <w:vAlign w:val="center"/>
                </w:tcPr>
                <w:p w14:paraId="2D82FAC0">
                  <w:pPr>
                    <w:jc w:val="center"/>
                    <w:rPr>
                      <w:color w:val="auto"/>
                      <w:sz w:val="18"/>
                      <w:szCs w:val="18"/>
                    </w:rPr>
                  </w:pPr>
                </w:p>
              </w:tc>
              <w:tc>
                <w:tcPr>
                  <w:tcW w:w="2100" w:type="dxa"/>
                  <w:gridSpan w:val="2"/>
                  <w:tcBorders>
                    <w:tl2br w:val="nil"/>
                    <w:tr2bl w:val="nil"/>
                  </w:tcBorders>
                  <w:vAlign w:val="center"/>
                </w:tcPr>
                <w:p w14:paraId="0BD51A98">
                  <w:pPr>
                    <w:widowControl/>
                    <w:jc w:val="center"/>
                    <w:rPr>
                      <w:rFonts w:hint="eastAsia" w:eastAsia="宋体"/>
                      <w:color w:val="auto"/>
                      <w:sz w:val="18"/>
                      <w:szCs w:val="18"/>
                      <w:lang w:eastAsia="zh-CN"/>
                    </w:rPr>
                  </w:pPr>
                  <w:r>
                    <w:rPr>
                      <w:rFonts w:hint="eastAsia"/>
                      <w:color w:val="auto"/>
                      <w:sz w:val="18"/>
                      <w:szCs w:val="18"/>
                      <w:lang w:eastAsia="zh-CN"/>
                    </w:rPr>
                    <w:t>排水</w:t>
                  </w:r>
                </w:p>
              </w:tc>
              <w:tc>
                <w:tcPr>
                  <w:tcW w:w="3795" w:type="dxa"/>
                  <w:tcBorders>
                    <w:tl2br w:val="nil"/>
                    <w:tr2bl w:val="nil"/>
                  </w:tcBorders>
                  <w:vAlign w:val="center"/>
                </w:tcPr>
                <w:p w14:paraId="24E3E414">
                  <w:pPr>
                    <w:jc w:val="center"/>
                    <w:rPr>
                      <w:rFonts w:hint="eastAsia" w:eastAsia="宋体"/>
                      <w:color w:val="auto"/>
                      <w:sz w:val="18"/>
                      <w:szCs w:val="18"/>
                      <w:lang w:eastAsia="zh-CN"/>
                    </w:rPr>
                  </w:pPr>
                  <w:r>
                    <w:rPr>
                      <w:rFonts w:hint="eastAsia"/>
                      <w:color w:val="auto"/>
                      <w:sz w:val="18"/>
                      <w:szCs w:val="18"/>
                      <w:lang w:eastAsia="zh-CN"/>
                    </w:rPr>
                    <w:t>项目年排水量为</w:t>
                  </w:r>
                  <w:r>
                    <w:rPr>
                      <w:rFonts w:hint="eastAsia"/>
                      <w:color w:val="auto"/>
                      <w:sz w:val="18"/>
                      <w:szCs w:val="18"/>
                      <w:lang w:val="en-US" w:eastAsia="zh-CN"/>
                    </w:rPr>
                    <w:t>460t</w:t>
                  </w:r>
                </w:p>
              </w:tc>
              <w:tc>
                <w:tcPr>
                  <w:tcW w:w="1498" w:type="dxa"/>
                  <w:tcBorders>
                    <w:tl2br w:val="nil"/>
                    <w:tr2bl w:val="nil"/>
                  </w:tcBorders>
                  <w:vAlign w:val="center"/>
                </w:tcPr>
                <w:p w14:paraId="02A6AB93">
                  <w:pPr>
                    <w:pStyle w:val="12"/>
                    <w:adjustRightInd w:val="0"/>
                    <w:snapToGrid w:val="0"/>
                    <w:jc w:val="center"/>
                    <w:rPr>
                      <w:rFonts w:hint="eastAsia" w:ascii="Times New Roman" w:hAnsi="Times New Roman" w:eastAsia="宋体" w:cs="Times New Roman"/>
                      <w:color w:val="auto"/>
                      <w:kern w:val="2"/>
                      <w:sz w:val="18"/>
                      <w:szCs w:val="21"/>
                      <w:highlight w:val="none"/>
                      <w:lang w:val="en-US" w:eastAsia="zh-CN" w:bidi="ar-SA"/>
                    </w:rPr>
                  </w:pPr>
                  <w:r>
                    <w:rPr>
                      <w:rFonts w:hint="eastAsia" w:ascii="Times New Roman" w:hAnsi="Times New Roman" w:eastAsia="宋体" w:cs="Times New Roman"/>
                      <w:color w:val="auto"/>
                      <w:kern w:val="2"/>
                      <w:sz w:val="18"/>
                      <w:szCs w:val="21"/>
                      <w:highlight w:val="none"/>
                      <w:lang w:val="en-US" w:eastAsia="zh-CN" w:bidi="ar-SA"/>
                    </w:rPr>
                    <w:t xml:space="preserve">雨污分流 </w:t>
                  </w:r>
                </w:p>
              </w:tc>
            </w:tr>
            <w:tr w14:paraId="1E443E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945" w:type="dxa"/>
                  <w:vMerge w:val="continue"/>
                  <w:tcBorders>
                    <w:tl2br w:val="nil"/>
                    <w:tr2bl w:val="nil"/>
                  </w:tcBorders>
                  <w:vAlign w:val="center"/>
                </w:tcPr>
                <w:p w14:paraId="58C05AAE">
                  <w:pPr>
                    <w:jc w:val="center"/>
                    <w:rPr>
                      <w:color w:val="auto"/>
                      <w:sz w:val="18"/>
                      <w:szCs w:val="18"/>
                    </w:rPr>
                  </w:pPr>
                </w:p>
              </w:tc>
              <w:tc>
                <w:tcPr>
                  <w:tcW w:w="2100" w:type="dxa"/>
                  <w:gridSpan w:val="2"/>
                  <w:tcBorders>
                    <w:tl2br w:val="nil"/>
                    <w:tr2bl w:val="nil"/>
                  </w:tcBorders>
                  <w:vAlign w:val="center"/>
                </w:tcPr>
                <w:p w14:paraId="2098A235">
                  <w:pPr>
                    <w:widowControl/>
                    <w:jc w:val="center"/>
                    <w:rPr>
                      <w:rFonts w:hint="eastAsia" w:eastAsia="宋体"/>
                      <w:color w:val="auto"/>
                      <w:sz w:val="18"/>
                      <w:szCs w:val="18"/>
                      <w:lang w:eastAsia="zh-CN"/>
                    </w:rPr>
                  </w:pPr>
                  <w:r>
                    <w:rPr>
                      <w:color w:val="auto"/>
                      <w:sz w:val="18"/>
                      <w:szCs w:val="18"/>
                    </w:rPr>
                    <w:t>供电</w:t>
                  </w:r>
                </w:p>
              </w:tc>
              <w:tc>
                <w:tcPr>
                  <w:tcW w:w="3795" w:type="dxa"/>
                  <w:tcBorders>
                    <w:tl2br w:val="nil"/>
                    <w:tr2bl w:val="nil"/>
                  </w:tcBorders>
                  <w:vAlign w:val="center"/>
                </w:tcPr>
                <w:p w14:paraId="40611D9F">
                  <w:pPr>
                    <w:jc w:val="center"/>
                    <w:rPr>
                      <w:rFonts w:hint="eastAsia"/>
                      <w:color w:val="auto"/>
                      <w:sz w:val="18"/>
                      <w:szCs w:val="18"/>
                    </w:rPr>
                  </w:pPr>
                  <w:r>
                    <w:rPr>
                      <w:rFonts w:hint="eastAsia"/>
                      <w:color w:val="auto"/>
                      <w:sz w:val="18"/>
                      <w:szCs w:val="18"/>
                      <w:lang w:val="en-US" w:eastAsia="zh-CN"/>
                    </w:rPr>
                    <w:t>10</w:t>
                  </w:r>
                  <w:r>
                    <w:rPr>
                      <w:rFonts w:hint="eastAsia"/>
                      <w:color w:val="auto"/>
                      <w:sz w:val="18"/>
                      <w:szCs w:val="18"/>
                    </w:rPr>
                    <w:t>0</w:t>
                  </w:r>
                  <w:r>
                    <w:rPr>
                      <w:color w:val="auto"/>
                      <w:sz w:val="18"/>
                      <w:szCs w:val="18"/>
                    </w:rPr>
                    <w:t>万kwh/a</w:t>
                  </w:r>
                </w:p>
              </w:tc>
              <w:tc>
                <w:tcPr>
                  <w:tcW w:w="1498" w:type="dxa"/>
                  <w:tcBorders>
                    <w:tl2br w:val="nil"/>
                    <w:tr2bl w:val="nil"/>
                  </w:tcBorders>
                  <w:vAlign w:val="center"/>
                </w:tcPr>
                <w:p w14:paraId="1E5E0369">
                  <w:pPr>
                    <w:pStyle w:val="12"/>
                    <w:adjustRightInd w:val="0"/>
                    <w:snapToGrid w:val="0"/>
                    <w:jc w:val="center"/>
                    <w:rPr>
                      <w:rFonts w:hint="eastAsia" w:ascii="Times New Roman" w:hAnsi="Times New Roman" w:eastAsia="宋体" w:cs="Times New Roman"/>
                      <w:color w:val="auto"/>
                      <w:kern w:val="2"/>
                      <w:sz w:val="18"/>
                      <w:szCs w:val="21"/>
                      <w:highlight w:val="none"/>
                      <w:lang w:val="en-US" w:eastAsia="zh-CN" w:bidi="ar-SA"/>
                    </w:rPr>
                  </w:pPr>
                  <w:r>
                    <w:rPr>
                      <w:rFonts w:hint="eastAsia" w:ascii="Times New Roman" w:hAnsi="Times New Roman" w:eastAsia="宋体" w:cs="Times New Roman"/>
                      <w:color w:val="auto"/>
                      <w:kern w:val="2"/>
                      <w:sz w:val="18"/>
                      <w:szCs w:val="21"/>
                      <w:highlight w:val="none"/>
                      <w:lang w:val="en-US" w:eastAsia="zh-CN" w:bidi="ar-SA"/>
                    </w:rPr>
                    <w:t>市政电网</w:t>
                  </w:r>
                </w:p>
              </w:tc>
            </w:tr>
            <w:tr w14:paraId="28E221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45" w:type="dxa"/>
                  <w:vMerge w:val="continue"/>
                  <w:tcBorders>
                    <w:tl2br w:val="nil"/>
                    <w:tr2bl w:val="nil"/>
                  </w:tcBorders>
                  <w:vAlign w:val="center"/>
                </w:tcPr>
                <w:p w14:paraId="324C65B6">
                  <w:pPr>
                    <w:widowControl/>
                    <w:jc w:val="center"/>
                    <w:rPr>
                      <w:color w:val="auto"/>
                      <w:sz w:val="18"/>
                      <w:szCs w:val="18"/>
                    </w:rPr>
                  </w:pPr>
                </w:p>
              </w:tc>
              <w:tc>
                <w:tcPr>
                  <w:tcW w:w="720" w:type="dxa"/>
                  <w:vMerge w:val="restart"/>
                  <w:tcBorders>
                    <w:tl2br w:val="nil"/>
                    <w:tr2bl w:val="nil"/>
                  </w:tcBorders>
                  <w:vAlign w:val="center"/>
                </w:tcPr>
                <w:p w14:paraId="407B0EDE">
                  <w:pPr>
                    <w:widowControl/>
                    <w:jc w:val="center"/>
                    <w:rPr>
                      <w:rFonts w:hint="eastAsia" w:eastAsia="宋体"/>
                      <w:color w:val="auto"/>
                      <w:sz w:val="18"/>
                      <w:szCs w:val="18"/>
                      <w:lang w:eastAsia="zh-CN"/>
                    </w:rPr>
                  </w:pPr>
                  <w:r>
                    <w:rPr>
                      <w:rFonts w:hint="eastAsia"/>
                      <w:color w:val="auto"/>
                      <w:sz w:val="18"/>
                      <w:szCs w:val="18"/>
                      <w:lang w:eastAsia="zh-CN"/>
                    </w:rPr>
                    <w:t>废气处理</w:t>
                  </w:r>
                </w:p>
              </w:tc>
              <w:tc>
                <w:tcPr>
                  <w:tcW w:w="1380" w:type="dxa"/>
                  <w:tcBorders>
                    <w:tl2br w:val="nil"/>
                    <w:tr2bl w:val="nil"/>
                  </w:tcBorders>
                  <w:vAlign w:val="center"/>
                </w:tcPr>
                <w:p w14:paraId="04E85F76">
                  <w:pPr>
                    <w:widowControl/>
                    <w:jc w:val="center"/>
                    <w:rPr>
                      <w:rFonts w:hint="eastAsia" w:eastAsia="宋体"/>
                      <w:color w:val="auto"/>
                      <w:sz w:val="18"/>
                      <w:szCs w:val="18"/>
                      <w:lang w:eastAsia="zh-CN"/>
                    </w:rPr>
                  </w:pPr>
                  <w:r>
                    <w:rPr>
                      <w:rFonts w:hint="eastAsia"/>
                      <w:color w:val="auto"/>
                      <w:sz w:val="18"/>
                      <w:szCs w:val="18"/>
                      <w:lang w:eastAsia="zh-CN"/>
                    </w:rPr>
                    <w:t>运输扬尘</w:t>
                  </w:r>
                </w:p>
              </w:tc>
              <w:tc>
                <w:tcPr>
                  <w:tcW w:w="3795" w:type="dxa"/>
                  <w:tcBorders>
                    <w:tl2br w:val="nil"/>
                    <w:tr2bl w:val="nil"/>
                  </w:tcBorders>
                  <w:vAlign w:val="center"/>
                </w:tcPr>
                <w:p w14:paraId="17D9BF60">
                  <w:pPr>
                    <w:keepNext w:val="0"/>
                    <w:keepLines w:val="0"/>
                    <w:widowControl/>
                    <w:suppressLineNumbers w:val="0"/>
                    <w:jc w:val="left"/>
                    <w:rPr>
                      <w:rFonts w:hint="eastAsia" w:eastAsia="宋体"/>
                      <w:color w:val="auto"/>
                      <w:kern w:val="0"/>
                      <w:sz w:val="18"/>
                      <w:szCs w:val="18"/>
                      <w:lang w:val="en-US" w:eastAsia="zh-CN" w:bidi="ar"/>
                    </w:rPr>
                  </w:pPr>
                  <w:r>
                    <w:rPr>
                      <w:rFonts w:hint="eastAsia" w:ascii="宋体" w:hAnsi="宋体" w:eastAsia="宋体" w:cs="宋体"/>
                      <w:color w:val="000000"/>
                      <w:kern w:val="0"/>
                      <w:sz w:val="20"/>
                      <w:szCs w:val="20"/>
                      <w:lang w:val="en-US" w:eastAsia="zh-CN" w:bidi="ar"/>
                    </w:rPr>
                    <w:t>采用保持路面清洁、干燥天气洒水、运输车辆加盖篷布等措施降低粉尘的产生</w:t>
                  </w:r>
                </w:p>
              </w:tc>
              <w:tc>
                <w:tcPr>
                  <w:tcW w:w="1498" w:type="dxa"/>
                  <w:tcBorders>
                    <w:tl2br w:val="nil"/>
                    <w:tr2bl w:val="nil"/>
                  </w:tcBorders>
                  <w:vAlign w:val="center"/>
                </w:tcPr>
                <w:p w14:paraId="1AF99D59">
                  <w:pPr>
                    <w:widowControl/>
                    <w:jc w:val="center"/>
                    <w:rPr>
                      <w:rFonts w:hint="default" w:eastAsia="宋体"/>
                      <w:color w:val="auto"/>
                      <w:kern w:val="0"/>
                      <w:sz w:val="18"/>
                      <w:szCs w:val="18"/>
                      <w:highlight w:val="none"/>
                      <w:lang w:val="en-US" w:eastAsia="zh-CN" w:bidi="ar"/>
                    </w:rPr>
                  </w:pPr>
                  <w:r>
                    <w:rPr>
                      <w:rFonts w:hint="default" w:ascii="Times New Roman" w:hAnsi="Times New Roman" w:eastAsia="宋体" w:cs="Times New Roman"/>
                      <w:color w:val="auto"/>
                      <w:sz w:val="18"/>
                      <w:szCs w:val="18"/>
                      <w:lang w:val="en-US" w:eastAsia="zh-CN"/>
                    </w:rPr>
                    <w:t>达标排放</w:t>
                  </w:r>
                </w:p>
              </w:tc>
            </w:tr>
            <w:tr w14:paraId="48B996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45" w:type="dxa"/>
                  <w:vMerge w:val="continue"/>
                  <w:tcBorders>
                    <w:tl2br w:val="nil"/>
                    <w:tr2bl w:val="nil"/>
                  </w:tcBorders>
                  <w:vAlign w:val="center"/>
                </w:tcPr>
                <w:p w14:paraId="380484A1">
                  <w:pPr>
                    <w:widowControl/>
                    <w:jc w:val="center"/>
                    <w:rPr>
                      <w:color w:val="auto"/>
                      <w:sz w:val="18"/>
                      <w:szCs w:val="18"/>
                    </w:rPr>
                  </w:pPr>
                </w:p>
              </w:tc>
              <w:tc>
                <w:tcPr>
                  <w:tcW w:w="720" w:type="dxa"/>
                  <w:vMerge w:val="continue"/>
                  <w:tcBorders>
                    <w:tl2br w:val="nil"/>
                    <w:tr2bl w:val="nil"/>
                  </w:tcBorders>
                  <w:vAlign w:val="center"/>
                </w:tcPr>
                <w:p w14:paraId="7EA61F0F">
                  <w:pPr>
                    <w:widowControl/>
                    <w:jc w:val="center"/>
                    <w:rPr>
                      <w:rFonts w:hint="eastAsia"/>
                      <w:color w:val="auto"/>
                      <w:sz w:val="18"/>
                      <w:szCs w:val="18"/>
                      <w:lang w:eastAsia="zh-CN"/>
                    </w:rPr>
                  </w:pPr>
                </w:p>
              </w:tc>
              <w:tc>
                <w:tcPr>
                  <w:tcW w:w="1380" w:type="dxa"/>
                  <w:tcBorders>
                    <w:tl2br w:val="nil"/>
                    <w:tr2bl w:val="nil"/>
                  </w:tcBorders>
                  <w:vAlign w:val="center"/>
                </w:tcPr>
                <w:p w14:paraId="639AE687">
                  <w:pPr>
                    <w:keepNext w:val="0"/>
                    <w:keepLines w:val="0"/>
                    <w:widowControl/>
                    <w:suppressLineNumbers w:val="0"/>
                    <w:jc w:val="center"/>
                    <w:rPr>
                      <w:rFonts w:hint="eastAsia"/>
                      <w:color w:val="auto"/>
                      <w:sz w:val="18"/>
                      <w:szCs w:val="18"/>
                      <w:lang w:eastAsia="zh-CN"/>
                    </w:rPr>
                  </w:pPr>
                  <w:r>
                    <w:rPr>
                      <w:rFonts w:hint="eastAsia" w:ascii="宋体" w:hAnsi="宋体" w:eastAsia="宋体" w:cs="宋体"/>
                      <w:color w:val="000000"/>
                      <w:kern w:val="0"/>
                      <w:sz w:val="20"/>
                      <w:szCs w:val="20"/>
                      <w:lang w:val="en-US" w:eastAsia="zh-CN" w:bidi="ar"/>
                    </w:rPr>
                    <w:t>堆场扬尘</w:t>
                  </w:r>
                </w:p>
              </w:tc>
              <w:tc>
                <w:tcPr>
                  <w:tcW w:w="3795" w:type="dxa"/>
                  <w:tcBorders>
                    <w:tl2br w:val="nil"/>
                    <w:tr2bl w:val="nil"/>
                  </w:tcBorders>
                  <w:vAlign w:val="center"/>
                </w:tcPr>
                <w:p w14:paraId="47EE5786">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设置密闭堆场、定期喷雾提高物料湿润度等措施降低粉尘的产生</w:t>
                  </w:r>
                </w:p>
              </w:tc>
              <w:tc>
                <w:tcPr>
                  <w:tcW w:w="1498" w:type="dxa"/>
                  <w:tcBorders>
                    <w:tl2br w:val="nil"/>
                    <w:tr2bl w:val="nil"/>
                  </w:tcBorders>
                  <w:vAlign w:val="center"/>
                </w:tcPr>
                <w:p w14:paraId="3892A11C">
                  <w:pPr>
                    <w:widowControl/>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达标排放</w:t>
                  </w:r>
                </w:p>
              </w:tc>
            </w:tr>
            <w:tr w14:paraId="40E225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45" w:type="dxa"/>
                  <w:vMerge w:val="continue"/>
                  <w:tcBorders>
                    <w:tl2br w:val="nil"/>
                    <w:tr2bl w:val="nil"/>
                  </w:tcBorders>
                  <w:vAlign w:val="center"/>
                </w:tcPr>
                <w:p w14:paraId="59729ACF">
                  <w:pPr>
                    <w:widowControl/>
                    <w:jc w:val="center"/>
                    <w:rPr>
                      <w:color w:val="auto"/>
                      <w:sz w:val="18"/>
                      <w:szCs w:val="18"/>
                    </w:rPr>
                  </w:pPr>
                </w:p>
              </w:tc>
              <w:tc>
                <w:tcPr>
                  <w:tcW w:w="720" w:type="dxa"/>
                  <w:vMerge w:val="continue"/>
                  <w:tcBorders>
                    <w:tl2br w:val="nil"/>
                    <w:tr2bl w:val="nil"/>
                  </w:tcBorders>
                  <w:vAlign w:val="center"/>
                </w:tcPr>
                <w:p w14:paraId="73775908">
                  <w:pPr>
                    <w:widowControl/>
                    <w:jc w:val="center"/>
                    <w:rPr>
                      <w:color w:val="auto"/>
                      <w:sz w:val="18"/>
                      <w:szCs w:val="18"/>
                    </w:rPr>
                  </w:pPr>
                </w:p>
              </w:tc>
              <w:tc>
                <w:tcPr>
                  <w:tcW w:w="1380" w:type="dxa"/>
                  <w:tcBorders>
                    <w:tl2br w:val="nil"/>
                    <w:tr2bl w:val="nil"/>
                  </w:tcBorders>
                  <w:vAlign w:val="center"/>
                </w:tcPr>
                <w:p w14:paraId="3CF959E9">
                  <w:pPr>
                    <w:widowControl/>
                    <w:jc w:val="center"/>
                    <w:rPr>
                      <w:rFonts w:hint="eastAsia"/>
                      <w:color w:val="auto"/>
                      <w:sz w:val="18"/>
                      <w:szCs w:val="18"/>
                      <w:lang w:eastAsia="zh-CN"/>
                    </w:rPr>
                  </w:pPr>
                  <w:r>
                    <w:rPr>
                      <w:rFonts w:hint="eastAsia"/>
                      <w:color w:val="auto"/>
                      <w:sz w:val="18"/>
                      <w:szCs w:val="18"/>
                      <w:lang w:eastAsia="zh-CN"/>
                    </w:rPr>
                    <w:t>食堂废气</w:t>
                  </w:r>
                </w:p>
              </w:tc>
              <w:tc>
                <w:tcPr>
                  <w:tcW w:w="3795" w:type="dxa"/>
                  <w:tcBorders>
                    <w:tl2br w:val="nil"/>
                    <w:tr2bl w:val="nil"/>
                  </w:tcBorders>
                  <w:vAlign w:val="center"/>
                </w:tcPr>
                <w:p w14:paraId="4DC821E4">
                  <w:pPr>
                    <w:jc w:val="center"/>
                    <w:rPr>
                      <w:rFonts w:hint="eastAsia"/>
                      <w:color w:val="auto"/>
                      <w:sz w:val="18"/>
                      <w:szCs w:val="18"/>
                      <w:lang w:val="en-US" w:eastAsia="zh-CN"/>
                    </w:rPr>
                  </w:pPr>
                  <w:r>
                    <w:rPr>
                      <w:rFonts w:hint="eastAsia"/>
                      <w:color w:val="auto"/>
                      <w:sz w:val="18"/>
                      <w:szCs w:val="18"/>
                      <w:lang w:val="en-US" w:eastAsia="zh-CN"/>
                    </w:rPr>
                    <w:t>油烟净化器+油烟管道</w:t>
                  </w:r>
                </w:p>
              </w:tc>
              <w:tc>
                <w:tcPr>
                  <w:tcW w:w="1498" w:type="dxa"/>
                  <w:tcBorders>
                    <w:tl2br w:val="nil"/>
                    <w:tr2bl w:val="nil"/>
                  </w:tcBorders>
                  <w:vAlign w:val="center"/>
                </w:tcPr>
                <w:p w14:paraId="0CC2C656">
                  <w:pPr>
                    <w:widowControl/>
                    <w:jc w:val="center"/>
                    <w:rPr>
                      <w:rFonts w:hint="eastAsia"/>
                      <w:color w:val="auto"/>
                      <w:kern w:val="0"/>
                      <w:sz w:val="18"/>
                      <w:szCs w:val="18"/>
                      <w:highlight w:val="none"/>
                      <w:lang w:val="en-US" w:eastAsia="zh-CN" w:bidi="ar"/>
                    </w:rPr>
                  </w:pPr>
                  <w:r>
                    <w:rPr>
                      <w:rFonts w:hint="default" w:ascii="Times New Roman" w:hAnsi="Times New Roman" w:eastAsia="宋体" w:cs="Times New Roman"/>
                      <w:color w:val="auto"/>
                      <w:sz w:val="18"/>
                      <w:szCs w:val="18"/>
                      <w:lang w:val="en-US" w:eastAsia="zh-CN"/>
                    </w:rPr>
                    <w:t>达标排放</w:t>
                  </w:r>
                </w:p>
              </w:tc>
            </w:tr>
            <w:tr w14:paraId="424FCC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5" w:type="dxa"/>
                  <w:vMerge w:val="continue"/>
                  <w:tcBorders>
                    <w:tl2br w:val="nil"/>
                    <w:tr2bl w:val="nil"/>
                  </w:tcBorders>
                  <w:vAlign w:val="center"/>
                </w:tcPr>
                <w:p w14:paraId="71566906">
                  <w:pPr>
                    <w:widowControl/>
                    <w:jc w:val="center"/>
                    <w:rPr>
                      <w:color w:val="auto"/>
                      <w:sz w:val="18"/>
                      <w:szCs w:val="18"/>
                    </w:rPr>
                  </w:pPr>
                </w:p>
              </w:tc>
              <w:tc>
                <w:tcPr>
                  <w:tcW w:w="720" w:type="dxa"/>
                  <w:vMerge w:val="restart"/>
                  <w:tcBorders>
                    <w:tl2br w:val="nil"/>
                    <w:tr2bl w:val="nil"/>
                  </w:tcBorders>
                  <w:vAlign w:val="center"/>
                </w:tcPr>
                <w:p w14:paraId="239F87C0">
                  <w:pPr>
                    <w:widowControl/>
                    <w:jc w:val="center"/>
                    <w:rPr>
                      <w:color w:val="auto"/>
                      <w:sz w:val="18"/>
                      <w:szCs w:val="18"/>
                    </w:rPr>
                  </w:pPr>
                  <w:r>
                    <w:rPr>
                      <w:color w:val="auto"/>
                      <w:sz w:val="18"/>
                      <w:szCs w:val="18"/>
                    </w:rPr>
                    <w:t>废水处理</w:t>
                  </w:r>
                </w:p>
              </w:tc>
              <w:tc>
                <w:tcPr>
                  <w:tcW w:w="1380" w:type="dxa"/>
                  <w:tcBorders>
                    <w:tl2br w:val="nil"/>
                    <w:tr2bl w:val="nil"/>
                  </w:tcBorders>
                  <w:vAlign w:val="center"/>
                </w:tcPr>
                <w:p w14:paraId="58B5E7AF">
                  <w:pPr>
                    <w:widowControl/>
                    <w:jc w:val="center"/>
                    <w:rPr>
                      <w:color w:val="auto"/>
                      <w:sz w:val="18"/>
                      <w:szCs w:val="18"/>
                    </w:rPr>
                  </w:pPr>
                  <w:r>
                    <w:rPr>
                      <w:color w:val="auto"/>
                      <w:sz w:val="18"/>
                      <w:szCs w:val="18"/>
                    </w:rPr>
                    <w:t>生活污水</w:t>
                  </w:r>
                </w:p>
              </w:tc>
              <w:tc>
                <w:tcPr>
                  <w:tcW w:w="3795" w:type="dxa"/>
                  <w:tcBorders>
                    <w:tl2br w:val="nil"/>
                    <w:tr2bl w:val="nil"/>
                  </w:tcBorders>
                  <w:vAlign w:val="center"/>
                </w:tcPr>
                <w:p w14:paraId="72C2918E">
                  <w:pPr>
                    <w:widowControl/>
                    <w:jc w:val="center"/>
                    <w:rPr>
                      <w:rFonts w:hint="eastAsia" w:eastAsia="宋体"/>
                      <w:color w:val="auto"/>
                      <w:kern w:val="0"/>
                      <w:sz w:val="18"/>
                      <w:szCs w:val="18"/>
                      <w:lang w:eastAsia="zh-CN" w:bidi="ar"/>
                    </w:rPr>
                  </w:pPr>
                  <w:r>
                    <w:rPr>
                      <w:color w:val="auto"/>
                      <w:sz w:val="18"/>
                      <w:szCs w:val="18"/>
                    </w:rPr>
                    <w:t>化粪池</w:t>
                  </w:r>
                  <w:r>
                    <w:rPr>
                      <w:rFonts w:hint="eastAsia"/>
                      <w:color w:val="auto"/>
                      <w:sz w:val="18"/>
                      <w:szCs w:val="18"/>
                    </w:rPr>
                    <w:t>（</w:t>
                  </w:r>
                  <w:r>
                    <w:rPr>
                      <w:rFonts w:hint="eastAsia"/>
                      <w:color w:val="auto"/>
                      <w:sz w:val="18"/>
                      <w:szCs w:val="18"/>
                      <w:lang w:val="en-US" w:eastAsia="zh-CN"/>
                    </w:rPr>
                    <w:t>5m</w:t>
                  </w:r>
                  <w:r>
                    <w:rPr>
                      <w:rFonts w:hint="eastAsia"/>
                      <w:color w:val="auto"/>
                      <w:sz w:val="18"/>
                      <w:szCs w:val="18"/>
                      <w:vertAlign w:val="superscript"/>
                      <w:lang w:val="en-US" w:eastAsia="zh-CN"/>
                    </w:rPr>
                    <w:t>3</w:t>
                  </w:r>
                  <w:r>
                    <w:rPr>
                      <w:rFonts w:hint="eastAsia"/>
                      <w:color w:val="auto"/>
                      <w:sz w:val="18"/>
                      <w:szCs w:val="18"/>
                    </w:rPr>
                    <w:t>）</w:t>
                  </w:r>
                  <w:r>
                    <w:rPr>
                      <w:rFonts w:hint="eastAsia"/>
                      <w:color w:val="auto"/>
                      <w:sz w:val="18"/>
                      <w:szCs w:val="18"/>
                      <w:lang w:eastAsia="zh-CN"/>
                    </w:rPr>
                    <w:t>预处理</w:t>
                  </w:r>
                </w:p>
              </w:tc>
              <w:tc>
                <w:tcPr>
                  <w:tcW w:w="1498" w:type="dxa"/>
                  <w:tcBorders>
                    <w:tl2br w:val="nil"/>
                    <w:tr2bl w:val="nil"/>
                  </w:tcBorders>
                  <w:vAlign w:val="center"/>
                </w:tcPr>
                <w:p w14:paraId="59E30090">
                  <w:pPr>
                    <w:pStyle w:val="12"/>
                    <w:keepNext w:val="0"/>
                    <w:keepLines w:val="0"/>
                    <w:pageBreakBefore w:val="0"/>
                    <w:widowControl w:val="0"/>
                    <w:kinsoku/>
                    <w:wordWrap/>
                    <w:overflowPunct/>
                    <w:topLinePunct w:val="0"/>
                    <w:autoSpaceDE/>
                    <w:autoSpaceDN/>
                    <w:bidi w:val="0"/>
                    <w:spacing w:line="240" w:lineRule="auto"/>
                    <w:ind w:firstLine="0" w:firstLineChars="0"/>
                    <w:jc w:val="center"/>
                    <w:rPr>
                      <w:rFonts w:hint="default" w:eastAsia="宋体"/>
                      <w:color w:val="auto"/>
                      <w:kern w:val="0"/>
                      <w:sz w:val="18"/>
                      <w:szCs w:val="18"/>
                      <w:highlight w:val="none"/>
                      <w:lang w:val="en-US" w:eastAsia="zh-CN" w:bidi="ar"/>
                    </w:rPr>
                  </w:pPr>
                  <w:r>
                    <w:rPr>
                      <w:rFonts w:hint="default" w:ascii="Times New Roman" w:hAnsi="Times New Roman" w:eastAsia="宋体" w:cs="Times New Roman"/>
                      <w:color w:val="auto"/>
                      <w:kern w:val="2"/>
                      <w:sz w:val="18"/>
                      <w:szCs w:val="18"/>
                      <w:lang w:val="en-US" w:eastAsia="zh-CN" w:bidi="ar"/>
                    </w:rPr>
                    <w:t>达污水处理厂接管标准</w:t>
                  </w:r>
                </w:p>
              </w:tc>
            </w:tr>
            <w:tr w14:paraId="48A60C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45" w:type="dxa"/>
                  <w:vMerge w:val="continue"/>
                  <w:tcBorders>
                    <w:tl2br w:val="nil"/>
                    <w:tr2bl w:val="nil"/>
                  </w:tcBorders>
                  <w:vAlign w:val="center"/>
                </w:tcPr>
                <w:p w14:paraId="18A1EB69">
                  <w:pPr>
                    <w:widowControl/>
                    <w:jc w:val="center"/>
                    <w:rPr>
                      <w:color w:val="auto"/>
                      <w:sz w:val="18"/>
                      <w:szCs w:val="18"/>
                    </w:rPr>
                  </w:pPr>
                </w:p>
              </w:tc>
              <w:tc>
                <w:tcPr>
                  <w:tcW w:w="720" w:type="dxa"/>
                  <w:vMerge w:val="continue"/>
                  <w:tcBorders>
                    <w:tl2br w:val="nil"/>
                    <w:tr2bl w:val="nil"/>
                  </w:tcBorders>
                  <w:vAlign w:val="center"/>
                </w:tcPr>
                <w:p w14:paraId="07A29918">
                  <w:pPr>
                    <w:widowControl/>
                    <w:jc w:val="center"/>
                    <w:rPr>
                      <w:color w:val="auto"/>
                      <w:sz w:val="18"/>
                      <w:szCs w:val="18"/>
                    </w:rPr>
                  </w:pPr>
                </w:p>
              </w:tc>
              <w:tc>
                <w:tcPr>
                  <w:tcW w:w="1380" w:type="dxa"/>
                  <w:tcBorders>
                    <w:tl2br w:val="nil"/>
                    <w:tr2bl w:val="nil"/>
                  </w:tcBorders>
                  <w:vAlign w:val="center"/>
                </w:tcPr>
                <w:p w14:paraId="763D5675">
                  <w:pPr>
                    <w:widowControl/>
                    <w:jc w:val="center"/>
                    <w:rPr>
                      <w:rFonts w:hint="eastAsia" w:eastAsia="宋体"/>
                      <w:color w:val="auto"/>
                      <w:sz w:val="18"/>
                      <w:szCs w:val="18"/>
                      <w:lang w:eastAsia="zh-CN"/>
                    </w:rPr>
                  </w:pPr>
                  <w:r>
                    <w:rPr>
                      <w:rFonts w:hint="eastAsia"/>
                      <w:color w:val="auto"/>
                      <w:sz w:val="18"/>
                      <w:szCs w:val="18"/>
                      <w:lang w:eastAsia="zh-CN"/>
                    </w:rPr>
                    <w:t>食堂废水</w:t>
                  </w:r>
                </w:p>
              </w:tc>
              <w:tc>
                <w:tcPr>
                  <w:tcW w:w="3795" w:type="dxa"/>
                  <w:tcBorders>
                    <w:tl2br w:val="nil"/>
                    <w:tr2bl w:val="nil"/>
                  </w:tcBorders>
                  <w:vAlign w:val="center"/>
                </w:tcPr>
                <w:p w14:paraId="0809D773">
                  <w:pPr>
                    <w:widowControl/>
                    <w:jc w:val="center"/>
                    <w:rPr>
                      <w:rFonts w:hint="eastAsia"/>
                      <w:color w:val="auto"/>
                      <w:sz w:val="18"/>
                      <w:szCs w:val="18"/>
                      <w:lang w:eastAsia="zh-CN"/>
                    </w:rPr>
                  </w:pPr>
                  <w:r>
                    <w:rPr>
                      <w:rFonts w:hint="eastAsia"/>
                      <w:color w:val="auto"/>
                      <w:sz w:val="18"/>
                      <w:szCs w:val="18"/>
                      <w:lang w:eastAsia="zh-CN"/>
                    </w:rPr>
                    <w:t>隔油池（</w:t>
                  </w:r>
                  <w:r>
                    <w:rPr>
                      <w:rFonts w:hint="eastAsia"/>
                      <w:color w:val="auto"/>
                      <w:sz w:val="18"/>
                      <w:szCs w:val="18"/>
                      <w:lang w:val="en-US" w:eastAsia="zh-CN"/>
                    </w:rPr>
                    <w:t>5m</w:t>
                  </w:r>
                  <w:r>
                    <w:rPr>
                      <w:rFonts w:hint="eastAsia"/>
                      <w:color w:val="auto"/>
                      <w:sz w:val="18"/>
                      <w:szCs w:val="18"/>
                      <w:vertAlign w:val="superscript"/>
                      <w:lang w:val="en-US" w:eastAsia="zh-CN"/>
                    </w:rPr>
                    <w:t>3</w:t>
                  </w:r>
                  <w:r>
                    <w:rPr>
                      <w:rFonts w:hint="eastAsia"/>
                      <w:color w:val="auto"/>
                      <w:sz w:val="18"/>
                      <w:szCs w:val="18"/>
                      <w:lang w:eastAsia="zh-CN"/>
                    </w:rPr>
                    <w:t>）预处理</w:t>
                  </w:r>
                </w:p>
              </w:tc>
              <w:tc>
                <w:tcPr>
                  <w:tcW w:w="1498" w:type="dxa"/>
                  <w:tcBorders>
                    <w:tl2br w:val="nil"/>
                    <w:tr2bl w:val="nil"/>
                  </w:tcBorders>
                  <w:vAlign w:val="center"/>
                </w:tcPr>
                <w:p w14:paraId="15FDBC2C">
                  <w:pPr>
                    <w:pStyle w:val="12"/>
                    <w:keepNext w:val="0"/>
                    <w:keepLines w:val="0"/>
                    <w:pageBreakBefore w:val="0"/>
                    <w:widowControl w:val="0"/>
                    <w:kinsoku/>
                    <w:wordWrap/>
                    <w:overflowPunct/>
                    <w:topLinePunct w:val="0"/>
                    <w:autoSpaceDE/>
                    <w:autoSpaceDN/>
                    <w:bidi w:val="0"/>
                    <w:spacing w:line="240" w:lineRule="auto"/>
                    <w:ind w:firstLine="0" w:firstLineChars="0"/>
                    <w:jc w:val="center"/>
                    <w:rPr>
                      <w:rFonts w:hint="default" w:eastAsia="宋体"/>
                      <w:color w:val="auto"/>
                      <w:kern w:val="0"/>
                      <w:sz w:val="18"/>
                      <w:szCs w:val="18"/>
                      <w:highlight w:val="none"/>
                      <w:lang w:val="en-US" w:eastAsia="zh-CN" w:bidi="ar"/>
                    </w:rPr>
                  </w:pPr>
                  <w:r>
                    <w:rPr>
                      <w:rFonts w:hint="default" w:ascii="Times New Roman" w:hAnsi="Times New Roman" w:eastAsia="宋体" w:cs="Times New Roman"/>
                      <w:color w:val="auto"/>
                      <w:kern w:val="2"/>
                      <w:sz w:val="18"/>
                      <w:szCs w:val="18"/>
                      <w:lang w:val="en-US" w:eastAsia="zh-CN" w:bidi="ar"/>
                    </w:rPr>
                    <w:t>达污水处理厂接管标准</w:t>
                  </w:r>
                </w:p>
              </w:tc>
            </w:tr>
            <w:tr w14:paraId="0E1FE5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45" w:type="dxa"/>
                  <w:vMerge w:val="continue"/>
                  <w:tcBorders>
                    <w:tl2br w:val="nil"/>
                    <w:tr2bl w:val="nil"/>
                  </w:tcBorders>
                  <w:vAlign w:val="center"/>
                </w:tcPr>
                <w:p w14:paraId="4060CB78">
                  <w:pPr>
                    <w:widowControl/>
                    <w:jc w:val="center"/>
                    <w:rPr>
                      <w:color w:val="auto"/>
                      <w:sz w:val="18"/>
                      <w:szCs w:val="18"/>
                    </w:rPr>
                  </w:pPr>
                </w:p>
              </w:tc>
              <w:tc>
                <w:tcPr>
                  <w:tcW w:w="720" w:type="dxa"/>
                  <w:vMerge w:val="continue"/>
                  <w:tcBorders>
                    <w:tl2br w:val="nil"/>
                    <w:tr2bl w:val="nil"/>
                  </w:tcBorders>
                  <w:vAlign w:val="center"/>
                </w:tcPr>
                <w:p w14:paraId="646CAF7A">
                  <w:pPr>
                    <w:widowControl/>
                    <w:jc w:val="center"/>
                    <w:rPr>
                      <w:color w:val="auto"/>
                      <w:sz w:val="18"/>
                      <w:szCs w:val="18"/>
                    </w:rPr>
                  </w:pPr>
                </w:p>
              </w:tc>
              <w:tc>
                <w:tcPr>
                  <w:tcW w:w="1380" w:type="dxa"/>
                  <w:tcBorders>
                    <w:tl2br w:val="nil"/>
                    <w:tr2bl w:val="nil"/>
                  </w:tcBorders>
                  <w:vAlign w:val="center"/>
                </w:tcPr>
                <w:p w14:paraId="0CE5C3D5">
                  <w:pPr>
                    <w:widowControl/>
                    <w:jc w:val="center"/>
                    <w:rPr>
                      <w:rFonts w:hint="eastAsia"/>
                      <w:color w:val="auto"/>
                      <w:sz w:val="18"/>
                      <w:szCs w:val="18"/>
                      <w:lang w:eastAsia="zh-CN"/>
                    </w:rPr>
                  </w:pPr>
                  <w:r>
                    <w:rPr>
                      <w:rFonts w:hint="eastAsia"/>
                      <w:color w:val="auto"/>
                      <w:sz w:val="18"/>
                      <w:szCs w:val="18"/>
                      <w:lang w:eastAsia="zh-CN"/>
                    </w:rPr>
                    <w:t>生产废水</w:t>
                  </w:r>
                </w:p>
              </w:tc>
              <w:tc>
                <w:tcPr>
                  <w:tcW w:w="3795" w:type="dxa"/>
                  <w:tcBorders>
                    <w:tl2br w:val="nil"/>
                    <w:tr2bl w:val="nil"/>
                  </w:tcBorders>
                  <w:vAlign w:val="center"/>
                </w:tcPr>
                <w:p w14:paraId="2344D56E">
                  <w:pPr>
                    <w:widowControl/>
                    <w:jc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废水经机械砂水分离、沉淀</w:t>
                  </w:r>
                  <w:r>
                    <w:rPr>
                      <w:rFonts w:hint="eastAsia" w:ascii="Times New Roman" w:hAnsi="Times New Roman" w:cs="Times New Roman"/>
                      <w:color w:val="auto"/>
                      <w:sz w:val="18"/>
                      <w:szCs w:val="18"/>
                      <w:lang w:eastAsia="zh-CN"/>
                    </w:rPr>
                    <w:t>、过滤</w:t>
                  </w:r>
                  <w:r>
                    <w:rPr>
                      <w:rFonts w:hint="default" w:ascii="Times New Roman" w:hAnsi="Times New Roman" w:cs="Times New Roman"/>
                      <w:color w:val="auto"/>
                      <w:sz w:val="18"/>
                      <w:szCs w:val="18"/>
                      <w:lang w:eastAsia="zh-CN"/>
                    </w:rPr>
                    <w:t>处理后回用于生产</w:t>
                  </w:r>
                </w:p>
              </w:tc>
              <w:tc>
                <w:tcPr>
                  <w:tcW w:w="1498" w:type="dxa"/>
                  <w:tcBorders>
                    <w:tl2br w:val="nil"/>
                    <w:tr2bl w:val="nil"/>
                  </w:tcBorders>
                  <w:vAlign w:val="center"/>
                </w:tcPr>
                <w:p w14:paraId="0929516A">
                  <w:pPr>
                    <w:pStyle w:val="12"/>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
                    </w:rPr>
                  </w:pPr>
                  <w:r>
                    <w:rPr>
                      <w:rFonts w:hint="eastAsia" w:ascii="Times New Roman" w:hAnsi="Times New Roman" w:cs="Times New Roman"/>
                      <w:color w:val="auto"/>
                      <w:kern w:val="2"/>
                      <w:sz w:val="18"/>
                      <w:szCs w:val="18"/>
                      <w:lang w:val="en-US" w:eastAsia="zh-CN" w:bidi="ar"/>
                    </w:rPr>
                    <w:t>回用于生产</w:t>
                  </w:r>
                </w:p>
              </w:tc>
            </w:tr>
            <w:tr w14:paraId="6C8BA2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45" w:type="dxa"/>
                  <w:vMerge w:val="continue"/>
                  <w:tcBorders>
                    <w:tl2br w:val="nil"/>
                    <w:tr2bl w:val="nil"/>
                  </w:tcBorders>
                  <w:vAlign w:val="center"/>
                </w:tcPr>
                <w:p w14:paraId="6FC475F0">
                  <w:pPr>
                    <w:widowControl/>
                    <w:jc w:val="center"/>
                    <w:rPr>
                      <w:color w:val="auto"/>
                      <w:sz w:val="18"/>
                      <w:szCs w:val="18"/>
                    </w:rPr>
                  </w:pPr>
                </w:p>
              </w:tc>
              <w:tc>
                <w:tcPr>
                  <w:tcW w:w="2100" w:type="dxa"/>
                  <w:gridSpan w:val="2"/>
                  <w:tcBorders>
                    <w:tl2br w:val="nil"/>
                    <w:tr2bl w:val="nil"/>
                  </w:tcBorders>
                  <w:vAlign w:val="center"/>
                </w:tcPr>
                <w:p w14:paraId="0075F04F">
                  <w:pPr>
                    <w:widowControl/>
                    <w:jc w:val="center"/>
                    <w:rPr>
                      <w:color w:val="auto"/>
                      <w:sz w:val="18"/>
                      <w:szCs w:val="18"/>
                    </w:rPr>
                  </w:pPr>
                  <w:r>
                    <w:rPr>
                      <w:color w:val="auto"/>
                      <w:sz w:val="18"/>
                      <w:szCs w:val="18"/>
                    </w:rPr>
                    <w:t>噪声处理</w:t>
                  </w:r>
                </w:p>
              </w:tc>
              <w:tc>
                <w:tcPr>
                  <w:tcW w:w="3795" w:type="dxa"/>
                  <w:tcBorders>
                    <w:tl2br w:val="nil"/>
                    <w:tr2bl w:val="nil"/>
                  </w:tcBorders>
                  <w:vAlign w:val="center"/>
                </w:tcPr>
                <w:p w14:paraId="5C4FBD29">
                  <w:pPr>
                    <w:widowControl/>
                    <w:jc w:val="center"/>
                    <w:rPr>
                      <w:color w:val="auto"/>
                      <w:kern w:val="0"/>
                      <w:sz w:val="18"/>
                      <w:szCs w:val="18"/>
                      <w:lang w:bidi="ar"/>
                    </w:rPr>
                  </w:pPr>
                  <w:r>
                    <w:rPr>
                      <w:color w:val="auto"/>
                      <w:kern w:val="0"/>
                      <w:sz w:val="18"/>
                      <w:szCs w:val="18"/>
                      <w:lang w:bidi="ar"/>
                    </w:rPr>
                    <w:t>基础减振施、隔声等措</w:t>
                  </w:r>
                  <w:r>
                    <w:rPr>
                      <w:rFonts w:hint="eastAsia"/>
                      <w:color w:val="auto"/>
                      <w:kern w:val="0"/>
                      <w:sz w:val="18"/>
                      <w:szCs w:val="18"/>
                      <w:lang w:bidi="ar"/>
                    </w:rPr>
                    <w:t>施</w:t>
                  </w:r>
                </w:p>
              </w:tc>
              <w:tc>
                <w:tcPr>
                  <w:tcW w:w="1498" w:type="dxa"/>
                  <w:tcBorders>
                    <w:tl2br w:val="nil"/>
                    <w:tr2bl w:val="nil"/>
                  </w:tcBorders>
                  <w:vAlign w:val="center"/>
                </w:tcPr>
                <w:p w14:paraId="41CE52B2">
                  <w:pPr>
                    <w:widowControl/>
                    <w:jc w:val="center"/>
                    <w:rPr>
                      <w:rFonts w:hint="default" w:eastAsia="宋体"/>
                      <w:color w:val="auto"/>
                      <w:kern w:val="0"/>
                      <w:sz w:val="18"/>
                      <w:szCs w:val="18"/>
                      <w:highlight w:val="none"/>
                      <w:lang w:val="en-US" w:eastAsia="zh-CN" w:bidi="ar"/>
                    </w:rPr>
                  </w:pPr>
                  <w:r>
                    <w:rPr>
                      <w:rFonts w:hint="default" w:ascii="Times New Roman" w:hAnsi="Times New Roman" w:cs="Times New Roman"/>
                      <w:color w:val="auto"/>
                      <w:sz w:val="18"/>
                      <w:szCs w:val="18"/>
                    </w:rPr>
                    <w:t>厂界达标</w:t>
                  </w:r>
                </w:p>
              </w:tc>
            </w:tr>
            <w:tr w14:paraId="3DF151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5" w:type="dxa"/>
                  <w:vMerge w:val="continue"/>
                  <w:tcBorders>
                    <w:tl2br w:val="nil"/>
                    <w:tr2bl w:val="nil"/>
                  </w:tcBorders>
                  <w:vAlign w:val="center"/>
                </w:tcPr>
                <w:p w14:paraId="4BE8DBE1">
                  <w:pPr>
                    <w:widowControl/>
                    <w:jc w:val="center"/>
                    <w:rPr>
                      <w:color w:val="auto"/>
                      <w:sz w:val="18"/>
                      <w:szCs w:val="18"/>
                    </w:rPr>
                  </w:pPr>
                </w:p>
              </w:tc>
              <w:tc>
                <w:tcPr>
                  <w:tcW w:w="2100" w:type="dxa"/>
                  <w:gridSpan w:val="2"/>
                  <w:vMerge w:val="restart"/>
                  <w:tcBorders>
                    <w:tl2br w:val="nil"/>
                    <w:tr2bl w:val="nil"/>
                  </w:tcBorders>
                  <w:vAlign w:val="center"/>
                </w:tcPr>
                <w:p w14:paraId="6BFC45FD">
                  <w:pPr>
                    <w:widowControl/>
                    <w:jc w:val="center"/>
                    <w:rPr>
                      <w:color w:val="auto"/>
                      <w:sz w:val="18"/>
                      <w:szCs w:val="18"/>
                    </w:rPr>
                  </w:pPr>
                  <w:r>
                    <w:rPr>
                      <w:color w:val="auto"/>
                      <w:sz w:val="18"/>
                      <w:szCs w:val="18"/>
                    </w:rPr>
                    <w:t>固废处理</w:t>
                  </w:r>
                </w:p>
              </w:tc>
              <w:tc>
                <w:tcPr>
                  <w:tcW w:w="3795" w:type="dxa"/>
                  <w:tcBorders>
                    <w:tl2br w:val="nil"/>
                    <w:tr2bl w:val="nil"/>
                  </w:tcBorders>
                  <w:vAlign w:val="center"/>
                </w:tcPr>
                <w:p w14:paraId="098E1426">
                  <w:pPr>
                    <w:widowControl/>
                    <w:jc w:val="center"/>
                    <w:rPr>
                      <w:color w:val="auto"/>
                      <w:kern w:val="0"/>
                      <w:sz w:val="18"/>
                      <w:szCs w:val="18"/>
                      <w:lang w:bidi="ar"/>
                    </w:rPr>
                  </w:pPr>
                  <w:r>
                    <w:rPr>
                      <w:color w:val="auto"/>
                      <w:kern w:val="0"/>
                      <w:sz w:val="18"/>
                      <w:szCs w:val="18"/>
                      <w:lang w:bidi="ar"/>
                    </w:rPr>
                    <w:t>一般固废库建筑面积为</w:t>
                  </w:r>
                  <w:r>
                    <w:rPr>
                      <w:rFonts w:hint="eastAsia"/>
                      <w:color w:val="auto"/>
                      <w:kern w:val="0"/>
                      <w:sz w:val="18"/>
                      <w:szCs w:val="18"/>
                      <w:lang w:val="en-US" w:eastAsia="zh-CN" w:bidi="ar"/>
                    </w:rPr>
                    <w:t>20</w:t>
                  </w:r>
                  <w:r>
                    <w:rPr>
                      <w:color w:val="auto"/>
                      <w:kern w:val="0"/>
                      <w:sz w:val="18"/>
                      <w:szCs w:val="18"/>
                      <w:lang w:bidi="ar"/>
                    </w:rPr>
                    <w:t>0m</w:t>
                  </w:r>
                  <w:r>
                    <w:rPr>
                      <w:color w:val="auto"/>
                      <w:kern w:val="0"/>
                      <w:sz w:val="18"/>
                      <w:szCs w:val="18"/>
                      <w:vertAlign w:val="superscript"/>
                      <w:lang w:bidi="ar"/>
                    </w:rPr>
                    <w:t>2</w:t>
                  </w:r>
                </w:p>
              </w:tc>
              <w:tc>
                <w:tcPr>
                  <w:tcW w:w="1498" w:type="dxa"/>
                  <w:tcBorders>
                    <w:tl2br w:val="nil"/>
                    <w:tr2bl w:val="nil"/>
                  </w:tcBorders>
                  <w:vAlign w:val="center"/>
                </w:tcPr>
                <w:p w14:paraId="53F76633">
                  <w:pPr>
                    <w:jc w:val="center"/>
                    <w:rPr>
                      <w:rFonts w:hint="eastAsia" w:eastAsia="宋体"/>
                      <w:color w:val="auto"/>
                      <w:kern w:val="0"/>
                      <w:sz w:val="18"/>
                      <w:szCs w:val="18"/>
                      <w:highlight w:val="none"/>
                      <w:lang w:eastAsia="zh-CN" w:bidi="ar"/>
                    </w:rPr>
                  </w:pPr>
                  <w:r>
                    <w:rPr>
                      <w:rFonts w:hint="eastAsia"/>
                      <w:color w:val="auto"/>
                      <w:sz w:val="18"/>
                      <w:szCs w:val="21"/>
                      <w:highlight w:val="none"/>
                      <w:lang w:eastAsia="zh-CN"/>
                    </w:rPr>
                    <w:t>新建，</w:t>
                  </w:r>
                  <w:r>
                    <w:rPr>
                      <w:rFonts w:hint="eastAsia"/>
                      <w:color w:val="auto"/>
                      <w:sz w:val="18"/>
                      <w:szCs w:val="21"/>
                      <w:highlight w:val="none"/>
                    </w:rPr>
                    <w:t>位于</w:t>
                  </w:r>
                  <w:r>
                    <w:rPr>
                      <w:rFonts w:hint="eastAsia"/>
                      <w:color w:val="auto"/>
                      <w:sz w:val="18"/>
                      <w:szCs w:val="21"/>
                      <w:highlight w:val="none"/>
                      <w:lang w:eastAsia="zh-CN"/>
                    </w:rPr>
                    <w:t>车间东南</w:t>
                  </w:r>
                  <w:r>
                    <w:rPr>
                      <w:rFonts w:hint="eastAsia"/>
                      <w:color w:val="auto"/>
                      <w:sz w:val="18"/>
                      <w:szCs w:val="18"/>
                      <w:highlight w:val="none"/>
                    </w:rPr>
                    <w:t>侧</w:t>
                  </w:r>
                </w:p>
              </w:tc>
            </w:tr>
            <w:tr w14:paraId="702318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45" w:type="dxa"/>
                  <w:vMerge w:val="continue"/>
                  <w:tcBorders>
                    <w:tl2br w:val="nil"/>
                    <w:tr2bl w:val="nil"/>
                  </w:tcBorders>
                  <w:vAlign w:val="center"/>
                </w:tcPr>
                <w:p w14:paraId="1CCDBEC2">
                  <w:pPr>
                    <w:widowControl/>
                    <w:jc w:val="center"/>
                    <w:rPr>
                      <w:color w:val="auto"/>
                      <w:sz w:val="18"/>
                      <w:szCs w:val="18"/>
                    </w:rPr>
                  </w:pPr>
                </w:p>
              </w:tc>
              <w:tc>
                <w:tcPr>
                  <w:tcW w:w="2100" w:type="dxa"/>
                  <w:gridSpan w:val="2"/>
                  <w:vMerge w:val="continue"/>
                  <w:tcBorders>
                    <w:tl2br w:val="nil"/>
                    <w:tr2bl w:val="nil"/>
                  </w:tcBorders>
                  <w:vAlign w:val="center"/>
                </w:tcPr>
                <w:p w14:paraId="590E6EE8">
                  <w:pPr>
                    <w:widowControl/>
                    <w:jc w:val="center"/>
                    <w:rPr>
                      <w:color w:val="auto"/>
                      <w:sz w:val="18"/>
                      <w:szCs w:val="18"/>
                    </w:rPr>
                  </w:pPr>
                </w:p>
              </w:tc>
              <w:tc>
                <w:tcPr>
                  <w:tcW w:w="3795" w:type="dxa"/>
                  <w:tcBorders>
                    <w:tl2br w:val="nil"/>
                    <w:tr2bl w:val="nil"/>
                  </w:tcBorders>
                  <w:vAlign w:val="center"/>
                </w:tcPr>
                <w:p w14:paraId="7D671131">
                  <w:pPr>
                    <w:widowControl/>
                    <w:jc w:val="center"/>
                    <w:rPr>
                      <w:color w:val="auto"/>
                      <w:kern w:val="0"/>
                      <w:sz w:val="18"/>
                      <w:szCs w:val="18"/>
                      <w:lang w:bidi="ar"/>
                    </w:rPr>
                  </w:pPr>
                  <w:r>
                    <w:rPr>
                      <w:color w:val="auto"/>
                      <w:kern w:val="0"/>
                      <w:sz w:val="18"/>
                      <w:szCs w:val="18"/>
                      <w:lang w:bidi="ar"/>
                    </w:rPr>
                    <w:t>危废库建筑面积为</w:t>
                  </w:r>
                  <w:r>
                    <w:rPr>
                      <w:rFonts w:hint="eastAsia"/>
                      <w:color w:val="auto"/>
                      <w:kern w:val="0"/>
                      <w:sz w:val="18"/>
                      <w:szCs w:val="18"/>
                      <w:lang w:val="en-US" w:eastAsia="zh-CN" w:bidi="ar"/>
                    </w:rPr>
                    <w:t>1</w:t>
                  </w:r>
                  <w:r>
                    <w:rPr>
                      <w:color w:val="auto"/>
                      <w:kern w:val="0"/>
                      <w:sz w:val="18"/>
                      <w:szCs w:val="18"/>
                      <w:lang w:bidi="ar"/>
                    </w:rPr>
                    <w:t>0m</w:t>
                  </w:r>
                  <w:r>
                    <w:rPr>
                      <w:color w:val="auto"/>
                      <w:kern w:val="0"/>
                      <w:sz w:val="18"/>
                      <w:szCs w:val="18"/>
                      <w:vertAlign w:val="superscript"/>
                      <w:lang w:bidi="ar"/>
                    </w:rPr>
                    <w:t>2</w:t>
                  </w:r>
                </w:p>
              </w:tc>
              <w:tc>
                <w:tcPr>
                  <w:tcW w:w="1498" w:type="dxa"/>
                  <w:tcBorders>
                    <w:tl2br w:val="nil"/>
                    <w:tr2bl w:val="nil"/>
                  </w:tcBorders>
                  <w:vAlign w:val="center"/>
                </w:tcPr>
                <w:p w14:paraId="7AAD5262">
                  <w:pPr>
                    <w:jc w:val="center"/>
                    <w:rPr>
                      <w:rFonts w:hint="eastAsia" w:eastAsia="宋体"/>
                      <w:color w:val="auto"/>
                      <w:kern w:val="0"/>
                      <w:sz w:val="18"/>
                      <w:szCs w:val="18"/>
                      <w:highlight w:val="none"/>
                      <w:lang w:eastAsia="zh-CN" w:bidi="ar"/>
                    </w:rPr>
                  </w:pPr>
                  <w:r>
                    <w:rPr>
                      <w:rFonts w:hint="eastAsia"/>
                      <w:color w:val="auto"/>
                      <w:sz w:val="18"/>
                      <w:szCs w:val="21"/>
                      <w:highlight w:val="none"/>
                      <w:lang w:eastAsia="zh-CN"/>
                    </w:rPr>
                    <w:t>新建，</w:t>
                  </w:r>
                  <w:r>
                    <w:rPr>
                      <w:rFonts w:hint="eastAsia"/>
                      <w:color w:val="auto"/>
                      <w:sz w:val="18"/>
                      <w:szCs w:val="21"/>
                      <w:highlight w:val="none"/>
                    </w:rPr>
                    <w:t>位于</w:t>
                  </w:r>
                  <w:r>
                    <w:rPr>
                      <w:rFonts w:hint="eastAsia"/>
                      <w:color w:val="auto"/>
                      <w:sz w:val="18"/>
                      <w:szCs w:val="21"/>
                      <w:highlight w:val="none"/>
                      <w:lang w:eastAsia="zh-CN"/>
                    </w:rPr>
                    <w:t>车间东南</w:t>
                  </w:r>
                  <w:r>
                    <w:rPr>
                      <w:rFonts w:hint="eastAsia"/>
                      <w:color w:val="auto"/>
                      <w:sz w:val="18"/>
                      <w:szCs w:val="18"/>
                      <w:highlight w:val="none"/>
                    </w:rPr>
                    <w:t>侧</w:t>
                  </w:r>
                </w:p>
              </w:tc>
            </w:tr>
            <w:tr w14:paraId="2F49BE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45" w:type="dxa"/>
                  <w:gridSpan w:val="3"/>
                  <w:tcBorders>
                    <w:tl2br w:val="nil"/>
                    <w:tr2bl w:val="nil"/>
                  </w:tcBorders>
                  <w:vAlign w:val="center"/>
                </w:tcPr>
                <w:p w14:paraId="58FB7F34">
                  <w:pPr>
                    <w:widowControl/>
                    <w:jc w:val="center"/>
                    <w:rPr>
                      <w:color w:val="auto"/>
                      <w:sz w:val="18"/>
                      <w:szCs w:val="18"/>
                    </w:rPr>
                  </w:pPr>
                  <w:r>
                    <w:rPr>
                      <w:color w:val="auto"/>
                      <w:sz w:val="18"/>
                      <w:szCs w:val="18"/>
                    </w:rPr>
                    <w:t>环境风险</w:t>
                  </w:r>
                </w:p>
              </w:tc>
              <w:tc>
                <w:tcPr>
                  <w:tcW w:w="3795" w:type="dxa"/>
                  <w:tcBorders>
                    <w:tl2br w:val="nil"/>
                    <w:tr2bl w:val="nil"/>
                  </w:tcBorders>
                  <w:vAlign w:val="center"/>
                </w:tcPr>
                <w:p w14:paraId="7171C129">
                  <w:pPr>
                    <w:widowControl/>
                    <w:jc w:val="center"/>
                    <w:rPr>
                      <w:color w:val="auto"/>
                      <w:kern w:val="0"/>
                      <w:sz w:val="18"/>
                      <w:szCs w:val="18"/>
                      <w:lang w:bidi="ar"/>
                    </w:rPr>
                  </w:pPr>
                  <w:r>
                    <w:rPr>
                      <w:rFonts w:hint="eastAsia"/>
                      <w:color w:val="auto"/>
                      <w:kern w:val="0"/>
                      <w:sz w:val="18"/>
                      <w:szCs w:val="18"/>
                      <w:lang w:bidi="ar"/>
                    </w:rPr>
                    <w:t>事故应急池（</w:t>
                  </w:r>
                  <w:r>
                    <w:rPr>
                      <w:rFonts w:hint="eastAsia"/>
                      <w:color w:val="auto"/>
                      <w:kern w:val="0"/>
                      <w:sz w:val="18"/>
                      <w:szCs w:val="18"/>
                      <w:lang w:val="en-US" w:eastAsia="zh-CN" w:bidi="ar"/>
                    </w:rPr>
                    <w:t>200</w:t>
                  </w:r>
                  <w:r>
                    <w:rPr>
                      <w:rFonts w:hint="eastAsia"/>
                      <w:color w:val="auto"/>
                      <w:kern w:val="0"/>
                      <w:sz w:val="18"/>
                      <w:szCs w:val="18"/>
                      <w:lang w:bidi="ar"/>
                    </w:rPr>
                    <w:t>m</w:t>
                  </w:r>
                  <w:r>
                    <w:rPr>
                      <w:rFonts w:hint="eastAsia"/>
                      <w:color w:val="auto"/>
                      <w:kern w:val="0"/>
                      <w:sz w:val="18"/>
                      <w:szCs w:val="18"/>
                      <w:vertAlign w:val="superscript"/>
                      <w:lang w:bidi="ar"/>
                    </w:rPr>
                    <w:t>3</w:t>
                  </w:r>
                  <w:r>
                    <w:rPr>
                      <w:rFonts w:hint="eastAsia"/>
                      <w:color w:val="auto"/>
                      <w:kern w:val="0"/>
                      <w:sz w:val="18"/>
                      <w:szCs w:val="18"/>
                      <w:lang w:bidi="ar"/>
                    </w:rPr>
                    <w:t>）</w:t>
                  </w:r>
                </w:p>
              </w:tc>
              <w:tc>
                <w:tcPr>
                  <w:tcW w:w="1498" w:type="dxa"/>
                  <w:tcBorders>
                    <w:tl2br w:val="nil"/>
                    <w:tr2bl w:val="nil"/>
                  </w:tcBorders>
                  <w:vAlign w:val="center"/>
                </w:tcPr>
                <w:p w14:paraId="4FF78B62">
                  <w:pPr>
                    <w:widowControl/>
                    <w:jc w:val="center"/>
                    <w:rPr>
                      <w:rFonts w:hint="eastAsia" w:eastAsia="宋体"/>
                      <w:color w:val="auto"/>
                      <w:kern w:val="0"/>
                      <w:sz w:val="18"/>
                      <w:szCs w:val="18"/>
                      <w:highlight w:val="none"/>
                      <w:lang w:eastAsia="zh-CN" w:bidi="ar"/>
                    </w:rPr>
                  </w:pPr>
                  <w:r>
                    <w:rPr>
                      <w:rFonts w:hint="eastAsia"/>
                      <w:color w:val="auto"/>
                      <w:kern w:val="0"/>
                      <w:sz w:val="18"/>
                      <w:szCs w:val="18"/>
                      <w:highlight w:val="none"/>
                      <w:lang w:eastAsia="zh-CN" w:bidi="ar"/>
                    </w:rPr>
                    <w:t>新建，</w:t>
                  </w:r>
                  <w:r>
                    <w:rPr>
                      <w:color w:val="auto"/>
                      <w:kern w:val="0"/>
                      <w:sz w:val="18"/>
                      <w:szCs w:val="18"/>
                      <w:highlight w:val="none"/>
                      <w:lang w:bidi="ar"/>
                    </w:rPr>
                    <w:t>位于</w:t>
                  </w:r>
                  <w:r>
                    <w:rPr>
                      <w:rFonts w:hint="eastAsia"/>
                      <w:color w:val="auto"/>
                      <w:sz w:val="18"/>
                      <w:szCs w:val="21"/>
                      <w:highlight w:val="none"/>
                      <w:lang w:eastAsia="zh-CN"/>
                    </w:rPr>
                    <w:t>厂区南侧</w:t>
                  </w:r>
                </w:p>
              </w:tc>
            </w:tr>
          </w:tbl>
          <w:p w14:paraId="63307A5D">
            <w:pPr>
              <w:adjustRightInd w:val="0"/>
              <w:snapToGrid w:val="0"/>
              <w:spacing w:line="500" w:lineRule="exact"/>
              <w:ind w:firstLine="422" w:firstLineChars="200"/>
              <w:rPr>
                <w:b/>
                <w:color w:val="auto"/>
                <w:szCs w:val="21"/>
              </w:rPr>
            </w:pPr>
            <w:r>
              <w:rPr>
                <w:b/>
                <w:color w:val="auto"/>
                <w:szCs w:val="21"/>
              </w:rPr>
              <w:t>6、劳动制度及定员</w:t>
            </w:r>
          </w:p>
          <w:p w14:paraId="18202D7B">
            <w:pPr>
              <w:adjustRightInd w:val="0"/>
              <w:snapToGrid w:val="0"/>
              <w:spacing w:line="500" w:lineRule="exact"/>
              <w:ind w:firstLine="420" w:firstLineChars="200"/>
              <w:rPr>
                <w:rFonts w:hint="eastAsia" w:eastAsia="宋体"/>
                <w:color w:val="auto"/>
                <w:kern w:val="0"/>
                <w:szCs w:val="21"/>
                <w:lang w:eastAsia="zh-CN" w:bidi="ar"/>
              </w:rPr>
            </w:pPr>
            <w:r>
              <w:rPr>
                <w:bCs/>
                <w:color w:val="auto"/>
                <w:szCs w:val="21"/>
              </w:rPr>
              <w:t>项目年运行</w:t>
            </w:r>
            <w:r>
              <w:rPr>
                <w:rFonts w:hint="eastAsia"/>
                <w:bCs/>
                <w:color w:val="auto"/>
                <w:szCs w:val="21"/>
                <w:lang w:val="en-US" w:eastAsia="zh-CN"/>
              </w:rPr>
              <w:t>300</w:t>
            </w:r>
            <w:r>
              <w:rPr>
                <w:bCs/>
                <w:color w:val="auto"/>
                <w:szCs w:val="21"/>
              </w:rPr>
              <w:t>天，每天</w:t>
            </w:r>
            <w:r>
              <w:rPr>
                <w:rFonts w:hint="eastAsia"/>
                <w:bCs/>
                <w:color w:val="auto"/>
                <w:szCs w:val="21"/>
                <w:lang w:val="en-US" w:eastAsia="zh-CN"/>
              </w:rPr>
              <w:t>1</w:t>
            </w:r>
            <w:r>
              <w:rPr>
                <w:bCs/>
                <w:color w:val="auto"/>
                <w:szCs w:val="21"/>
              </w:rPr>
              <w:t>班，每班工作</w:t>
            </w:r>
            <w:r>
              <w:rPr>
                <w:rFonts w:hint="eastAsia"/>
                <w:bCs/>
                <w:color w:val="auto"/>
                <w:szCs w:val="21"/>
                <w:lang w:val="en-US" w:eastAsia="zh-CN"/>
              </w:rPr>
              <w:t>8</w:t>
            </w:r>
            <w:r>
              <w:rPr>
                <w:bCs/>
                <w:color w:val="auto"/>
                <w:szCs w:val="21"/>
              </w:rPr>
              <w:t>小时。</w:t>
            </w:r>
            <w:r>
              <w:rPr>
                <w:rFonts w:hint="eastAsia"/>
                <w:bCs/>
                <w:color w:val="auto"/>
                <w:szCs w:val="21"/>
              </w:rPr>
              <w:t>项目员工</w:t>
            </w:r>
            <w:r>
              <w:rPr>
                <w:rFonts w:hint="eastAsia"/>
                <w:bCs/>
                <w:color w:val="auto"/>
                <w:szCs w:val="21"/>
                <w:lang w:val="en-US" w:eastAsia="zh-CN"/>
              </w:rPr>
              <w:t>30</w:t>
            </w:r>
            <w:r>
              <w:rPr>
                <w:rFonts w:hint="eastAsia"/>
                <w:bCs/>
                <w:color w:val="auto"/>
                <w:szCs w:val="21"/>
              </w:rPr>
              <w:t>人</w:t>
            </w:r>
            <w:r>
              <w:rPr>
                <w:bCs/>
                <w:color w:val="auto"/>
                <w:szCs w:val="21"/>
              </w:rPr>
              <w:t>，提供员工餐饮</w:t>
            </w:r>
            <w:r>
              <w:rPr>
                <w:rFonts w:hint="eastAsia"/>
                <w:bCs/>
                <w:color w:val="auto"/>
                <w:szCs w:val="21"/>
                <w:lang w:eastAsia="zh-CN"/>
              </w:rPr>
              <w:t>。</w:t>
            </w:r>
          </w:p>
          <w:p w14:paraId="78608199">
            <w:pPr>
              <w:adjustRightInd w:val="0"/>
              <w:snapToGrid w:val="0"/>
              <w:spacing w:line="500" w:lineRule="exact"/>
              <w:ind w:firstLine="422" w:firstLineChars="200"/>
              <w:rPr>
                <w:b/>
                <w:color w:val="auto"/>
                <w:szCs w:val="21"/>
              </w:rPr>
            </w:pPr>
            <w:r>
              <w:rPr>
                <w:b/>
                <w:color w:val="auto"/>
                <w:szCs w:val="21"/>
              </w:rPr>
              <w:t>7、厂区平面布置</w:t>
            </w:r>
          </w:p>
          <w:p w14:paraId="1EA9D564">
            <w:pPr>
              <w:adjustRightInd w:val="0"/>
              <w:snapToGrid w:val="0"/>
              <w:spacing w:line="500" w:lineRule="exact"/>
              <w:ind w:firstLine="420" w:firstLineChars="200"/>
              <w:rPr>
                <w:bCs/>
                <w:color w:val="auto"/>
                <w:szCs w:val="21"/>
              </w:rPr>
            </w:pPr>
            <w:r>
              <w:rPr>
                <w:rFonts w:hint="eastAsia"/>
                <w:bCs/>
                <w:color w:val="auto"/>
                <w:szCs w:val="21"/>
              </w:rPr>
              <w:t>1）厂内平面布置情况</w:t>
            </w:r>
          </w:p>
          <w:p w14:paraId="0FA7F033">
            <w:pPr>
              <w:widowControl/>
              <w:spacing w:line="500" w:lineRule="exact"/>
              <w:ind w:firstLine="420" w:firstLineChars="200"/>
              <w:jc w:val="left"/>
              <w:rPr>
                <w:bCs/>
                <w:color w:val="auto"/>
                <w:szCs w:val="21"/>
              </w:rPr>
            </w:pPr>
            <w:r>
              <w:rPr>
                <w:bCs/>
                <w:color w:val="auto"/>
                <w:szCs w:val="21"/>
              </w:rPr>
              <w:t>项目总平面布置做到人货分流。生产车间内根据不同用途划分不同区域，高噪声设备布置于车间中部，纵观厂房的平面布置，各分区的布置规划整齐，既方便内外交通联系，又方便原辅材料和成品的运输，厂区平面布置较合理。本项目厂区平面布置图详见附图三。</w:t>
            </w:r>
          </w:p>
          <w:p w14:paraId="02560BEA">
            <w:pPr>
              <w:adjustRightInd w:val="0"/>
              <w:snapToGrid w:val="0"/>
              <w:spacing w:line="500" w:lineRule="exact"/>
              <w:ind w:firstLine="420" w:firstLineChars="200"/>
              <w:rPr>
                <w:bCs/>
                <w:color w:val="auto"/>
                <w:szCs w:val="21"/>
              </w:rPr>
            </w:pPr>
            <w:r>
              <w:rPr>
                <w:rFonts w:hint="eastAsia"/>
                <w:bCs/>
                <w:color w:val="auto"/>
                <w:szCs w:val="21"/>
              </w:rPr>
              <w:t>2）周边概况</w:t>
            </w:r>
          </w:p>
          <w:p w14:paraId="10F9C3CB">
            <w:pPr>
              <w:adjustRightInd w:val="0"/>
              <w:snapToGrid w:val="0"/>
              <w:spacing w:line="500" w:lineRule="exact"/>
              <w:ind w:firstLine="420" w:firstLineChars="200"/>
              <w:rPr>
                <w:rFonts w:hint="eastAsia"/>
                <w:b w:val="0"/>
                <w:bCs/>
                <w:color w:val="auto"/>
                <w:szCs w:val="21"/>
                <w:lang w:val="en-US" w:eastAsia="zh-CN"/>
              </w:rPr>
            </w:pPr>
            <w:r>
              <w:rPr>
                <w:color w:val="auto"/>
                <w:szCs w:val="21"/>
              </w:rPr>
              <w:t>项目位于</w:t>
            </w:r>
            <w:r>
              <w:rPr>
                <w:rFonts w:hint="eastAsia"/>
                <w:color w:val="auto"/>
                <w:kern w:val="0"/>
                <w:szCs w:val="21"/>
              </w:rPr>
              <w:t>启东生命健康产业园常州路38号</w:t>
            </w:r>
            <w:r>
              <w:rPr>
                <w:color w:val="auto"/>
                <w:szCs w:val="21"/>
              </w:rPr>
              <w:t>，</w:t>
            </w:r>
            <w:r>
              <w:rPr>
                <w:rFonts w:hint="eastAsia"/>
                <w:color w:val="auto"/>
                <w:szCs w:val="21"/>
                <w:lang w:eastAsia="zh-CN"/>
              </w:rPr>
              <w:t>项目北侧为空地，南侧为宏凯路，东侧为启东宏凯化工有限公司，东侧为常州路。建设项目地理位置见附图一、周边环境概况见附图二。</w:t>
            </w:r>
          </w:p>
          <w:p w14:paraId="6BD30202">
            <w:pPr>
              <w:adjustRightInd w:val="0"/>
              <w:snapToGrid w:val="0"/>
              <w:spacing w:line="500" w:lineRule="exact"/>
              <w:ind w:firstLine="422" w:firstLineChars="200"/>
              <w:rPr>
                <w:b/>
                <w:color w:val="auto"/>
                <w:szCs w:val="21"/>
              </w:rPr>
            </w:pPr>
            <w:r>
              <w:rPr>
                <w:rFonts w:hint="eastAsia"/>
                <w:b/>
                <w:color w:val="auto"/>
                <w:szCs w:val="21"/>
              </w:rPr>
              <w:t>8</w:t>
            </w:r>
            <w:r>
              <w:rPr>
                <w:b/>
                <w:color w:val="auto"/>
                <w:szCs w:val="21"/>
              </w:rPr>
              <w:t>、水平衡分析</w:t>
            </w:r>
          </w:p>
          <w:p w14:paraId="365DE362">
            <w:pPr>
              <w:adjustRightInd w:val="0"/>
              <w:snapToGrid w:val="0"/>
              <w:spacing w:line="500" w:lineRule="exact"/>
              <w:ind w:firstLine="420" w:firstLineChars="200"/>
              <w:rPr>
                <w:rFonts w:hint="eastAsia" w:eastAsia="宋体"/>
                <w:bCs/>
                <w:color w:val="auto"/>
                <w:szCs w:val="21"/>
                <w:lang w:eastAsia="zh-CN"/>
              </w:rPr>
            </w:pPr>
            <w:r>
              <w:rPr>
                <w:rFonts w:hint="eastAsia"/>
                <w:bCs/>
                <w:color w:val="auto"/>
                <w:szCs w:val="21"/>
              </w:rPr>
              <w:t>项目用水由市政供水供给，总用水量为</w:t>
            </w:r>
            <w:r>
              <w:rPr>
                <w:rFonts w:hint="eastAsia"/>
                <w:bCs/>
                <w:color w:val="auto"/>
                <w:szCs w:val="21"/>
                <w:lang w:val="en-US" w:eastAsia="zh-CN"/>
              </w:rPr>
              <w:t>1335</w:t>
            </w:r>
            <w:r>
              <w:rPr>
                <w:rFonts w:hint="eastAsia"/>
                <w:bCs/>
                <w:color w:val="auto"/>
                <w:szCs w:val="21"/>
              </w:rPr>
              <w:t>t/a。项目营运期用水主要为生活用水</w:t>
            </w:r>
            <w:r>
              <w:rPr>
                <w:rFonts w:hint="eastAsia"/>
                <w:bCs/>
                <w:color w:val="auto"/>
                <w:szCs w:val="21"/>
                <w:lang w:eastAsia="zh-CN"/>
              </w:rPr>
              <w:t>、食堂用水等</w:t>
            </w:r>
            <w:r>
              <w:rPr>
                <w:rFonts w:hint="eastAsia"/>
                <w:bCs/>
                <w:color w:val="auto"/>
                <w:szCs w:val="21"/>
              </w:rPr>
              <w:t>。</w:t>
            </w:r>
            <w:r>
              <w:rPr>
                <w:rFonts w:hint="eastAsia"/>
                <w:bCs/>
                <w:color w:val="auto"/>
                <w:szCs w:val="21"/>
                <w:lang w:eastAsia="zh-CN"/>
              </w:rPr>
              <w:t>项目地面不进行冲洗，只进行简单清扫。</w:t>
            </w:r>
          </w:p>
          <w:p w14:paraId="34B55CC0">
            <w:pPr>
              <w:keepNext w:val="0"/>
              <w:keepLines w:val="0"/>
              <w:pageBreakBefore w:val="0"/>
              <w:numPr>
                <w:ilvl w:val="0"/>
                <w:numId w:val="0"/>
              </w:numPr>
              <w:kinsoku/>
              <w:wordWrap/>
              <w:overflowPunct/>
              <w:topLinePunct w:val="0"/>
              <w:autoSpaceDE/>
              <w:autoSpaceDN/>
              <w:bidi w:val="0"/>
              <w:adjustRightInd w:val="0"/>
              <w:snapToGrid w:val="0"/>
              <w:spacing w:line="500" w:lineRule="exact"/>
              <w:ind w:firstLine="420" w:firstLineChars="200"/>
              <w:textAlignment w:val="auto"/>
              <w:rPr>
                <w:rFonts w:hint="eastAsia"/>
                <w:bCs/>
                <w:color w:val="auto"/>
                <w:szCs w:val="21"/>
              </w:rPr>
            </w:pPr>
            <w:r>
              <w:rPr>
                <w:rFonts w:hint="eastAsia"/>
                <w:bCs/>
                <w:color w:val="auto"/>
                <w:szCs w:val="21"/>
                <w:lang w:eastAsia="zh-CN"/>
              </w:rPr>
              <w:t>（</w:t>
            </w:r>
            <w:r>
              <w:rPr>
                <w:rFonts w:hint="eastAsia"/>
                <w:bCs/>
                <w:color w:val="auto"/>
                <w:szCs w:val="21"/>
                <w:lang w:val="en-US" w:eastAsia="zh-CN"/>
              </w:rPr>
              <w:t>1</w:t>
            </w:r>
            <w:r>
              <w:rPr>
                <w:rFonts w:hint="eastAsia"/>
                <w:bCs/>
                <w:color w:val="auto"/>
                <w:szCs w:val="21"/>
                <w:lang w:eastAsia="zh-CN"/>
              </w:rPr>
              <w:t>）</w:t>
            </w:r>
            <w:r>
              <w:rPr>
                <w:rFonts w:hint="eastAsia"/>
                <w:bCs/>
                <w:color w:val="auto"/>
                <w:szCs w:val="21"/>
              </w:rPr>
              <w:t>生活用水：项目员工</w:t>
            </w:r>
            <w:r>
              <w:rPr>
                <w:rFonts w:hint="eastAsia"/>
                <w:bCs/>
                <w:color w:val="auto"/>
                <w:szCs w:val="21"/>
                <w:lang w:val="en-US" w:eastAsia="zh-CN"/>
              </w:rPr>
              <w:t>30</w:t>
            </w:r>
            <w:r>
              <w:rPr>
                <w:rFonts w:hint="eastAsia"/>
                <w:bCs/>
                <w:color w:val="auto"/>
                <w:szCs w:val="21"/>
              </w:rPr>
              <w:t>人。根据《建筑给水排水设计标准》（GB50015-2019），车间工人的日常生活用水定额采用30</w:t>
            </w:r>
            <w:r>
              <w:rPr>
                <w:rFonts w:hint="eastAsia"/>
                <w:bCs/>
                <w:color w:val="auto"/>
                <w:szCs w:val="21"/>
                <w:lang w:eastAsia="zh-CN"/>
              </w:rPr>
              <w:t>—</w:t>
            </w:r>
            <w:r>
              <w:rPr>
                <w:rFonts w:hint="eastAsia"/>
                <w:bCs/>
                <w:color w:val="auto"/>
                <w:szCs w:val="21"/>
              </w:rPr>
              <w:t>50L/人，本次环评按50L/d</w:t>
            </w:r>
            <w:r>
              <w:rPr>
                <w:rFonts w:hint="eastAsia" w:ascii="微软雅黑" w:hAnsi="微软雅黑" w:eastAsia="微软雅黑" w:cs="微软雅黑"/>
                <w:bCs/>
                <w:color w:val="auto"/>
                <w:szCs w:val="21"/>
              </w:rPr>
              <w:t>•</w:t>
            </w:r>
            <w:r>
              <w:rPr>
                <w:rFonts w:hint="eastAsia"/>
                <w:bCs/>
                <w:color w:val="auto"/>
                <w:szCs w:val="21"/>
              </w:rPr>
              <w:t>人计，项目年运行</w:t>
            </w:r>
            <w:r>
              <w:rPr>
                <w:rFonts w:hint="eastAsia"/>
                <w:bCs/>
                <w:color w:val="auto"/>
                <w:szCs w:val="21"/>
                <w:lang w:val="en-US" w:eastAsia="zh-CN"/>
              </w:rPr>
              <w:t>300</w:t>
            </w:r>
            <w:r>
              <w:rPr>
                <w:rFonts w:hint="eastAsia"/>
                <w:bCs/>
                <w:color w:val="auto"/>
                <w:szCs w:val="21"/>
              </w:rPr>
              <w:t>天，则需要生活用水</w:t>
            </w:r>
            <w:r>
              <w:rPr>
                <w:rFonts w:hint="eastAsia"/>
                <w:bCs/>
                <w:color w:val="auto"/>
                <w:szCs w:val="21"/>
                <w:lang w:val="en-US" w:eastAsia="zh-CN"/>
              </w:rPr>
              <w:t>450</w:t>
            </w:r>
            <w:r>
              <w:rPr>
                <w:rFonts w:hint="eastAsia"/>
                <w:bCs/>
                <w:color w:val="auto"/>
                <w:szCs w:val="21"/>
              </w:rPr>
              <w:t>t/a，产污系数按照0.8计算，则产生的生活污水</w:t>
            </w:r>
            <w:r>
              <w:rPr>
                <w:rFonts w:hint="eastAsia"/>
                <w:bCs/>
                <w:color w:val="auto"/>
                <w:szCs w:val="21"/>
                <w:lang w:val="en-US" w:eastAsia="zh-CN"/>
              </w:rPr>
              <w:t>360</w:t>
            </w:r>
            <w:r>
              <w:rPr>
                <w:rFonts w:hint="eastAsia"/>
                <w:bCs/>
                <w:color w:val="auto"/>
                <w:szCs w:val="21"/>
              </w:rPr>
              <w:t>t/a。</w:t>
            </w:r>
          </w:p>
          <w:p w14:paraId="79D0FEDF">
            <w:pPr>
              <w:keepNext w:val="0"/>
              <w:keepLines w:val="0"/>
              <w:pageBreakBefore w:val="0"/>
              <w:numPr>
                <w:ilvl w:val="0"/>
                <w:numId w:val="0"/>
              </w:numPr>
              <w:kinsoku/>
              <w:wordWrap/>
              <w:overflowPunct/>
              <w:topLinePunct w:val="0"/>
              <w:autoSpaceDE/>
              <w:autoSpaceDN/>
              <w:bidi w:val="0"/>
              <w:adjustRightInd w:val="0"/>
              <w:snapToGrid w:val="0"/>
              <w:spacing w:line="500" w:lineRule="exact"/>
              <w:ind w:firstLine="420" w:firstLineChars="200"/>
              <w:textAlignment w:val="auto"/>
              <w:rPr>
                <w:rFonts w:hint="default"/>
                <w:bCs/>
                <w:color w:val="auto"/>
                <w:szCs w:val="21"/>
                <w:vertAlign w:val="baseline"/>
                <w:lang w:val="en-US" w:eastAsia="zh-CN"/>
              </w:rPr>
            </w:pPr>
            <w:r>
              <w:rPr>
                <w:rFonts w:hint="eastAsia"/>
                <w:bCs/>
                <w:color w:val="auto"/>
                <w:szCs w:val="21"/>
                <w:vertAlign w:val="baseline"/>
                <w:lang w:val="en-US" w:eastAsia="zh-CN"/>
              </w:rPr>
              <w:t>（3）食堂用水：项目就餐员工30人，年生产300天，项目每天提供一餐。根据《江苏省工业、服务业和生活用水定额（2014年修订）》，食堂用水量按照15L/d•人计，项目食堂用水量为135m</w:t>
            </w:r>
            <w:r>
              <w:rPr>
                <w:rFonts w:hint="eastAsia"/>
                <w:bCs/>
                <w:color w:val="auto"/>
                <w:szCs w:val="21"/>
                <w:vertAlign w:val="superscript"/>
                <w:lang w:val="en-US" w:eastAsia="zh-CN"/>
              </w:rPr>
              <w:t>3</w:t>
            </w:r>
            <w:r>
              <w:rPr>
                <w:rFonts w:hint="eastAsia"/>
                <w:bCs/>
                <w:color w:val="auto"/>
                <w:szCs w:val="21"/>
                <w:vertAlign w:val="baseline"/>
                <w:lang w:val="en-US" w:eastAsia="zh-CN"/>
              </w:rPr>
              <w:t>/a。排污系数为0.8，则食堂废水排放量为108m</w:t>
            </w:r>
            <w:r>
              <w:rPr>
                <w:rFonts w:hint="eastAsia"/>
                <w:bCs/>
                <w:color w:val="auto"/>
                <w:szCs w:val="21"/>
                <w:vertAlign w:val="superscript"/>
                <w:lang w:val="en-US" w:eastAsia="zh-CN"/>
              </w:rPr>
              <w:t>3</w:t>
            </w:r>
            <w:r>
              <w:rPr>
                <w:rFonts w:hint="eastAsia"/>
                <w:bCs/>
                <w:color w:val="auto"/>
                <w:szCs w:val="21"/>
                <w:vertAlign w:val="baseline"/>
                <w:lang w:val="en-US" w:eastAsia="zh-CN"/>
              </w:rPr>
              <w:t>/a，经隔油池预处理后接管至联合水务（启东）有限公司集中处理。</w:t>
            </w:r>
          </w:p>
          <w:p w14:paraId="0A3C7804">
            <w:pPr>
              <w:numPr>
                <w:ilvl w:val="0"/>
                <w:numId w:val="0"/>
              </w:numPr>
              <w:adjustRightInd w:val="0"/>
              <w:snapToGrid w:val="0"/>
              <w:spacing w:line="500" w:lineRule="exact"/>
              <w:ind w:firstLine="420" w:firstLineChars="200"/>
              <w:rPr>
                <w:rFonts w:hint="default"/>
                <w:bCs/>
                <w:color w:val="auto"/>
                <w:szCs w:val="21"/>
                <w:lang w:val="en-US"/>
              </w:rPr>
            </w:pPr>
            <w:r>
              <w:rPr>
                <w:rFonts w:hint="eastAsia"/>
                <w:bCs/>
                <w:color w:val="auto"/>
                <w:szCs w:val="21"/>
                <w:lang w:eastAsia="zh-CN"/>
              </w:rPr>
              <w:t>（</w:t>
            </w:r>
            <w:r>
              <w:rPr>
                <w:rFonts w:hint="eastAsia"/>
                <w:bCs/>
                <w:color w:val="auto"/>
                <w:szCs w:val="21"/>
                <w:lang w:val="en-US" w:eastAsia="zh-CN"/>
              </w:rPr>
              <w:t>4</w:t>
            </w:r>
            <w:r>
              <w:rPr>
                <w:rFonts w:hint="eastAsia"/>
                <w:bCs/>
                <w:color w:val="auto"/>
                <w:szCs w:val="21"/>
                <w:lang w:eastAsia="zh-CN"/>
              </w:rPr>
              <w:t>）生产用水：项目处理炉渣</w:t>
            </w:r>
            <w:r>
              <w:rPr>
                <w:rFonts w:hint="eastAsia"/>
                <w:bCs/>
                <w:color w:val="auto"/>
                <w:szCs w:val="21"/>
                <w:lang w:val="en-US" w:eastAsia="zh-CN"/>
              </w:rPr>
              <w:t>30</w:t>
            </w:r>
            <w:r>
              <w:rPr>
                <w:rFonts w:hint="eastAsia"/>
                <w:bCs/>
                <w:color w:val="auto"/>
                <w:szCs w:val="21"/>
                <w:lang w:eastAsia="zh-CN"/>
              </w:rPr>
              <w:t>万t，根据企业提供资料，原料破碎、跳汰机等环节用水量为</w:t>
            </w:r>
            <w:r>
              <w:rPr>
                <w:rFonts w:hint="eastAsia"/>
                <w:bCs/>
                <w:color w:val="auto"/>
                <w:szCs w:val="21"/>
                <w:lang w:val="en-US" w:eastAsia="zh-CN"/>
              </w:rPr>
              <w:t>5</w:t>
            </w:r>
            <w:r>
              <w:rPr>
                <w:rFonts w:hint="eastAsia"/>
                <w:bCs/>
                <w:color w:val="auto"/>
                <w:szCs w:val="21"/>
                <w:lang w:eastAsia="zh-CN"/>
              </w:rPr>
              <w:t>m</w:t>
            </w:r>
            <w:r>
              <w:rPr>
                <w:rFonts w:hint="eastAsia"/>
                <w:bCs/>
                <w:color w:val="auto"/>
                <w:szCs w:val="21"/>
                <w:vertAlign w:val="superscript"/>
                <w:lang w:eastAsia="zh-CN"/>
              </w:rPr>
              <w:t>3</w:t>
            </w:r>
            <w:r>
              <w:rPr>
                <w:rFonts w:hint="eastAsia"/>
                <w:bCs/>
                <w:color w:val="auto"/>
                <w:szCs w:val="21"/>
                <w:lang w:eastAsia="zh-CN"/>
              </w:rPr>
              <w:t>/</w:t>
            </w:r>
            <w:r>
              <w:rPr>
                <w:rFonts w:hint="eastAsia"/>
                <w:bCs/>
                <w:color w:val="auto"/>
                <w:szCs w:val="21"/>
                <w:lang w:val="en-US" w:eastAsia="zh-CN"/>
              </w:rPr>
              <w:t>a</w:t>
            </w:r>
            <w:r>
              <w:rPr>
                <w:rFonts w:hint="eastAsia"/>
                <w:bCs/>
                <w:color w:val="auto"/>
                <w:szCs w:val="21"/>
                <w:lang w:eastAsia="zh-CN"/>
              </w:rPr>
              <w:t>（</w:t>
            </w:r>
            <w:r>
              <w:rPr>
                <w:rFonts w:hint="eastAsia"/>
                <w:bCs/>
                <w:color w:val="auto"/>
                <w:szCs w:val="21"/>
                <w:lang w:val="en-US" w:eastAsia="zh-CN"/>
              </w:rPr>
              <w:t>1500</w:t>
            </w:r>
            <w:r>
              <w:rPr>
                <w:rFonts w:hint="eastAsia"/>
                <w:bCs/>
                <w:color w:val="auto"/>
                <w:szCs w:val="21"/>
                <w:lang w:eastAsia="zh-CN"/>
              </w:rPr>
              <w:t>m</w:t>
            </w:r>
            <w:r>
              <w:rPr>
                <w:rFonts w:hint="eastAsia"/>
                <w:bCs/>
                <w:color w:val="auto"/>
                <w:szCs w:val="21"/>
                <w:vertAlign w:val="superscript"/>
                <w:lang w:eastAsia="zh-CN"/>
              </w:rPr>
              <w:t>3</w:t>
            </w:r>
            <w:r>
              <w:rPr>
                <w:rFonts w:hint="eastAsia"/>
                <w:bCs/>
                <w:color w:val="auto"/>
                <w:szCs w:val="21"/>
                <w:lang w:eastAsia="zh-CN"/>
              </w:rPr>
              <w:t>/a），蒸发损耗按用水量的20%计，为</w:t>
            </w:r>
            <w:r>
              <w:rPr>
                <w:rFonts w:hint="eastAsia"/>
                <w:bCs/>
                <w:color w:val="auto"/>
                <w:szCs w:val="21"/>
                <w:lang w:val="en-US" w:eastAsia="zh-CN"/>
              </w:rPr>
              <w:t>1</w:t>
            </w:r>
            <w:r>
              <w:rPr>
                <w:rFonts w:hint="eastAsia"/>
                <w:bCs/>
                <w:color w:val="auto"/>
                <w:szCs w:val="21"/>
                <w:lang w:eastAsia="zh-CN"/>
              </w:rPr>
              <w:t>m</w:t>
            </w:r>
            <w:r>
              <w:rPr>
                <w:rFonts w:hint="eastAsia"/>
                <w:bCs/>
                <w:color w:val="auto"/>
                <w:szCs w:val="21"/>
                <w:vertAlign w:val="superscript"/>
                <w:lang w:eastAsia="zh-CN"/>
              </w:rPr>
              <w:t>3</w:t>
            </w:r>
            <w:r>
              <w:rPr>
                <w:rFonts w:hint="eastAsia"/>
                <w:bCs/>
                <w:color w:val="auto"/>
                <w:szCs w:val="21"/>
                <w:lang w:eastAsia="zh-CN"/>
              </w:rPr>
              <w:t>/d（</w:t>
            </w:r>
            <w:r>
              <w:rPr>
                <w:rFonts w:hint="eastAsia"/>
                <w:bCs/>
                <w:color w:val="auto"/>
                <w:szCs w:val="21"/>
                <w:lang w:val="en-US" w:eastAsia="zh-CN"/>
              </w:rPr>
              <w:t>300</w:t>
            </w:r>
            <w:r>
              <w:rPr>
                <w:rFonts w:hint="eastAsia"/>
                <w:bCs/>
                <w:color w:val="auto"/>
                <w:szCs w:val="21"/>
                <w:lang w:eastAsia="zh-CN"/>
              </w:rPr>
              <w:t>m</w:t>
            </w:r>
            <w:r>
              <w:rPr>
                <w:rFonts w:hint="eastAsia"/>
                <w:bCs/>
                <w:color w:val="auto"/>
                <w:szCs w:val="21"/>
                <w:vertAlign w:val="superscript"/>
                <w:lang w:eastAsia="zh-CN"/>
              </w:rPr>
              <w:t>3</w:t>
            </w:r>
            <w:r>
              <w:rPr>
                <w:rFonts w:hint="eastAsia"/>
                <w:bCs/>
                <w:color w:val="auto"/>
                <w:szCs w:val="21"/>
                <w:lang w:eastAsia="zh-CN"/>
              </w:rPr>
              <w:t>/a），进入产品量约为用水量的30%，即</w:t>
            </w:r>
            <w:r>
              <w:rPr>
                <w:rFonts w:hint="eastAsia"/>
                <w:bCs/>
                <w:color w:val="auto"/>
                <w:szCs w:val="21"/>
                <w:lang w:val="en-US" w:eastAsia="zh-CN"/>
              </w:rPr>
              <w:t>1.5</w:t>
            </w:r>
            <w:r>
              <w:rPr>
                <w:rFonts w:hint="eastAsia"/>
                <w:bCs/>
                <w:color w:val="auto"/>
                <w:szCs w:val="21"/>
                <w:lang w:eastAsia="zh-CN"/>
              </w:rPr>
              <w:t>m</w:t>
            </w:r>
            <w:r>
              <w:rPr>
                <w:rFonts w:hint="eastAsia"/>
                <w:bCs/>
                <w:color w:val="auto"/>
                <w:szCs w:val="21"/>
                <w:vertAlign w:val="superscript"/>
                <w:lang w:eastAsia="zh-CN"/>
              </w:rPr>
              <w:t>3</w:t>
            </w:r>
            <w:r>
              <w:rPr>
                <w:rFonts w:hint="eastAsia"/>
                <w:bCs/>
                <w:color w:val="auto"/>
                <w:szCs w:val="21"/>
                <w:lang w:eastAsia="zh-CN"/>
              </w:rPr>
              <w:t>/d（</w:t>
            </w:r>
            <w:r>
              <w:rPr>
                <w:rFonts w:hint="eastAsia"/>
                <w:bCs/>
                <w:color w:val="auto"/>
                <w:szCs w:val="21"/>
                <w:lang w:val="en-US" w:eastAsia="zh-CN"/>
              </w:rPr>
              <w:t>450</w:t>
            </w:r>
            <w:r>
              <w:rPr>
                <w:rFonts w:hint="eastAsia"/>
                <w:bCs/>
                <w:color w:val="auto"/>
                <w:szCs w:val="21"/>
                <w:lang w:eastAsia="zh-CN"/>
              </w:rPr>
              <w:t>m</w:t>
            </w:r>
            <w:r>
              <w:rPr>
                <w:rFonts w:hint="eastAsia"/>
                <w:bCs/>
                <w:color w:val="auto"/>
                <w:szCs w:val="21"/>
                <w:vertAlign w:val="superscript"/>
                <w:lang w:eastAsia="zh-CN"/>
              </w:rPr>
              <w:t>3/</w:t>
            </w:r>
            <w:r>
              <w:rPr>
                <w:rFonts w:hint="eastAsia"/>
                <w:bCs/>
                <w:color w:val="auto"/>
                <w:szCs w:val="21"/>
                <w:lang w:eastAsia="zh-CN"/>
              </w:rPr>
              <w:t>a）。生产废水经过沉砂罐、污水罐、清水罐过滤后循环使用，不外排。则每日需补充新鲜用水量</w:t>
            </w:r>
            <w:r>
              <w:rPr>
                <w:rFonts w:hint="eastAsia"/>
                <w:bCs/>
                <w:color w:val="auto"/>
                <w:szCs w:val="21"/>
                <w:lang w:val="en-US" w:eastAsia="zh-CN"/>
              </w:rPr>
              <w:t>2.5</w:t>
            </w:r>
            <w:r>
              <w:rPr>
                <w:rFonts w:hint="eastAsia"/>
                <w:bCs/>
                <w:color w:val="auto"/>
                <w:szCs w:val="21"/>
                <w:lang w:eastAsia="zh-CN"/>
              </w:rPr>
              <w:t>m</w:t>
            </w:r>
            <w:r>
              <w:rPr>
                <w:rFonts w:hint="eastAsia"/>
                <w:bCs/>
                <w:color w:val="auto"/>
                <w:szCs w:val="21"/>
                <w:vertAlign w:val="superscript"/>
                <w:lang w:eastAsia="zh-CN"/>
              </w:rPr>
              <w:t>3/</w:t>
            </w:r>
            <w:r>
              <w:rPr>
                <w:rFonts w:hint="eastAsia"/>
                <w:bCs/>
                <w:color w:val="auto"/>
                <w:szCs w:val="21"/>
                <w:lang w:val="en-US" w:eastAsia="zh-CN"/>
              </w:rPr>
              <w:t>d（750</w:t>
            </w:r>
            <w:r>
              <w:rPr>
                <w:rFonts w:hint="eastAsia"/>
                <w:bCs/>
                <w:color w:val="auto"/>
                <w:szCs w:val="21"/>
                <w:lang w:eastAsia="zh-CN"/>
              </w:rPr>
              <w:t>m</w:t>
            </w:r>
            <w:r>
              <w:rPr>
                <w:rFonts w:hint="eastAsia"/>
                <w:bCs/>
                <w:color w:val="auto"/>
                <w:szCs w:val="21"/>
                <w:vertAlign w:val="superscript"/>
                <w:lang w:eastAsia="zh-CN"/>
              </w:rPr>
              <w:t>3/</w:t>
            </w:r>
            <w:r>
              <w:rPr>
                <w:rFonts w:hint="eastAsia"/>
                <w:bCs/>
                <w:color w:val="auto"/>
                <w:szCs w:val="21"/>
                <w:lang w:eastAsia="zh-CN"/>
              </w:rPr>
              <w:t>a</w:t>
            </w:r>
            <w:r>
              <w:rPr>
                <w:rFonts w:hint="eastAsia"/>
                <w:bCs/>
                <w:color w:val="auto"/>
                <w:szCs w:val="21"/>
                <w:lang w:val="en-US" w:eastAsia="zh-CN"/>
              </w:rPr>
              <w:t>）。</w:t>
            </w:r>
          </w:p>
          <w:p w14:paraId="48D0694F">
            <w:pPr>
              <w:numPr>
                <w:ilvl w:val="0"/>
                <w:numId w:val="0"/>
              </w:numPr>
              <w:adjustRightInd w:val="0"/>
              <w:snapToGrid w:val="0"/>
              <w:spacing w:line="500" w:lineRule="exact"/>
              <w:ind w:left="606" w:leftChars="0"/>
              <w:rPr>
                <w:bCs/>
                <w:color w:val="auto"/>
                <w:szCs w:val="21"/>
              </w:rPr>
            </w:pPr>
            <w:r>
              <w:rPr>
                <w:rFonts w:hint="eastAsia"/>
                <w:bCs/>
                <w:color w:val="auto"/>
                <w:szCs w:val="21"/>
              </w:rPr>
              <w:t>项目水平衡图见图2-1。</w:t>
            </w:r>
          </w:p>
          <w:p w14:paraId="46CB6D5E">
            <w:pPr>
              <w:widowControl/>
              <w:spacing w:line="360" w:lineRule="auto"/>
              <w:jc w:val="center"/>
              <w:rPr>
                <w:b/>
                <w:bCs/>
                <w:color w:val="auto"/>
                <w:lang w:val="zh-CN"/>
              </w:rPr>
            </w:pPr>
          </w:p>
          <w:p w14:paraId="4DCAB6A0">
            <w:pPr>
              <w:widowControl/>
              <w:spacing w:line="360" w:lineRule="auto"/>
              <w:jc w:val="center"/>
              <w:rPr>
                <w:rFonts w:hint="eastAsia"/>
                <w:b/>
                <w:bCs/>
                <w:color w:val="auto"/>
                <w:lang w:val="zh-CN"/>
              </w:rPr>
            </w:pPr>
            <w:r>
              <w:drawing>
                <wp:inline distT="0" distB="0" distL="114300" distR="114300">
                  <wp:extent cx="5295900" cy="403606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295900" cy="4036060"/>
                          </a:xfrm>
                          <a:prstGeom prst="rect">
                            <a:avLst/>
                          </a:prstGeom>
                          <a:noFill/>
                          <a:ln>
                            <a:noFill/>
                          </a:ln>
                        </pic:spPr>
                      </pic:pic>
                    </a:graphicData>
                  </a:graphic>
                </wp:inline>
              </w:drawing>
            </w:r>
            <w:r>
              <w:rPr>
                <w:b/>
                <w:bCs/>
                <w:color w:val="auto"/>
                <w:lang w:val="zh-CN"/>
              </w:rPr>
              <w:t>图</w:t>
            </w:r>
            <w:r>
              <w:rPr>
                <w:rFonts w:hint="eastAsia"/>
                <w:b/>
                <w:bCs/>
                <w:color w:val="auto"/>
                <w:lang w:val="zh-CN"/>
              </w:rPr>
              <w:t>2</w:t>
            </w:r>
            <w:r>
              <w:rPr>
                <w:b/>
                <w:bCs/>
                <w:color w:val="auto"/>
                <w:lang w:val="zh-CN"/>
              </w:rPr>
              <w:t>-</w:t>
            </w:r>
            <w:r>
              <w:rPr>
                <w:rFonts w:hint="eastAsia"/>
                <w:b/>
                <w:bCs/>
                <w:color w:val="auto"/>
                <w:lang w:val="zh-CN"/>
              </w:rPr>
              <w:t>1</w:t>
            </w:r>
            <w:r>
              <w:rPr>
                <w:b/>
                <w:bCs/>
                <w:color w:val="auto"/>
                <w:lang w:val="zh-CN"/>
              </w:rPr>
              <w:t xml:space="preserve">    项目水平衡图（单位：</w:t>
            </w:r>
            <w:r>
              <w:rPr>
                <w:rFonts w:hint="eastAsia"/>
                <w:b/>
                <w:bCs/>
                <w:color w:val="auto"/>
                <w:lang w:val="zh-CN"/>
              </w:rPr>
              <w:t>t/a）</w:t>
            </w:r>
          </w:p>
          <w:p w14:paraId="12849B1C">
            <w:pPr>
              <w:adjustRightInd w:val="0"/>
              <w:snapToGrid w:val="0"/>
              <w:spacing w:line="500" w:lineRule="exact"/>
              <w:ind w:firstLine="422" w:firstLineChars="200"/>
              <w:rPr>
                <w:rFonts w:hint="eastAsia"/>
                <w:b/>
                <w:bCs w:val="0"/>
                <w:color w:val="auto"/>
                <w:szCs w:val="21"/>
                <w:lang w:val="en-US" w:eastAsia="zh-CN"/>
              </w:rPr>
            </w:pPr>
          </w:p>
          <w:p w14:paraId="57C4B922">
            <w:pPr>
              <w:numPr>
                <w:ilvl w:val="0"/>
                <w:numId w:val="0"/>
              </w:numPr>
              <w:spacing w:before="156" w:beforeLines="50" w:after="156" w:afterLines="50"/>
              <w:jc w:val="center"/>
              <w:outlineLvl w:val="0"/>
              <w:rPr>
                <w:b/>
                <w:color w:val="auto"/>
                <w:lang w:val="zh-CN"/>
              </w:rPr>
            </w:pPr>
          </w:p>
          <w:p w14:paraId="6168B966">
            <w:pPr>
              <w:pStyle w:val="2"/>
              <w:rPr>
                <w:b/>
                <w:color w:val="auto"/>
                <w:lang w:val="zh-CN"/>
              </w:rPr>
            </w:pPr>
          </w:p>
          <w:p w14:paraId="7576407D">
            <w:pPr>
              <w:rPr>
                <w:b/>
                <w:color w:val="auto"/>
                <w:lang w:val="zh-CN"/>
              </w:rPr>
            </w:pPr>
          </w:p>
          <w:p w14:paraId="77352FE3">
            <w:pPr>
              <w:pStyle w:val="2"/>
              <w:rPr>
                <w:b/>
                <w:color w:val="auto"/>
                <w:lang w:val="zh-CN"/>
              </w:rPr>
            </w:pPr>
          </w:p>
          <w:p w14:paraId="200F504C">
            <w:pPr>
              <w:rPr>
                <w:b/>
                <w:color w:val="auto"/>
                <w:lang w:val="zh-CN"/>
              </w:rPr>
            </w:pPr>
          </w:p>
          <w:p w14:paraId="472A317C">
            <w:pPr>
              <w:pStyle w:val="2"/>
              <w:rPr>
                <w:b/>
                <w:color w:val="auto"/>
                <w:lang w:val="zh-CN"/>
              </w:rPr>
            </w:pPr>
          </w:p>
          <w:p w14:paraId="47728B1F">
            <w:pPr>
              <w:rPr>
                <w:b/>
                <w:color w:val="auto"/>
                <w:lang w:val="zh-CN"/>
              </w:rPr>
            </w:pPr>
          </w:p>
          <w:p w14:paraId="675650ED">
            <w:pPr>
              <w:pStyle w:val="2"/>
              <w:rPr>
                <w:b/>
                <w:color w:val="auto"/>
                <w:lang w:val="zh-CN"/>
              </w:rPr>
            </w:pPr>
          </w:p>
          <w:p w14:paraId="2500F9D0">
            <w:pPr>
              <w:rPr>
                <w:b/>
                <w:color w:val="auto"/>
                <w:lang w:val="zh-CN"/>
              </w:rPr>
            </w:pPr>
          </w:p>
          <w:p w14:paraId="02E52385">
            <w:pPr>
              <w:pStyle w:val="2"/>
              <w:rPr>
                <w:b/>
                <w:color w:val="auto"/>
                <w:lang w:val="zh-CN"/>
              </w:rPr>
            </w:pPr>
          </w:p>
          <w:p w14:paraId="4B6013A0">
            <w:pPr>
              <w:rPr>
                <w:b/>
                <w:color w:val="auto"/>
                <w:lang w:val="zh-CN"/>
              </w:rPr>
            </w:pPr>
          </w:p>
          <w:p w14:paraId="18B58D38">
            <w:pPr>
              <w:pStyle w:val="2"/>
              <w:rPr>
                <w:b/>
                <w:color w:val="auto"/>
                <w:lang w:val="zh-CN"/>
              </w:rPr>
            </w:pPr>
          </w:p>
          <w:p w14:paraId="6F5C9B3C">
            <w:pPr>
              <w:rPr>
                <w:b/>
                <w:color w:val="auto"/>
                <w:lang w:val="zh-CN"/>
              </w:rPr>
            </w:pPr>
          </w:p>
          <w:p w14:paraId="13F5E04D">
            <w:pPr>
              <w:pStyle w:val="2"/>
              <w:rPr>
                <w:lang w:val="zh-CN"/>
              </w:rPr>
            </w:pPr>
          </w:p>
        </w:tc>
      </w:tr>
      <w:tr w14:paraId="589B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75" w:type="dxa"/>
          <w:wAfter w:w="457" w:type="dxa"/>
          <w:trHeight w:val="13379" w:hRule="atLeast"/>
        </w:trPr>
        <w:tc>
          <w:tcPr>
            <w:tcW w:w="663" w:type="dxa"/>
            <w:vAlign w:val="center"/>
          </w:tcPr>
          <w:p w14:paraId="7EC97AF9">
            <w:pPr>
              <w:spacing w:line="500" w:lineRule="exact"/>
              <w:jc w:val="center"/>
              <w:rPr>
                <w:color w:val="auto"/>
                <w:spacing w:val="-12"/>
                <w:szCs w:val="21"/>
              </w:rPr>
            </w:pPr>
            <w:r>
              <w:rPr>
                <w:color w:val="auto"/>
                <w:spacing w:val="-24"/>
                <w:szCs w:val="21"/>
              </w:rPr>
              <w:t>工</w:t>
            </w:r>
          </w:p>
          <w:p w14:paraId="6B516727">
            <w:pPr>
              <w:spacing w:line="500" w:lineRule="exact"/>
              <w:jc w:val="center"/>
              <w:rPr>
                <w:color w:val="auto"/>
                <w:sz w:val="28"/>
                <w:szCs w:val="36"/>
              </w:rPr>
            </w:pPr>
            <w:r>
              <w:rPr>
                <w:color w:val="auto"/>
                <w:spacing w:val="-12"/>
                <w:szCs w:val="21"/>
              </w:rPr>
              <w:t>艺 流 程 和 产 排 污 环 节</w:t>
            </w:r>
          </w:p>
        </w:tc>
        <w:tc>
          <w:tcPr>
            <w:tcW w:w="8210" w:type="dxa"/>
            <w:gridSpan w:val="2"/>
          </w:tcPr>
          <w:p w14:paraId="60A8BF98">
            <w:pPr>
              <w:adjustRightInd w:val="0"/>
              <w:snapToGrid w:val="0"/>
              <w:spacing w:line="500" w:lineRule="exact"/>
              <w:ind w:firstLine="422" w:firstLineChars="200"/>
              <w:rPr>
                <w:color w:val="auto"/>
              </w:rPr>
            </w:pPr>
            <w:r>
              <w:rPr>
                <w:rFonts w:hint="eastAsia"/>
                <w:b/>
                <w:bCs/>
                <w:color w:val="auto"/>
              </w:rPr>
              <w:t>一、</w:t>
            </w:r>
            <w:r>
              <w:rPr>
                <w:b/>
                <w:bCs/>
                <w:color w:val="auto"/>
              </w:rPr>
              <w:t>工艺流程图</w:t>
            </w:r>
          </w:p>
          <w:p w14:paraId="2502DD59">
            <w:pPr>
              <w:adjustRightInd w:val="0"/>
              <w:snapToGrid w:val="0"/>
              <w:spacing w:line="500" w:lineRule="exact"/>
              <w:ind w:firstLine="422" w:firstLineChars="200"/>
              <w:rPr>
                <w:color w:val="auto"/>
              </w:rPr>
            </w:pPr>
            <w:r>
              <w:rPr>
                <w:rFonts w:hint="eastAsia"/>
                <w:b/>
                <w:bCs/>
                <w:color w:val="auto"/>
              </w:rPr>
              <w:t>1、营运期工艺流程</w:t>
            </w:r>
          </w:p>
          <w:p w14:paraId="2C1486F3">
            <w:pPr>
              <w:jc w:val="center"/>
              <w:rPr>
                <w:color w:val="auto"/>
              </w:rPr>
            </w:pPr>
            <w:r>
              <w:drawing>
                <wp:inline distT="0" distB="0" distL="114300" distR="114300">
                  <wp:extent cx="5075555" cy="5589270"/>
                  <wp:effectExtent l="0" t="0" r="10795" b="1143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0"/>
                          <a:stretch>
                            <a:fillRect/>
                          </a:stretch>
                        </pic:blipFill>
                        <pic:spPr>
                          <a:xfrm>
                            <a:off x="0" y="0"/>
                            <a:ext cx="5075555" cy="5589270"/>
                          </a:xfrm>
                          <a:prstGeom prst="rect">
                            <a:avLst/>
                          </a:prstGeom>
                          <a:noFill/>
                          <a:ln>
                            <a:noFill/>
                          </a:ln>
                        </pic:spPr>
                      </pic:pic>
                    </a:graphicData>
                  </a:graphic>
                </wp:inline>
              </w:drawing>
            </w:r>
          </w:p>
          <w:p w14:paraId="2605744A">
            <w:pPr>
              <w:spacing w:line="500" w:lineRule="exact"/>
              <w:jc w:val="center"/>
              <w:rPr>
                <w:color w:val="auto"/>
                <w:szCs w:val="21"/>
                <w:lang w:val="zh-CN"/>
              </w:rPr>
            </w:pPr>
            <w:r>
              <w:rPr>
                <w:b/>
                <w:bCs/>
                <w:color w:val="auto"/>
                <w:lang w:val="zh-CN"/>
              </w:rPr>
              <w:t>图</w:t>
            </w:r>
            <w:r>
              <w:rPr>
                <w:rFonts w:hint="eastAsia"/>
                <w:b/>
                <w:bCs/>
                <w:color w:val="auto"/>
                <w:lang w:val="zh-CN"/>
              </w:rPr>
              <w:t>2</w:t>
            </w:r>
            <w:r>
              <w:rPr>
                <w:b/>
                <w:bCs/>
                <w:color w:val="auto"/>
                <w:lang w:val="zh-CN"/>
              </w:rPr>
              <w:t>-</w:t>
            </w:r>
            <w:r>
              <w:rPr>
                <w:rFonts w:hint="eastAsia"/>
                <w:b/>
                <w:bCs/>
                <w:color w:val="auto"/>
                <w:lang w:val="en-US" w:eastAsia="zh-CN"/>
              </w:rPr>
              <w:t>3</w:t>
            </w:r>
            <w:r>
              <w:rPr>
                <w:b/>
                <w:bCs/>
                <w:color w:val="auto"/>
                <w:lang w:val="zh-CN"/>
              </w:rPr>
              <w:t xml:space="preserve">    工艺流程及产污环节图</w:t>
            </w:r>
          </w:p>
          <w:p w14:paraId="22F443EF">
            <w:pPr>
              <w:pStyle w:val="2"/>
              <w:ind w:firstLine="402" w:firstLineChars="200"/>
              <w:rPr>
                <w:rFonts w:hint="default" w:ascii="Times New Roman" w:hAnsi="Times New Roman" w:cs="Times New Roman"/>
                <w:b/>
                <w:bCs/>
                <w:sz w:val="21"/>
                <w:szCs w:val="21"/>
                <w:vertAlign w:val="baseline"/>
                <w:lang w:val="en-US" w:eastAsia="zh-CN"/>
              </w:rPr>
            </w:pPr>
            <w:r>
              <w:rPr>
                <w:rFonts w:hint="eastAsia" w:ascii="Times New Roman" w:hAnsi="Times New Roman" w:cs="Times New Roman"/>
                <w:b/>
                <w:bCs/>
                <w:sz w:val="20"/>
                <w:szCs w:val="20"/>
                <w:vertAlign w:val="baseline"/>
                <w:lang w:val="en-US" w:eastAsia="zh-CN"/>
              </w:rPr>
              <w:t>项目原料含水率为21%，均为湿式原料，因此无颗粒物产生。</w:t>
            </w:r>
          </w:p>
          <w:p w14:paraId="044630AD">
            <w:pPr>
              <w:pStyle w:val="2"/>
              <w:rPr>
                <w:rFonts w:hint="eastAsia" w:ascii="Times New Roman" w:hAnsi="Times New Roman"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工艺流程简述：</w:t>
            </w:r>
          </w:p>
          <w:p w14:paraId="44FDD9AD">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22" w:firstLineChars="200"/>
              <w:jc w:val="both"/>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bCs/>
                <w:color w:val="auto"/>
                <w:sz w:val="21"/>
                <w:szCs w:val="21"/>
                <w:lang w:eastAsia="zh-CN"/>
              </w:rPr>
              <w:t>炉渣计量、转运、堆放：</w:t>
            </w:r>
            <w:r>
              <w:rPr>
                <w:rFonts w:hint="default" w:ascii="Times New Roman" w:hAnsi="Times New Roman" w:eastAsia="宋体" w:cs="Times New Roman"/>
                <w:b w:val="0"/>
                <w:bCs w:val="0"/>
                <w:color w:val="auto"/>
                <w:sz w:val="21"/>
                <w:szCs w:val="21"/>
                <w:lang w:eastAsia="zh-CN"/>
              </w:rPr>
              <w:t>项目炉渣来源于启东天楹环保有限责任公司，由专用炉渣运输车运至炉渣堆场，车间为密闭车间，</w:t>
            </w:r>
          </w:p>
          <w:p w14:paraId="45E65EFB">
            <w:pPr>
              <w:pStyle w:val="11"/>
              <w:keepNext w:val="0"/>
              <w:keepLines w:val="0"/>
              <w:pageBreakBefore w:val="0"/>
              <w:widowControl w:val="0"/>
              <w:kinsoku/>
              <w:wordWrap/>
              <w:overflowPunct/>
              <w:topLinePunct w:val="0"/>
              <w:autoSpaceDE/>
              <w:autoSpaceDN/>
              <w:bidi w:val="0"/>
              <w:snapToGrid/>
              <w:spacing w:after="0" w:line="500" w:lineRule="exact"/>
              <w:ind w:left="0" w:leftChars="0" w:firstLine="422" w:firstLineChars="200"/>
              <w:textAlignment w:val="auto"/>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bCs/>
                <w:sz w:val="21"/>
                <w:szCs w:val="21"/>
                <w:lang w:eastAsia="zh-CN"/>
              </w:rPr>
              <w:t>入料斗：</w:t>
            </w:r>
            <w:r>
              <w:rPr>
                <w:rFonts w:hint="default" w:ascii="Times New Roman" w:hAnsi="Times New Roman" w:eastAsia="宋体" w:cs="Times New Roman"/>
                <w:b w:val="0"/>
                <w:bCs w:val="0"/>
                <w:sz w:val="21"/>
                <w:szCs w:val="21"/>
                <w:lang w:eastAsia="zh-CN"/>
              </w:rPr>
              <w:t>铲车从原料堆场将炉渣铲出，倾倒在炉渣上料漏斗中，再经过传送带将炉渣输送进筛选滚笼进料口。</w:t>
            </w:r>
            <w:r>
              <w:rPr>
                <w:rFonts w:hint="eastAsia" w:ascii="Times New Roman" w:hAnsi="Times New Roman" w:eastAsia="宋体" w:cs="Times New Roman"/>
                <w:b w:val="0"/>
                <w:bCs w:val="0"/>
                <w:sz w:val="21"/>
                <w:szCs w:val="21"/>
                <w:lang w:eastAsia="zh-CN"/>
              </w:rPr>
              <w:t>原料为湿式的炉渣，含水率为</w:t>
            </w:r>
            <w:r>
              <w:rPr>
                <w:rFonts w:hint="eastAsia" w:ascii="Times New Roman" w:hAnsi="Times New Roman" w:eastAsia="宋体" w:cs="Times New Roman"/>
                <w:b w:val="0"/>
                <w:bCs w:val="0"/>
                <w:sz w:val="21"/>
                <w:szCs w:val="21"/>
                <w:lang w:val="en-US" w:eastAsia="zh-CN"/>
              </w:rPr>
              <w:t>21%</w:t>
            </w:r>
            <w:r>
              <w:rPr>
                <w:rFonts w:hint="eastAsia" w:cs="Times New Roman"/>
                <w:b w:val="0"/>
                <w:bCs w:val="0"/>
                <w:sz w:val="21"/>
                <w:szCs w:val="21"/>
                <w:lang w:eastAsia="zh-CN"/>
              </w:rPr>
              <w:t>，</w:t>
            </w:r>
            <w:r>
              <w:rPr>
                <w:rFonts w:hint="default" w:ascii="Times New Roman" w:hAnsi="Times New Roman" w:eastAsia="宋体" w:cs="Times New Roman"/>
                <w:b w:val="0"/>
                <w:bCs w:val="0"/>
                <w:sz w:val="21"/>
                <w:szCs w:val="21"/>
                <w:lang w:eastAsia="zh-CN"/>
              </w:rPr>
              <w:t>原料中含有未完全燃烧的炉渣，返回启东天楹环保有限责任公司。</w:t>
            </w:r>
          </w:p>
          <w:p w14:paraId="7F70EB7A">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22" w:firstLineChars="200"/>
              <w:jc w:val="both"/>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bCs/>
                <w:color w:val="auto"/>
                <w:sz w:val="21"/>
                <w:szCs w:val="21"/>
                <w:lang w:eastAsia="zh-CN"/>
              </w:rPr>
              <w:t>齿轮滚筒筛分：</w:t>
            </w:r>
            <w:r>
              <w:rPr>
                <w:rFonts w:hint="default" w:ascii="Times New Roman" w:hAnsi="Times New Roman" w:eastAsia="宋体" w:cs="Times New Roman"/>
                <w:b w:val="0"/>
                <w:bCs w:val="0"/>
                <w:color w:val="auto"/>
                <w:sz w:val="21"/>
                <w:szCs w:val="21"/>
                <w:lang w:eastAsia="zh-CN"/>
              </w:rPr>
              <w:t>炉渣经输送带送入滚筒筛进行筛分，炉渣由喇叭状滚笼小口端进入，经过旋转的滚笼后，直径小于</w:t>
            </w:r>
            <w:r>
              <w:rPr>
                <w:rFonts w:hint="default" w:ascii="Times New Roman" w:hAnsi="Times New Roman" w:eastAsia="宋体" w:cs="Times New Roman"/>
                <w:b w:val="0"/>
                <w:bCs w:val="0"/>
                <w:color w:val="auto"/>
                <w:sz w:val="21"/>
                <w:szCs w:val="21"/>
                <w:lang w:val="en-US" w:eastAsia="zh-CN"/>
              </w:rPr>
              <w:t>80mm的炉渣颗粒透过滚笼侧面网孔流出，进入下一道工序；体积较大的渣块则通过滚笼的大口端流出，</w:t>
            </w:r>
            <w:r>
              <w:rPr>
                <w:rFonts w:hint="default" w:ascii="Times New Roman" w:hAnsi="Times New Roman" w:eastAsia="宋体" w:cs="Times New Roman"/>
                <w:b w:val="0"/>
                <w:bCs w:val="0"/>
                <w:color w:val="auto"/>
                <w:sz w:val="21"/>
                <w:szCs w:val="21"/>
                <w:lang w:eastAsia="zh-CN"/>
              </w:rPr>
              <w:t>分出大块料和小块料。</w:t>
            </w:r>
            <w:r>
              <w:rPr>
                <w:rFonts w:hint="eastAsia" w:ascii="Times New Roman" w:hAnsi="Times New Roman" w:eastAsia="宋体" w:cs="Times New Roman"/>
                <w:b w:val="0"/>
                <w:bCs w:val="0"/>
                <w:color w:val="auto"/>
                <w:sz w:val="21"/>
                <w:szCs w:val="21"/>
                <w:lang w:eastAsia="zh-CN"/>
              </w:rPr>
              <w:t>此过程将产生废水、噪声。</w:t>
            </w:r>
          </w:p>
          <w:p w14:paraId="21106298">
            <w:pPr>
              <w:pStyle w:val="11"/>
              <w:keepNext w:val="0"/>
              <w:keepLines w:val="0"/>
              <w:pageBreakBefore w:val="0"/>
              <w:widowControl w:val="0"/>
              <w:kinsoku/>
              <w:wordWrap/>
              <w:overflowPunct/>
              <w:topLinePunct w:val="0"/>
              <w:autoSpaceDE/>
              <w:autoSpaceDN/>
              <w:bidi w:val="0"/>
              <w:snapToGrid/>
              <w:spacing w:after="0" w:line="500" w:lineRule="exact"/>
              <w:ind w:left="0" w:leftChars="0" w:firstLine="422" w:firstLineChars="200"/>
              <w:textAlignment w:val="auto"/>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bCs/>
                <w:color w:val="auto"/>
                <w:sz w:val="21"/>
                <w:szCs w:val="21"/>
                <w:lang w:eastAsia="zh-CN"/>
              </w:rPr>
              <w:t>磁选（除铁）：</w:t>
            </w:r>
            <w:r>
              <w:rPr>
                <w:rFonts w:hint="default" w:ascii="Times New Roman" w:hAnsi="Times New Roman" w:eastAsia="宋体" w:cs="Times New Roman"/>
                <w:b w:val="0"/>
                <w:bCs w:val="0"/>
                <w:color w:val="auto"/>
                <w:sz w:val="21"/>
                <w:szCs w:val="21"/>
                <w:lang w:eastAsia="zh-CN"/>
              </w:rPr>
              <w:t>经过筛分，大块料由大段口流出，均匀分布在输送带上，传送带上大块料经输送带上方设置悬挂式磁力除铁器，当炉渣随输送带经过悬挂式磁力除铁器下方时，炉渣中的磁性金属被磁选出来，通过输送金属的输送带送去除杂分离，此部分主要分选出铁块类物质。</w:t>
            </w:r>
          </w:p>
          <w:p w14:paraId="366FBBF2">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22" w:firstLineChars="200"/>
              <w:jc w:val="both"/>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bCs/>
                <w:color w:val="auto"/>
                <w:sz w:val="21"/>
                <w:szCs w:val="21"/>
                <w:lang w:eastAsia="zh-CN"/>
              </w:rPr>
              <w:t>一次破碎：</w:t>
            </w:r>
            <w:r>
              <w:rPr>
                <w:rFonts w:hint="default" w:ascii="Times New Roman" w:hAnsi="Times New Roman" w:eastAsia="宋体" w:cs="Times New Roman"/>
                <w:b w:val="0"/>
                <w:bCs w:val="0"/>
                <w:color w:val="auto"/>
                <w:sz w:val="21"/>
                <w:szCs w:val="21"/>
                <w:lang w:eastAsia="zh-CN"/>
              </w:rPr>
              <w:t>大块料经磁选（除铁）后进入破碎机，进行一次破碎，破碎采用湿法破碎，将大块料破碎成小块料，此过程将产生废水</w:t>
            </w:r>
            <w:r>
              <w:rPr>
                <w:rFonts w:hint="eastAsia" w:ascii="Times New Roman" w:hAnsi="Times New Roman" w:eastAsia="宋体" w:cs="Times New Roman"/>
                <w:b w:val="0"/>
                <w:bCs w:val="0"/>
                <w:color w:val="auto"/>
                <w:sz w:val="21"/>
                <w:szCs w:val="21"/>
                <w:lang w:eastAsia="zh-CN"/>
              </w:rPr>
              <w:t>、噪声</w:t>
            </w:r>
            <w:r>
              <w:rPr>
                <w:rFonts w:hint="default" w:ascii="Times New Roman" w:hAnsi="Times New Roman" w:eastAsia="宋体" w:cs="Times New Roman"/>
                <w:b w:val="0"/>
                <w:bCs w:val="0"/>
                <w:color w:val="auto"/>
                <w:sz w:val="21"/>
                <w:szCs w:val="21"/>
                <w:lang w:eastAsia="zh-CN"/>
              </w:rPr>
              <w:t>。</w:t>
            </w:r>
          </w:p>
          <w:p w14:paraId="32D51A6E">
            <w:pPr>
              <w:pStyle w:val="11"/>
              <w:keepNext w:val="0"/>
              <w:keepLines w:val="0"/>
              <w:pageBreakBefore w:val="0"/>
              <w:widowControl w:val="0"/>
              <w:kinsoku/>
              <w:wordWrap/>
              <w:overflowPunct/>
              <w:topLinePunct w:val="0"/>
              <w:autoSpaceDE/>
              <w:autoSpaceDN/>
              <w:bidi w:val="0"/>
              <w:snapToGrid/>
              <w:spacing w:after="0" w:line="500" w:lineRule="exact"/>
              <w:ind w:left="0" w:leftChars="0" w:firstLine="422" w:firstLineChars="200"/>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bCs/>
                <w:color w:val="auto"/>
                <w:sz w:val="21"/>
                <w:szCs w:val="21"/>
                <w:lang w:eastAsia="zh-CN"/>
              </w:rPr>
              <w:t>磁选（除铁）：</w:t>
            </w:r>
            <w:r>
              <w:rPr>
                <w:rFonts w:hint="default" w:ascii="Times New Roman" w:hAnsi="Times New Roman" w:eastAsia="宋体" w:cs="Times New Roman"/>
                <w:b w:val="0"/>
                <w:bCs w:val="0"/>
                <w:color w:val="auto"/>
                <w:sz w:val="21"/>
                <w:szCs w:val="21"/>
                <w:lang w:eastAsia="zh-CN"/>
              </w:rPr>
              <w:t>小块料从小段口流出，进行磁选（除铁）</w:t>
            </w:r>
            <w:r>
              <w:rPr>
                <w:rFonts w:hint="eastAsia" w:ascii="Times New Roman" w:hAnsi="Times New Roman" w:eastAsia="宋体" w:cs="Times New Roman"/>
                <w:b w:val="0"/>
                <w:bCs w:val="0"/>
                <w:color w:val="auto"/>
                <w:sz w:val="21"/>
                <w:szCs w:val="21"/>
                <w:lang w:eastAsia="zh-CN"/>
              </w:rPr>
              <w:t>，选出细铁</w:t>
            </w:r>
            <w:r>
              <w:rPr>
                <w:rFonts w:hint="default" w:ascii="Times New Roman" w:hAnsi="Times New Roman" w:eastAsia="宋体" w:cs="Times New Roman"/>
                <w:b w:val="0"/>
                <w:bCs w:val="0"/>
                <w:color w:val="auto"/>
                <w:sz w:val="21"/>
                <w:szCs w:val="21"/>
                <w:lang w:eastAsia="zh-CN"/>
              </w:rPr>
              <w:t>。</w:t>
            </w:r>
          </w:p>
          <w:p w14:paraId="76F80B69">
            <w:pPr>
              <w:keepNext w:val="0"/>
              <w:keepLines w:val="0"/>
              <w:pageBreakBefore w:val="0"/>
              <w:widowControl w:val="0"/>
              <w:kinsoku/>
              <w:wordWrap/>
              <w:overflowPunct/>
              <w:topLinePunct w:val="0"/>
              <w:autoSpaceDE/>
              <w:autoSpaceDN/>
              <w:bidi w:val="0"/>
              <w:snapToGrid/>
              <w:spacing w:line="500" w:lineRule="exact"/>
              <w:ind w:left="0" w:leftChars="0" w:firstLine="422" w:firstLineChars="200"/>
              <w:textAlignment w:val="auto"/>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bCs/>
                <w:sz w:val="21"/>
                <w:szCs w:val="21"/>
                <w:lang w:eastAsia="zh-CN"/>
              </w:rPr>
              <w:t>二次破碎：</w:t>
            </w:r>
            <w:r>
              <w:rPr>
                <w:rFonts w:hint="default" w:ascii="Times New Roman" w:hAnsi="Times New Roman" w:eastAsia="宋体" w:cs="Times New Roman"/>
                <w:b w:val="0"/>
                <w:bCs w:val="0"/>
                <w:sz w:val="21"/>
                <w:szCs w:val="21"/>
                <w:lang w:eastAsia="zh-CN"/>
              </w:rPr>
              <w:t>大块料与小块料再进行破碎，同样采取湿法破碎</w:t>
            </w:r>
            <w:r>
              <w:rPr>
                <w:rFonts w:hint="eastAsia" w:ascii="Times New Roman" w:hAnsi="Times New Roman" w:eastAsia="宋体" w:cs="Times New Roman"/>
                <w:b w:val="0"/>
                <w:bCs w:val="0"/>
                <w:sz w:val="21"/>
                <w:szCs w:val="21"/>
                <w:lang w:eastAsia="zh-CN"/>
              </w:rPr>
              <w:t>，此过程将产生废水、噪声</w:t>
            </w:r>
            <w:r>
              <w:rPr>
                <w:rFonts w:hint="default" w:ascii="Times New Roman" w:hAnsi="Times New Roman" w:eastAsia="宋体" w:cs="Times New Roman"/>
                <w:b w:val="0"/>
                <w:bCs w:val="0"/>
                <w:sz w:val="21"/>
                <w:szCs w:val="21"/>
                <w:lang w:eastAsia="zh-CN"/>
              </w:rPr>
              <w:t>。</w:t>
            </w:r>
          </w:p>
          <w:p w14:paraId="251D761F">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22" w:firstLineChars="200"/>
              <w:jc w:val="both"/>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bCs/>
                <w:color w:val="auto"/>
                <w:sz w:val="21"/>
                <w:szCs w:val="21"/>
                <w:lang w:eastAsia="zh-CN"/>
              </w:rPr>
              <w:t>精选（除铁）：</w:t>
            </w:r>
            <w:r>
              <w:rPr>
                <w:rFonts w:hint="default" w:ascii="Times New Roman" w:hAnsi="Times New Roman" w:eastAsia="宋体" w:cs="Times New Roman"/>
                <w:b w:val="0"/>
                <w:bCs w:val="0"/>
                <w:color w:val="auto"/>
                <w:sz w:val="21"/>
                <w:szCs w:val="21"/>
                <w:lang w:eastAsia="zh-CN"/>
              </w:rPr>
              <w:t>经过破碎、磁选（除铁）后的炉渣，再进行精选（除铁），精选后的铁块进行打铁机，炉渣进入跳汰机进行分选。</w:t>
            </w:r>
            <w:r>
              <w:rPr>
                <w:rFonts w:hint="eastAsia" w:ascii="Times New Roman" w:hAnsi="Times New Roman" w:eastAsia="宋体" w:cs="Times New Roman"/>
                <w:b w:val="0"/>
                <w:bCs w:val="0"/>
                <w:color w:val="auto"/>
                <w:sz w:val="21"/>
                <w:szCs w:val="21"/>
                <w:lang w:eastAsia="zh-CN"/>
              </w:rPr>
              <w:t>此过程将产生一般固废、噪声。</w:t>
            </w:r>
          </w:p>
          <w:p w14:paraId="19590FC4">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22" w:firstLineChars="200"/>
              <w:jc w:val="both"/>
              <w:textAlignment w:val="auto"/>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bCs/>
                <w:sz w:val="21"/>
                <w:szCs w:val="21"/>
                <w:lang w:eastAsia="zh-CN"/>
              </w:rPr>
              <w:t>除</w:t>
            </w:r>
            <w:r>
              <w:rPr>
                <w:rFonts w:hint="eastAsia" w:cs="Times New Roman"/>
                <w:b/>
                <w:bCs/>
                <w:sz w:val="21"/>
                <w:szCs w:val="21"/>
                <w:lang w:eastAsia="zh-CN"/>
              </w:rPr>
              <w:t>砂</w:t>
            </w:r>
            <w:r>
              <w:rPr>
                <w:rFonts w:hint="default" w:ascii="Times New Roman" w:hAnsi="Times New Roman" w:eastAsia="宋体" w:cs="Times New Roman"/>
                <w:b/>
                <w:bCs/>
                <w:sz w:val="21"/>
                <w:szCs w:val="21"/>
                <w:lang w:eastAsia="zh-CN"/>
              </w:rPr>
              <w:t>：</w:t>
            </w:r>
            <w:r>
              <w:rPr>
                <w:rFonts w:hint="default" w:ascii="Times New Roman" w:hAnsi="Times New Roman" w:eastAsia="宋体" w:cs="Times New Roman"/>
                <w:b w:val="0"/>
                <w:bCs w:val="0"/>
                <w:sz w:val="21"/>
                <w:szCs w:val="21"/>
                <w:lang w:eastAsia="zh-CN"/>
              </w:rPr>
              <w:t>将炉渣中含有的磁性物质选出来至</w:t>
            </w:r>
            <w:r>
              <w:rPr>
                <w:rFonts w:hint="eastAsia" w:ascii="Times New Roman" w:hAnsi="Times New Roman" w:eastAsia="宋体" w:cs="Times New Roman"/>
                <w:b w:val="0"/>
                <w:bCs w:val="0"/>
                <w:sz w:val="21"/>
                <w:szCs w:val="21"/>
                <w:lang w:eastAsia="zh-CN"/>
              </w:rPr>
              <w:t>磁选机</w:t>
            </w:r>
            <w:r>
              <w:rPr>
                <w:rFonts w:hint="default" w:ascii="Times New Roman" w:hAnsi="Times New Roman" w:eastAsia="宋体" w:cs="Times New Roman"/>
                <w:b w:val="0"/>
                <w:bCs w:val="0"/>
                <w:sz w:val="21"/>
                <w:szCs w:val="21"/>
                <w:lang w:eastAsia="zh-CN"/>
              </w:rPr>
              <w:t>，主要去除铁件表面的铁锈与浮土，提升铁的品质，此处主要产生噪声。</w:t>
            </w:r>
          </w:p>
          <w:p w14:paraId="08E2A5F5">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firstLine="422" w:firstLineChars="200"/>
              <w:jc w:val="both"/>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bCs/>
                <w:color w:val="auto"/>
                <w:sz w:val="21"/>
                <w:szCs w:val="21"/>
                <w:lang w:eastAsia="zh-CN"/>
              </w:rPr>
              <w:t>一次分选、二次分选：</w:t>
            </w:r>
            <w:r>
              <w:rPr>
                <w:rFonts w:hint="default" w:ascii="Times New Roman" w:hAnsi="Times New Roman" w:eastAsia="宋体" w:cs="Times New Roman"/>
                <w:b w:val="0"/>
                <w:bCs w:val="0"/>
                <w:color w:val="auto"/>
                <w:sz w:val="21"/>
                <w:szCs w:val="21"/>
                <w:lang w:eastAsia="zh-CN"/>
              </w:rPr>
              <w:t>跳汰机根据跳汰床分层规律，其跳汰脉动曲线呈锯齿形，上升水流快于下降水流，使炉渣中的重颗粒物质得到充分沉降，因此，比较重的金属颗粒随着下降水流沉降到跳汰机床层底部；而比重较轻的物质（基本上已经去除了所有金属物质），则分布在跳汰机床层的上部，上层的炉渣被水流带到机外成为轻产物，随水流经跳汰机床层的上部，上层的炉渣被水平流带到机外成为轻产物，随水流经跳汰机出料口流入振筛，随着筛孔大小分别出大尾矿、细尾矿；下层的有色金属透过筛板排出成为重产物，重产物继续进入摇床，实现有色金属颗粒的第</w:t>
            </w:r>
            <w:r>
              <w:rPr>
                <w:rFonts w:hint="default" w:ascii="Times New Roman" w:hAnsi="Times New Roman" w:eastAsia="宋体" w:cs="Times New Roman"/>
                <w:b w:val="0"/>
                <w:bCs w:val="0"/>
                <w:color w:val="auto"/>
                <w:sz w:val="21"/>
                <w:szCs w:val="21"/>
                <w:lang w:val="en-US" w:eastAsia="zh-CN"/>
              </w:rPr>
              <w:t>2次分离收集。</w:t>
            </w:r>
            <w:r>
              <w:rPr>
                <w:rFonts w:hint="eastAsia" w:ascii="Times New Roman" w:hAnsi="Times New Roman" w:eastAsia="宋体" w:cs="Times New Roman"/>
                <w:b w:val="0"/>
                <w:bCs w:val="0"/>
                <w:color w:val="auto"/>
                <w:sz w:val="21"/>
                <w:szCs w:val="21"/>
                <w:lang w:val="en-US" w:eastAsia="zh-CN"/>
              </w:rPr>
              <w:t>此过程将产生废水、噪声。</w:t>
            </w:r>
          </w:p>
          <w:p w14:paraId="2B8FB66C">
            <w:pPr>
              <w:pStyle w:val="11"/>
              <w:keepNext w:val="0"/>
              <w:keepLines w:val="0"/>
              <w:pageBreakBefore w:val="0"/>
              <w:widowControl w:val="0"/>
              <w:kinsoku/>
              <w:wordWrap/>
              <w:overflowPunct/>
              <w:topLinePunct w:val="0"/>
              <w:autoSpaceDE/>
              <w:autoSpaceDN/>
              <w:bidi w:val="0"/>
              <w:snapToGrid/>
              <w:spacing w:after="0" w:line="500" w:lineRule="exact"/>
              <w:ind w:left="0" w:leftChars="0" w:firstLine="422"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bCs/>
                <w:sz w:val="21"/>
                <w:szCs w:val="21"/>
                <w:lang w:val="en-US" w:eastAsia="zh-CN"/>
              </w:rPr>
              <w:t>摇床：</w:t>
            </w:r>
            <w:r>
              <w:rPr>
                <w:rFonts w:hint="default" w:ascii="Times New Roman" w:hAnsi="Times New Roman" w:eastAsia="宋体" w:cs="Times New Roman"/>
                <w:b w:val="0"/>
                <w:bCs w:val="0"/>
                <w:sz w:val="21"/>
                <w:szCs w:val="21"/>
                <w:lang w:val="en-US" w:eastAsia="zh-CN"/>
              </w:rPr>
              <w:t>主要接收跳汰机出来的物料，分选其中的铁</w:t>
            </w:r>
            <w:r>
              <w:rPr>
                <w:rFonts w:hint="eastAsia" w:cs="Times New Roman"/>
                <w:b w:val="0"/>
                <w:bCs w:val="0"/>
                <w:sz w:val="21"/>
                <w:szCs w:val="21"/>
                <w:lang w:val="en-US" w:eastAsia="zh-CN"/>
              </w:rPr>
              <w:t>砂</w:t>
            </w:r>
            <w:r>
              <w:rPr>
                <w:rFonts w:hint="default" w:ascii="Times New Roman" w:hAnsi="Times New Roman" w:eastAsia="宋体" w:cs="Times New Roman"/>
                <w:b w:val="0"/>
                <w:bCs w:val="0"/>
                <w:sz w:val="21"/>
                <w:szCs w:val="21"/>
                <w:lang w:val="en-US" w:eastAsia="zh-CN"/>
              </w:rPr>
              <w:t>。此处主要产生噪声</w:t>
            </w:r>
            <w:r>
              <w:rPr>
                <w:rFonts w:hint="eastAsia" w:ascii="Times New Roman" w:hAnsi="Times New Roman" w:eastAsia="宋体" w:cs="Times New Roman"/>
                <w:b w:val="0"/>
                <w:bCs w:val="0"/>
                <w:sz w:val="21"/>
                <w:szCs w:val="21"/>
                <w:lang w:val="en-US" w:eastAsia="zh-CN"/>
              </w:rPr>
              <w:t>及一般固废。</w:t>
            </w:r>
          </w:p>
          <w:p w14:paraId="0AEB7DCB">
            <w:pPr>
              <w:pStyle w:val="11"/>
              <w:keepNext w:val="0"/>
              <w:keepLines w:val="0"/>
              <w:pageBreakBefore w:val="0"/>
              <w:widowControl w:val="0"/>
              <w:kinsoku/>
              <w:wordWrap/>
              <w:overflowPunct/>
              <w:topLinePunct w:val="0"/>
              <w:autoSpaceDE/>
              <w:autoSpaceDN/>
              <w:bidi w:val="0"/>
              <w:snapToGrid/>
              <w:spacing w:after="0" w:line="500" w:lineRule="exact"/>
              <w:ind w:left="0" w:leftChars="0" w:firstLine="422" w:firstLineChars="200"/>
              <w:textAlignment w:val="auto"/>
              <w:rPr>
                <w:rFonts w:hint="default" w:ascii="Times New Roman" w:hAnsi="Times New Roman" w:eastAsia="宋体" w:cs="Times New Roman"/>
                <w:b w:val="0"/>
                <w:bCs w:val="0"/>
                <w:sz w:val="21"/>
                <w:szCs w:val="21"/>
                <w:lang w:val="en-US" w:eastAsia="zh-CN"/>
              </w:rPr>
            </w:pPr>
            <w:r>
              <w:rPr>
                <w:rFonts w:hint="eastAsia" w:cs="Times New Roman"/>
                <w:b/>
                <w:bCs/>
                <w:sz w:val="21"/>
                <w:szCs w:val="21"/>
                <w:lang w:val="en-US" w:eastAsia="zh-CN"/>
              </w:rPr>
              <w:t>沉砂罐</w:t>
            </w:r>
            <w:r>
              <w:rPr>
                <w:rFonts w:hint="default" w:ascii="Times New Roman" w:hAnsi="Times New Roman" w:eastAsia="宋体" w:cs="Times New Roman"/>
                <w:b/>
                <w:bCs/>
                <w:sz w:val="21"/>
                <w:szCs w:val="21"/>
                <w:lang w:val="en-US" w:eastAsia="zh-CN"/>
              </w:rPr>
              <w:t>：</w:t>
            </w:r>
            <w:r>
              <w:rPr>
                <w:rFonts w:hint="default" w:ascii="Times New Roman" w:hAnsi="Times New Roman" w:eastAsia="宋体" w:cs="Times New Roman"/>
                <w:b w:val="0"/>
                <w:bCs w:val="0"/>
                <w:sz w:val="21"/>
                <w:szCs w:val="21"/>
                <w:lang w:val="en-US" w:eastAsia="zh-CN"/>
              </w:rPr>
              <w:t>经跳汰机处理后的泥</w:t>
            </w:r>
            <w:r>
              <w:rPr>
                <w:rFonts w:hint="eastAsia" w:cs="Times New Roman"/>
                <w:b w:val="0"/>
                <w:bCs w:val="0"/>
                <w:sz w:val="21"/>
                <w:szCs w:val="21"/>
                <w:lang w:eastAsia="zh-CN"/>
              </w:rPr>
              <w:t>砂</w:t>
            </w:r>
            <w:r>
              <w:rPr>
                <w:rFonts w:hint="default" w:ascii="Times New Roman" w:hAnsi="Times New Roman" w:eastAsia="宋体" w:cs="Times New Roman"/>
                <w:b w:val="0"/>
                <w:bCs w:val="0"/>
                <w:sz w:val="21"/>
                <w:szCs w:val="21"/>
                <w:lang w:val="en-US" w:eastAsia="zh-CN"/>
              </w:rPr>
              <w:t>进入沉砂罐，经</w:t>
            </w:r>
            <w:r>
              <w:rPr>
                <w:rFonts w:hint="eastAsia" w:cs="Times New Roman"/>
                <w:b w:val="0"/>
                <w:bCs w:val="0"/>
                <w:sz w:val="21"/>
                <w:szCs w:val="21"/>
                <w:lang w:val="en-US" w:eastAsia="zh-CN"/>
              </w:rPr>
              <w:t>沉淀</w:t>
            </w:r>
            <w:r>
              <w:rPr>
                <w:rFonts w:hint="default" w:ascii="Times New Roman" w:hAnsi="Times New Roman" w:eastAsia="宋体" w:cs="Times New Roman"/>
                <w:b w:val="0"/>
                <w:bCs w:val="0"/>
                <w:sz w:val="21"/>
                <w:szCs w:val="21"/>
                <w:lang w:val="en-US" w:eastAsia="zh-CN"/>
              </w:rPr>
              <w:t>自然沉降，炉渣环保</w:t>
            </w:r>
            <w:r>
              <w:rPr>
                <w:rFonts w:hint="eastAsia" w:cs="Times New Roman"/>
                <w:b w:val="0"/>
                <w:bCs w:val="0"/>
                <w:sz w:val="21"/>
                <w:szCs w:val="21"/>
                <w:lang w:val="en-US" w:eastAsia="zh-CN"/>
              </w:rPr>
              <w:t>砂</w:t>
            </w:r>
            <w:r>
              <w:rPr>
                <w:rFonts w:hint="default" w:ascii="Times New Roman" w:hAnsi="Times New Roman" w:eastAsia="宋体" w:cs="Times New Roman"/>
                <w:b w:val="0"/>
                <w:bCs w:val="0"/>
                <w:sz w:val="21"/>
                <w:szCs w:val="21"/>
                <w:lang w:val="en-US" w:eastAsia="zh-CN"/>
              </w:rPr>
              <w:t>则作为产品出售。</w:t>
            </w:r>
          </w:p>
          <w:p w14:paraId="07D10496">
            <w:pPr>
              <w:keepNext w:val="0"/>
              <w:keepLines w:val="0"/>
              <w:pageBreakBefore w:val="0"/>
              <w:widowControl w:val="0"/>
              <w:kinsoku/>
              <w:wordWrap/>
              <w:overflowPunct/>
              <w:topLinePunct w:val="0"/>
              <w:autoSpaceDE/>
              <w:autoSpaceDN/>
              <w:bidi w:val="0"/>
              <w:snapToGrid/>
              <w:spacing w:line="500" w:lineRule="exact"/>
              <w:ind w:left="0" w:leftChars="0" w:firstLine="422" w:firstLineChars="200"/>
              <w:textAlignment w:val="auto"/>
              <w:rPr>
                <w:rFonts w:hint="default" w:ascii="Times New Roman" w:hAnsi="Times New Roman" w:eastAsia="宋体" w:cs="Times New Roman"/>
                <w:b w:val="0"/>
                <w:bCs w:val="0"/>
                <w:sz w:val="21"/>
                <w:szCs w:val="21"/>
                <w:lang w:val="en-US" w:eastAsia="zh-CN"/>
              </w:rPr>
            </w:pPr>
            <w:r>
              <w:rPr>
                <w:rFonts w:hint="eastAsia" w:cs="Times New Roman"/>
                <w:b/>
                <w:bCs/>
                <w:sz w:val="21"/>
                <w:szCs w:val="21"/>
                <w:lang w:val="en-US" w:eastAsia="zh-CN"/>
              </w:rPr>
              <w:t>污水罐</w:t>
            </w:r>
            <w:r>
              <w:rPr>
                <w:rFonts w:hint="eastAsia" w:ascii="Times New Roman" w:hAnsi="Times New Roman" w:eastAsia="宋体" w:cs="Times New Roman"/>
                <w:b/>
                <w:bCs/>
                <w:sz w:val="21"/>
                <w:szCs w:val="21"/>
                <w:lang w:val="en-US" w:eastAsia="zh-CN"/>
              </w:rPr>
              <w:t>：</w:t>
            </w:r>
            <w:r>
              <w:rPr>
                <w:rFonts w:hint="eastAsia" w:cs="Times New Roman"/>
                <w:b w:val="0"/>
                <w:bCs w:val="0"/>
                <w:sz w:val="21"/>
                <w:szCs w:val="21"/>
                <w:lang w:val="en-US" w:eastAsia="zh-CN"/>
              </w:rPr>
              <w:t>沉砂罐</w:t>
            </w:r>
            <w:r>
              <w:rPr>
                <w:rFonts w:hint="default" w:ascii="Times New Roman" w:hAnsi="Times New Roman" w:eastAsia="宋体" w:cs="Times New Roman"/>
                <w:b w:val="0"/>
                <w:bCs w:val="0"/>
                <w:sz w:val="21"/>
                <w:szCs w:val="21"/>
                <w:lang w:val="en-US" w:eastAsia="zh-CN"/>
              </w:rPr>
              <w:t>的废水进入</w:t>
            </w:r>
            <w:r>
              <w:rPr>
                <w:rFonts w:hint="eastAsia" w:cs="Times New Roman"/>
                <w:b w:val="0"/>
                <w:bCs w:val="0"/>
                <w:sz w:val="21"/>
                <w:szCs w:val="21"/>
                <w:lang w:val="en-US" w:eastAsia="zh-CN"/>
              </w:rPr>
              <w:t>污水罐</w:t>
            </w:r>
            <w:r>
              <w:rPr>
                <w:rFonts w:hint="default" w:ascii="Times New Roman" w:hAnsi="Times New Roman" w:eastAsia="宋体" w:cs="Times New Roman"/>
                <w:b w:val="0"/>
                <w:bCs w:val="0"/>
                <w:sz w:val="21"/>
                <w:szCs w:val="21"/>
                <w:lang w:val="en-US" w:eastAsia="zh-CN"/>
              </w:rPr>
              <w:t>，为提升水的品质，将沉积水底的细</w:t>
            </w:r>
            <w:r>
              <w:rPr>
                <w:rFonts w:hint="eastAsia" w:cs="Times New Roman"/>
                <w:b w:val="0"/>
                <w:bCs w:val="0"/>
                <w:sz w:val="21"/>
                <w:szCs w:val="21"/>
                <w:lang w:val="en-US" w:eastAsia="zh-CN"/>
              </w:rPr>
              <w:t>砂</w:t>
            </w:r>
            <w:r>
              <w:rPr>
                <w:rFonts w:hint="default" w:ascii="Times New Roman" w:hAnsi="Times New Roman" w:eastAsia="宋体" w:cs="Times New Roman"/>
                <w:b w:val="0"/>
                <w:bCs w:val="0"/>
                <w:sz w:val="21"/>
                <w:szCs w:val="21"/>
                <w:lang w:val="en-US" w:eastAsia="zh-CN"/>
              </w:rPr>
              <w:t>抽至压滤机，上清液进入清水</w:t>
            </w:r>
            <w:r>
              <w:rPr>
                <w:rFonts w:hint="eastAsia" w:cs="Times New Roman"/>
                <w:b w:val="0"/>
                <w:bCs w:val="0"/>
                <w:sz w:val="21"/>
                <w:szCs w:val="21"/>
                <w:lang w:val="en-US" w:eastAsia="zh-CN"/>
              </w:rPr>
              <w:t>罐</w:t>
            </w:r>
            <w:r>
              <w:rPr>
                <w:rFonts w:hint="default" w:ascii="Times New Roman" w:hAnsi="Times New Roman" w:eastAsia="宋体" w:cs="Times New Roman"/>
                <w:b w:val="0"/>
                <w:bCs w:val="0"/>
                <w:sz w:val="21"/>
                <w:szCs w:val="21"/>
                <w:lang w:val="en-US" w:eastAsia="zh-CN"/>
              </w:rPr>
              <w:t>回用生产，压滤机将细</w:t>
            </w:r>
            <w:r>
              <w:rPr>
                <w:rFonts w:hint="eastAsia" w:cs="Times New Roman"/>
                <w:b w:val="0"/>
                <w:bCs w:val="0"/>
                <w:sz w:val="21"/>
                <w:szCs w:val="21"/>
                <w:lang w:val="en-US" w:eastAsia="zh-CN"/>
              </w:rPr>
              <w:t>砂</w:t>
            </w:r>
            <w:r>
              <w:rPr>
                <w:rFonts w:hint="default" w:ascii="Times New Roman" w:hAnsi="Times New Roman" w:eastAsia="宋体" w:cs="Times New Roman"/>
                <w:b w:val="0"/>
                <w:bCs w:val="0"/>
                <w:sz w:val="21"/>
                <w:szCs w:val="21"/>
                <w:lang w:val="en-US" w:eastAsia="zh-CN"/>
              </w:rPr>
              <w:t>形成泥饼，晒干后至库内暂存</w:t>
            </w:r>
            <w:r>
              <w:rPr>
                <w:rFonts w:hint="eastAsia" w:ascii="Times New Roman" w:hAnsi="Times New Roman" w:eastAsia="宋体" w:cs="Times New Roman"/>
                <w:b w:val="0"/>
                <w:bCs w:val="0"/>
                <w:sz w:val="21"/>
                <w:szCs w:val="21"/>
                <w:lang w:val="en-US" w:eastAsia="zh-CN"/>
              </w:rPr>
              <w:t>，外售</w:t>
            </w:r>
            <w:r>
              <w:rPr>
                <w:rFonts w:hint="default" w:ascii="Times New Roman" w:hAnsi="Times New Roman" w:eastAsia="宋体" w:cs="Times New Roman"/>
                <w:b w:val="0"/>
                <w:bCs w:val="0"/>
                <w:sz w:val="21"/>
                <w:szCs w:val="21"/>
                <w:lang w:val="en-US" w:eastAsia="zh-CN"/>
              </w:rPr>
              <w:t>。</w:t>
            </w:r>
          </w:p>
          <w:p w14:paraId="25EAA8B6">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表 2-</w:t>
            </w:r>
            <w:r>
              <w:rPr>
                <w:rFonts w:hint="eastAsia" w:cs="Times New Roman"/>
                <w:b/>
                <w:bCs/>
                <w:color w:val="auto"/>
                <w:lang w:val="en-US" w:eastAsia="zh-CN"/>
              </w:rPr>
              <w:t>11</w:t>
            </w:r>
            <w:r>
              <w:rPr>
                <w:rFonts w:hint="default" w:ascii="Times New Roman" w:hAnsi="Times New Roman" w:cs="Times New Roman"/>
                <w:b/>
                <w:bCs/>
                <w:color w:val="auto"/>
              </w:rPr>
              <w:t xml:space="preserve"> 主要产污环节及排污特征</w:t>
            </w:r>
          </w:p>
          <w:tbl>
            <w:tblPr>
              <w:tblStyle w:val="20"/>
              <w:tblW w:w="815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1"/>
              <w:gridCol w:w="667"/>
              <w:gridCol w:w="1412"/>
              <w:gridCol w:w="1738"/>
              <w:gridCol w:w="1037"/>
              <w:gridCol w:w="2721"/>
            </w:tblGrid>
            <w:tr w14:paraId="3F8B56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81" w:type="dxa"/>
                  <w:tcBorders>
                    <w:tl2br w:val="nil"/>
                    <w:tr2bl w:val="nil"/>
                  </w:tcBorders>
                  <w:vAlign w:val="center"/>
                </w:tcPr>
                <w:p w14:paraId="46DAC105">
                  <w:pPr>
                    <w:bidi w:val="0"/>
                    <w:jc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类型</w:t>
                  </w:r>
                </w:p>
              </w:tc>
              <w:tc>
                <w:tcPr>
                  <w:tcW w:w="667" w:type="dxa"/>
                  <w:tcBorders>
                    <w:tl2br w:val="nil"/>
                    <w:tr2bl w:val="nil"/>
                  </w:tcBorders>
                  <w:vAlign w:val="center"/>
                </w:tcPr>
                <w:p w14:paraId="13CA0E4C">
                  <w:pPr>
                    <w:bidi w:val="0"/>
                    <w:jc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编号</w:t>
                  </w:r>
                </w:p>
              </w:tc>
              <w:tc>
                <w:tcPr>
                  <w:tcW w:w="1412" w:type="dxa"/>
                  <w:tcBorders>
                    <w:tl2br w:val="nil"/>
                    <w:tr2bl w:val="nil"/>
                  </w:tcBorders>
                  <w:vAlign w:val="center"/>
                </w:tcPr>
                <w:p w14:paraId="370FE92E">
                  <w:pPr>
                    <w:bidi w:val="0"/>
                    <w:jc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产污环节</w:t>
                  </w:r>
                </w:p>
              </w:tc>
              <w:tc>
                <w:tcPr>
                  <w:tcW w:w="1738" w:type="dxa"/>
                  <w:tcBorders>
                    <w:tl2br w:val="nil"/>
                    <w:tr2bl w:val="nil"/>
                  </w:tcBorders>
                  <w:vAlign w:val="center"/>
                </w:tcPr>
                <w:p w14:paraId="7EFBAC0A">
                  <w:pPr>
                    <w:bidi w:val="0"/>
                    <w:jc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主要污染因子</w:t>
                  </w:r>
                </w:p>
              </w:tc>
              <w:tc>
                <w:tcPr>
                  <w:tcW w:w="1037" w:type="dxa"/>
                  <w:tcBorders>
                    <w:tl2br w:val="nil"/>
                    <w:tr2bl w:val="nil"/>
                  </w:tcBorders>
                  <w:vAlign w:val="center"/>
                </w:tcPr>
                <w:p w14:paraId="097FA57D">
                  <w:pPr>
                    <w:bidi w:val="0"/>
                    <w:jc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特征</w:t>
                  </w:r>
                </w:p>
              </w:tc>
              <w:tc>
                <w:tcPr>
                  <w:tcW w:w="2721" w:type="dxa"/>
                  <w:tcBorders>
                    <w:tl2br w:val="nil"/>
                    <w:tr2bl w:val="nil"/>
                  </w:tcBorders>
                  <w:vAlign w:val="center"/>
                </w:tcPr>
                <w:p w14:paraId="4F675E1F">
                  <w:pPr>
                    <w:bidi w:val="0"/>
                    <w:jc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处理措施及排放去向</w:t>
                  </w:r>
                </w:p>
              </w:tc>
            </w:tr>
            <w:tr w14:paraId="088647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581" w:type="dxa"/>
                  <w:vMerge w:val="restart"/>
                  <w:tcBorders>
                    <w:tl2br w:val="nil"/>
                    <w:tr2bl w:val="nil"/>
                  </w:tcBorders>
                  <w:vAlign w:val="center"/>
                </w:tcPr>
                <w:p w14:paraId="38F2690A">
                  <w:pPr>
                    <w:bidi w:val="0"/>
                    <w:jc w:val="center"/>
                    <w:rPr>
                      <w:rFonts w:hint="default" w:ascii="Times New Roman" w:hAnsi="Times New Roman" w:cs="Times New Roman"/>
                      <w:color w:val="auto"/>
                      <w:sz w:val="18"/>
                      <w:szCs w:val="18"/>
                      <w:lang w:eastAsia="zh-CN"/>
                    </w:rPr>
                  </w:pPr>
                  <w:r>
                    <w:rPr>
                      <w:rFonts w:hint="eastAsia" w:cs="Times New Roman"/>
                      <w:color w:val="auto"/>
                      <w:sz w:val="18"/>
                      <w:szCs w:val="18"/>
                      <w:lang w:eastAsia="zh-CN"/>
                    </w:rPr>
                    <w:t>废气</w:t>
                  </w:r>
                </w:p>
              </w:tc>
              <w:tc>
                <w:tcPr>
                  <w:tcW w:w="667" w:type="dxa"/>
                  <w:tcBorders>
                    <w:tl2br w:val="nil"/>
                    <w:tr2bl w:val="nil"/>
                  </w:tcBorders>
                  <w:vAlign w:val="center"/>
                </w:tcPr>
                <w:p w14:paraId="24C57ABC">
                  <w:pPr>
                    <w:bidi w:val="0"/>
                    <w:jc w:val="center"/>
                    <w:rPr>
                      <w:rFonts w:hint="eastAsia"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G1</w:t>
                  </w:r>
                </w:p>
              </w:tc>
              <w:tc>
                <w:tcPr>
                  <w:tcW w:w="1412" w:type="dxa"/>
                  <w:tcBorders>
                    <w:tl2br w:val="nil"/>
                    <w:tr2bl w:val="nil"/>
                  </w:tcBorders>
                  <w:vAlign w:val="center"/>
                </w:tcPr>
                <w:p w14:paraId="2E927FBF">
                  <w:pPr>
                    <w:bidi w:val="0"/>
                    <w:jc w:val="center"/>
                    <w:rPr>
                      <w:rFonts w:hint="eastAsia" w:cs="Times New Roman"/>
                      <w:color w:val="auto"/>
                      <w:sz w:val="18"/>
                      <w:szCs w:val="18"/>
                      <w:lang w:eastAsia="zh-CN"/>
                    </w:rPr>
                  </w:pPr>
                  <w:r>
                    <w:rPr>
                      <w:rFonts w:hint="eastAsia" w:cs="Times New Roman"/>
                      <w:color w:val="auto"/>
                      <w:sz w:val="18"/>
                      <w:szCs w:val="18"/>
                      <w:lang w:eastAsia="zh-CN"/>
                    </w:rPr>
                    <w:t>运输扬尘</w:t>
                  </w:r>
                </w:p>
              </w:tc>
              <w:tc>
                <w:tcPr>
                  <w:tcW w:w="1738" w:type="dxa"/>
                  <w:tcBorders>
                    <w:tl2br w:val="nil"/>
                    <w:tr2bl w:val="nil"/>
                  </w:tcBorders>
                  <w:vAlign w:val="center"/>
                </w:tcPr>
                <w:p w14:paraId="56DD4876">
                  <w:pPr>
                    <w:bidi w:val="0"/>
                    <w:jc w:val="center"/>
                    <w:rPr>
                      <w:rFonts w:hint="eastAsia" w:cs="Times New Roman"/>
                      <w:color w:val="auto"/>
                      <w:sz w:val="18"/>
                      <w:szCs w:val="18"/>
                      <w:lang w:eastAsia="zh-CN"/>
                    </w:rPr>
                  </w:pPr>
                  <w:r>
                    <w:rPr>
                      <w:rFonts w:hint="eastAsia" w:cs="Times New Roman"/>
                      <w:color w:val="auto"/>
                      <w:sz w:val="18"/>
                      <w:szCs w:val="18"/>
                      <w:lang w:eastAsia="zh-CN"/>
                    </w:rPr>
                    <w:t>颗粒物</w:t>
                  </w:r>
                </w:p>
              </w:tc>
              <w:tc>
                <w:tcPr>
                  <w:tcW w:w="1037" w:type="dxa"/>
                  <w:tcBorders>
                    <w:tl2br w:val="nil"/>
                    <w:tr2bl w:val="nil"/>
                  </w:tcBorders>
                  <w:vAlign w:val="center"/>
                </w:tcPr>
                <w:p w14:paraId="2CBFFF1E">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721" w:type="dxa"/>
                  <w:tcBorders>
                    <w:tl2br w:val="nil"/>
                    <w:tr2bl w:val="nil"/>
                  </w:tcBorders>
                  <w:vAlign w:val="center"/>
                </w:tcPr>
                <w:p w14:paraId="4E93142D">
                  <w:pPr>
                    <w:bidi w:val="0"/>
                    <w:jc w:val="center"/>
                    <w:rPr>
                      <w:rFonts w:hint="eastAsia" w:cs="Times New Roman"/>
                      <w:color w:val="auto"/>
                      <w:sz w:val="18"/>
                      <w:szCs w:val="18"/>
                      <w:lang w:eastAsia="zh-CN"/>
                    </w:rPr>
                  </w:pPr>
                  <w:r>
                    <w:rPr>
                      <w:rFonts w:hint="eastAsia" w:cs="Times New Roman"/>
                      <w:color w:val="auto"/>
                      <w:sz w:val="18"/>
                      <w:szCs w:val="18"/>
                      <w:lang w:eastAsia="zh-CN"/>
                    </w:rPr>
                    <w:t>无组织排放</w:t>
                  </w:r>
                </w:p>
              </w:tc>
            </w:tr>
            <w:tr w14:paraId="535A28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581" w:type="dxa"/>
                  <w:vMerge w:val="continue"/>
                  <w:tcBorders>
                    <w:tl2br w:val="nil"/>
                    <w:tr2bl w:val="nil"/>
                  </w:tcBorders>
                  <w:vAlign w:val="center"/>
                </w:tcPr>
                <w:p w14:paraId="21A1B721">
                  <w:pPr>
                    <w:bidi w:val="0"/>
                    <w:jc w:val="center"/>
                    <w:rPr>
                      <w:rFonts w:hint="default" w:ascii="Times New Roman" w:hAnsi="Times New Roman" w:cs="Times New Roman"/>
                      <w:color w:val="auto"/>
                      <w:sz w:val="18"/>
                      <w:szCs w:val="18"/>
                      <w:lang w:eastAsia="zh-CN"/>
                    </w:rPr>
                  </w:pPr>
                </w:p>
              </w:tc>
              <w:tc>
                <w:tcPr>
                  <w:tcW w:w="667" w:type="dxa"/>
                  <w:tcBorders>
                    <w:tl2br w:val="nil"/>
                    <w:tr2bl w:val="nil"/>
                  </w:tcBorders>
                  <w:vAlign w:val="center"/>
                </w:tcPr>
                <w:p w14:paraId="325B57A3">
                  <w:pPr>
                    <w:bidi w:val="0"/>
                    <w:jc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G2</w:t>
                  </w:r>
                </w:p>
              </w:tc>
              <w:tc>
                <w:tcPr>
                  <w:tcW w:w="1412" w:type="dxa"/>
                  <w:tcBorders>
                    <w:tl2br w:val="nil"/>
                    <w:tr2bl w:val="nil"/>
                  </w:tcBorders>
                  <w:vAlign w:val="center"/>
                </w:tcPr>
                <w:p w14:paraId="349A6E89">
                  <w:pPr>
                    <w:bidi w:val="0"/>
                    <w:jc w:val="center"/>
                    <w:rPr>
                      <w:rFonts w:hint="default" w:ascii="Times New Roman" w:hAnsi="Times New Roman" w:cs="Times New Roman"/>
                      <w:color w:val="auto"/>
                      <w:sz w:val="18"/>
                      <w:szCs w:val="18"/>
                      <w:lang w:eastAsia="zh-CN"/>
                    </w:rPr>
                  </w:pPr>
                  <w:r>
                    <w:rPr>
                      <w:rFonts w:hint="eastAsia" w:cs="Times New Roman"/>
                      <w:color w:val="auto"/>
                      <w:sz w:val="18"/>
                      <w:szCs w:val="18"/>
                      <w:lang w:eastAsia="zh-CN"/>
                    </w:rPr>
                    <w:t>堆场扬尘</w:t>
                  </w:r>
                </w:p>
              </w:tc>
              <w:tc>
                <w:tcPr>
                  <w:tcW w:w="1738" w:type="dxa"/>
                  <w:tcBorders>
                    <w:tl2br w:val="nil"/>
                    <w:tr2bl w:val="nil"/>
                  </w:tcBorders>
                  <w:vAlign w:val="center"/>
                </w:tcPr>
                <w:p w14:paraId="198105A6">
                  <w:pPr>
                    <w:bidi w:val="0"/>
                    <w:jc w:val="center"/>
                    <w:rPr>
                      <w:rFonts w:hint="default" w:ascii="Times New Roman" w:hAnsi="Times New Roman" w:cs="Times New Roman"/>
                      <w:color w:val="auto"/>
                      <w:sz w:val="18"/>
                      <w:szCs w:val="18"/>
                      <w:lang w:eastAsia="zh-CN"/>
                    </w:rPr>
                  </w:pPr>
                  <w:r>
                    <w:rPr>
                      <w:rFonts w:hint="eastAsia" w:cs="Times New Roman"/>
                      <w:color w:val="auto"/>
                      <w:sz w:val="18"/>
                      <w:szCs w:val="18"/>
                      <w:lang w:eastAsia="zh-CN"/>
                    </w:rPr>
                    <w:t>颗粒物</w:t>
                  </w:r>
                </w:p>
              </w:tc>
              <w:tc>
                <w:tcPr>
                  <w:tcW w:w="1037" w:type="dxa"/>
                  <w:tcBorders>
                    <w:tl2br w:val="nil"/>
                    <w:tr2bl w:val="nil"/>
                  </w:tcBorders>
                  <w:vAlign w:val="center"/>
                </w:tcPr>
                <w:p w14:paraId="0A235C7F">
                  <w:pPr>
                    <w:bidi w:val="0"/>
                    <w:jc w:val="center"/>
                    <w:rPr>
                      <w:rFonts w:hint="default" w:ascii="Times New Roman" w:hAnsi="Times New Roman" w:cs="Times New Roman"/>
                      <w:color w:val="auto"/>
                      <w:sz w:val="18"/>
                      <w:szCs w:val="18"/>
                      <w:lang w:eastAsia="zh-CN"/>
                    </w:rPr>
                  </w:pPr>
                  <w:r>
                    <w:rPr>
                      <w:rFonts w:hint="eastAsia" w:cs="Times New Roman"/>
                      <w:color w:val="auto"/>
                      <w:sz w:val="18"/>
                      <w:szCs w:val="18"/>
                      <w:lang w:eastAsia="zh-CN"/>
                    </w:rPr>
                    <w:t>间歇</w:t>
                  </w:r>
                </w:p>
              </w:tc>
              <w:tc>
                <w:tcPr>
                  <w:tcW w:w="2721" w:type="dxa"/>
                  <w:tcBorders>
                    <w:tl2br w:val="nil"/>
                    <w:tr2bl w:val="nil"/>
                  </w:tcBorders>
                  <w:vAlign w:val="center"/>
                </w:tcPr>
                <w:p w14:paraId="446EF37B">
                  <w:pPr>
                    <w:bidi w:val="0"/>
                    <w:jc w:val="center"/>
                    <w:rPr>
                      <w:rFonts w:hint="default" w:ascii="Times New Roman" w:hAnsi="Times New Roman" w:cs="Times New Roman"/>
                      <w:color w:val="auto"/>
                      <w:sz w:val="18"/>
                      <w:szCs w:val="18"/>
                      <w:lang w:val="en-US" w:eastAsia="zh-CN"/>
                    </w:rPr>
                  </w:pPr>
                  <w:r>
                    <w:rPr>
                      <w:rFonts w:hint="eastAsia" w:cs="Times New Roman"/>
                      <w:color w:val="auto"/>
                      <w:sz w:val="18"/>
                      <w:szCs w:val="18"/>
                      <w:lang w:eastAsia="zh-CN"/>
                    </w:rPr>
                    <w:t>无组织排放</w:t>
                  </w:r>
                </w:p>
              </w:tc>
            </w:tr>
            <w:tr w14:paraId="69C26D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81" w:type="dxa"/>
                  <w:vMerge w:val="continue"/>
                  <w:tcBorders>
                    <w:tl2br w:val="nil"/>
                    <w:tr2bl w:val="nil"/>
                  </w:tcBorders>
                  <w:vAlign w:val="center"/>
                </w:tcPr>
                <w:p w14:paraId="237E6E53">
                  <w:pPr>
                    <w:bidi w:val="0"/>
                    <w:jc w:val="center"/>
                    <w:rPr>
                      <w:rFonts w:hint="eastAsia" w:cs="Times New Roman"/>
                      <w:color w:val="auto"/>
                      <w:sz w:val="18"/>
                      <w:szCs w:val="18"/>
                      <w:lang w:eastAsia="zh-CN"/>
                    </w:rPr>
                  </w:pPr>
                </w:p>
              </w:tc>
              <w:tc>
                <w:tcPr>
                  <w:tcW w:w="667" w:type="dxa"/>
                  <w:tcBorders>
                    <w:tl2br w:val="nil"/>
                    <w:tr2bl w:val="nil"/>
                  </w:tcBorders>
                  <w:vAlign w:val="center"/>
                </w:tcPr>
                <w:p w14:paraId="18808760">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G3</w:t>
                  </w:r>
                </w:p>
              </w:tc>
              <w:tc>
                <w:tcPr>
                  <w:tcW w:w="1412" w:type="dxa"/>
                  <w:tcBorders>
                    <w:tl2br w:val="nil"/>
                    <w:tr2bl w:val="nil"/>
                  </w:tcBorders>
                  <w:vAlign w:val="center"/>
                </w:tcPr>
                <w:p w14:paraId="4ABC1303">
                  <w:pPr>
                    <w:bidi w:val="0"/>
                    <w:jc w:val="center"/>
                    <w:rPr>
                      <w:rFonts w:hint="eastAsia" w:cs="Times New Roman"/>
                      <w:color w:val="auto"/>
                      <w:sz w:val="18"/>
                      <w:szCs w:val="18"/>
                      <w:lang w:eastAsia="zh-CN"/>
                    </w:rPr>
                  </w:pPr>
                  <w:r>
                    <w:rPr>
                      <w:rFonts w:hint="eastAsia" w:cs="Times New Roman"/>
                      <w:color w:val="auto"/>
                      <w:sz w:val="18"/>
                      <w:szCs w:val="18"/>
                      <w:lang w:eastAsia="zh-CN"/>
                    </w:rPr>
                    <w:t>食堂</w:t>
                  </w:r>
                </w:p>
              </w:tc>
              <w:tc>
                <w:tcPr>
                  <w:tcW w:w="1738" w:type="dxa"/>
                  <w:tcBorders>
                    <w:tl2br w:val="nil"/>
                    <w:tr2bl w:val="nil"/>
                  </w:tcBorders>
                  <w:vAlign w:val="center"/>
                </w:tcPr>
                <w:p w14:paraId="0D4E2DBC">
                  <w:pPr>
                    <w:bidi w:val="0"/>
                    <w:jc w:val="center"/>
                    <w:rPr>
                      <w:rFonts w:hint="eastAsia" w:cs="Times New Roman"/>
                      <w:color w:val="auto"/>
                      <w:sz w:val="18"/>
                      <w:szCs w:val="18"/>
                      <w:lang w:eastAsia="zh-CN"/>
                    </w:rPr>
                  </w:pPr>
                  <w:r>
                    <w:rPr>
                      <w:rFonts w:hint="eastAsia" w:cs="Times New Roman"/>
                      <w:color w:val="auto"/>
                      <w:sz w:val="18"/>
                      <w:szCs w:val="18"/>
                      <w:lang w:eastAsia="zh-CN"/>
                    </w:rPr>
                    <w:t>油烟</w:t>
                  </w:r>
                </w:p>
              </w:tc>
              <w:tc>
                <w:tcPr>
                  <w:tcW w:w="1037" w:type="dxa"/>
                  <w:tcBorders>
                    <w:tl2br w:val="nil"/>
                    <w:tr2bl w:val="nil"/>
                  </w:tcBorders>
                  <w:vAlign w:val="center"/>
                </w:tcPr>
                <w:p w14:paraId="13D51AB8">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721" w:type="dxa"/>
                  <w:tcBorders>
                    <w:tl2br w:val="nil"/>
                    <w:tr2bl w:val="nil"/>
                  </w:tcBorders>
                  <w:vAlign w:val="center"/>
                </w:tcPr>
                <w:p w14:paraId="49C2A3DD">
                  <w:pPr>
                    <w:bidi w:val="0"/>
                    <w:jc w:val="center"/>
                    <w:rPr>
                      <w:rFonts w:hint="eastAsia" w:cs="Times New Roman"/>
                      <w:color w:val="auto"/>
                      <w:sz w:val="18"/>
                      <w:szCs w:val="18"/>
                      <w:lang w:eastAsia="zh-CN"/>
                    </w:rPr>
                  </w:pPr>
                  <w:r>
                    <w:rPr>
                      <w:rFonts w:hint="eastAsia" w:cs="Times New Roman"/>
                      <w:color w:val="auto"/>
                      <w:sz w:val="18"/>
                      <w:szCs w:val="18"/>
                      <w:lang w:eastAsia="zh-CN"/>
                    </w:rPr>
                    <w:t>油烟净化器</w:t>
                  </w:r>
                </w:p>
              </w:tc>
            </w:tr>
            <w:tr w14:paraId="071304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81" w:type="dxa"/>
                  <w:vMerge w:val="restart"/>
                  <w:tcBorders>
                    <w:tl2br w:val="nil"/>
                    <w:tr2bl w:val="nil"/>
                  </w:tcBorders>
                  <w:vAlign w:val="center"/>
                </w:tcPr>
                <w:p w14:paraId="719B3ABD">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废水</w:t>
                  </w:r>
                </w:p>
              </w:tc>
              <w:tc>
                <w:tcPr>
                  <w:tcW w:w="667" w:type="dxa"/>
                  <w:tcBorders>
                    <w:tl2br w:val="nil"/>
                    <w:tr2bl w:val="nil"/>
                  </w:tcBorders>
                  <w:vAlign w:val="center"/>
                </w:tcPr>
                <w:p w14:paraId="1E1EAE90">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W1</w:t>
                  </w:r>
                </w:p>
              </w:tc>
              <w:tc>
                <w:tcPr>
                  <w:tcW w:w="1412" w:type="dxa"/>
                  <w:tcBorders>
                    <w:tl2br w:val="nil"/>
                    <w:tr2bl w:val="nil"/>
                  </w:tcBorders>
                  <w:vAlign w:val="center"/>
                </w:tcPr>
                <w:p w14:paraId="41ACAC24">
                  <w:pPr>
                    <w:bidi w:val="0"/>
                    <w:jc w:val="center"/>
                    <w:rPr>
                      <w:rFonts w:hint="eastAsia" w:cs="Times New Roman"/>
                      <w:color w:val="auto"/>
                      <w:sz w:val="18"/>
                      <w:szCs w:val="18"/>
                      <w:lang w:eastAsia="zh-CN"/>
                    </w:rPr>
                  </w:pPr>
                  <w:r>
                    <w:rPr>
                      <w:rFonts w:hint="eastAsia" w:cs="Times New Roman"/>
                      <w:color w:val="auto"/>
                      <w:sz w:val="18"/>
                      <w:szCs w:val="18"/>
                      <w:lang w:eastAsia="zh-CN"/>
                    </w:rPr>
                    <w:t>一次破碎</w:t>
                  </w:r>
                </w:p>
              </w:tc>
              <w:tc>
                <w:tcPr>
                  <w:tcW w:w="1738" w:type="dxa"/>
                  <w:tcBorders>
                    <w:tl2br w:val="nil"/>
                    <w:tr2bl w:val="nil"/>
                  </w:tcBorders>
                  <w:vAlign w:val="center"/>
                </w:tcPr>
                <w:p w14:paraId="6423DD7D">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pH、COD、SS</w:t>
                  </w:r>
                </w:p>
              </w:tc>
              <w:tc>
                <w:tcPr>
                  <w:tcW w:w="1037" w:type="dxa"/>
                  <w:tcBorders>
                    <w:tl2br w:val="nil"/>
                    <w:tr2bl w:val="nil"/>
                  </w:tcBorders>
                  <w:vAlign w:val="center"/>
                </w:tcPr>
                <w:p w14:paraId="5B3B0706">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721" w:type="dxa"/>
                  <w:vMerge w:val="restart"/>
                  <w:tcBorders>
                    <w:tl2br w:val="nil"/>
                    <w:tr2bl w:val="nil"/>
                  </w:tcBorders>
                  <w:vAlign w:val="center"/>
                </w:tcPr>
                <w:p w14:paraId="1A331904">
                  <w:pPr>
                    <w:bidi w:val="0"/>
                    <w:jc w:val="center"/>
                    <w:rPr>
                      <w:rFonts w:hint="default" w:cs="Times New Roman"/>
                      <w:color w:val="auto"/>
                      <w:sz w:val="18"/>
                      <w:szCs w:val="18"/>
                      <w:lang w:val="en-US" w:eastAsia="zh-CN"/>
                    </w:rPr>
                  </w:pPr>
                  <w:r>
                    <w:rPr>
                      <w:rFonts w:hint="eastAsia" w:cs="Times New Roman"/>
                      <w:color w:val="auto"/>
                      <w:sz w:val="18"/>
                      <w:szCs w:val="18"/>
                      <w:lang w:eastAsia="zh-CN"/>
                    </w:rPr>
                    <w:t>沉淀过滤后，回用于生产</w:t>
                  </w:r>
                </w:p>
              </w:tc>
            </w:tr>
            <w:tr w14:paraId="2DA755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81" w:type="dxa"/>
                  <w:vMerge w:val="continue"/>
                  <w:tcBorders>
                    <w:tl2br w:val="nil"/>
                    <w:tr2bl w:val="nil"/>
                  </w:tcBorders>
                  <w:vAlign w:val="center"/>
                </w:tcPr>
                <w:p w14:paraId="3CFCC323">
                  <w:pPr>
                    <w:bidi w:val="0"/>
                    <w:jc w:val="center"/>
                    <w:rPr>
                      <w:rFonts w:hint="eastAsia" w:cs="Times New Roman"/>
                      <w:color w:val="auto"/>
                      <w:sz w:val="18"/>
                      <w:szCs w:val="18"/>
                      <w:lang w:eastAsia="zh-CN"/>
                    </w:rPr>
                  </w:pPr>
                </w:p>
              </w:tc>
              <w:tc>
                <w:tcPr>
                  <w:tcW w:w="667" w:type="dxa"/>
                  <w:tcBorders>
                    <w:tl2br w:val="nil"/>
                    <w:tr2bl w:val="nil"/>
                  </w:tcBorders>
                  <w:vAlign w:val="center"/>
                </w:tcPr>
                <w:p w14:paraId="443C0F1D">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W2</w:t>
                  </w:r>
                </w:p>
              </w:tc>
              <w:tc>
                <w:tcPr>
                  <w:tcW w:w="1412" w:type="dxa"/>
                  <w:tcBorders>
                    <w:tl2br w:val="nil"/>
                    <w:tr2bl w:val="nil"/>
                  </w:tcBorders>
                  <w:vAlign w:val="center"/>
                </w:tcPr>
                <w:p w14:paraId="10B5E3D0">
                  <w:pPr>
                    <w:bidi w:val="0"/>
                    <w:jc w:val="center"/>
                    <w:rPr>
                      <w:rFonts w:hint="eastAsia" w:cs="Times New Roman"/>
                      <w:color w:val="auto"/>
                      <w:sz w:val="18"/>
                      <w:szCs w:val="18"/>
                      <w:lang w:eastAsia="zh-CN"/>
                    </w:rPr>
                  </w:pPr>
                  <w:r>
                    <w:rPr>
                      <w:rFonts w:hint="eastAsia" w:cs="Times New Roman"/>
                      <w:color w:val="auto"/>
                      <w:sz w:val="18"/>
                      <w:szCs w:val="18"/>
                      <w:lang w:eastAsia="zh-CN"/>
                    </w:rPr>
                    <w:t>磁选</w:t>
                  </w:r>
                </w:p>
              </w:tc>
              <w:tc>
                <w:tcPr>
                  <w:tcW w:w="1738" w:type="dxa"/>
                  <w:tcBorders>
                    <w:tl2br w:val="nil"/>
                    <w:tr2bl w:val="nil"/>
                  </w:tcBorders>
                  <w:vAlign w:val="center"/>
                </w:tcPr>
                <w:p w14:paraId="1E45B673">
                  <w:pPr>
                    <w:bidi w:val="0"/>
                    <w:jc w:val="center"/>
                    <w:rPr>
                      <w:rFonts w:hint="eastAsia" w:cs="Times New Roman"/>
                      <w:color w:val="auto"/>
                      <w:sz w:val="18"/>
                      <w:szCs w:val="18"/>
                      <w:lang w:eastAsia="zh-CN"/>
                    </w:rPr>
                  </w:pPr>
                  <w:r>
                    <w:rPr>
                      <w:rFonts w:hint="eastAsia" w:cs="Times New Roman"/>
                      <w:color w:val="auto"/>
                      <w:sz w:val="18"/>
                      <w:szCs w:val="18"/>
                      <w:lang w:val="en-US" w:eastAsia="zh-CN"/>
                    </w:rPr>
                    <w:t>pH、COD、SS</w:t>
                  </w:r>
                </w:p>
              </w:tc>
              <w:tc>
                <w:tcPr>
                  <w:tcW w:w="1037" w:type="dxa"/>
                  <w:tcBorders>
                    <w:tl2br w:val="nil"/>
                    <w:tr2bl w:val="nil"/>
                  </w:tcBorders>
                  <w:vAlign w:val="center"/>
                </w:tcPr>
                <w:p w14:paraId="1FA6923D">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721" w:type="dxa"/>
                  <w:vMerge w:val="continue"/>
                  <w:tcBorders>
                    <w:tl2br w:val="nil"/>
                    <w:tr2bl w:val="nil"/>
                  </w:tcBorders>
                  <w:vAlign w:val="center"/>
                </w:tcPr>
                <w:p w14:paraId="41187DD4">
                  <w:pPr>
                    <w:bidi w:val="0"/>
                    <w:jc w:val="center"/>
                    <w:rPr>
                      <w:rFonts w:hint="eastAsia" w:cs="Times New Roman"/>
                      <w:color w:val="auto"/>
                      <w:sz w:val="18"/>
                      <w:szCs w:val="18"/>
                      <w:lang w:eastAsia="zh-CN"/>
                    </w:rPr>
                  </w:pPr>
                </w:p>
              </w:tc>
            </w:tr>
            <w:tr w14:paraId="688A3D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81" w:type="dxa"/>
                  <w:vMerge w:val="continue"/>
                  <w:tcBorders>
                    <w:tl2br w:val="nil"/>
                    <w:tr2bl w:val="nil"/>
                  </w:tcBorders>
                  <w:vAlign w:val="center"/>
                </w:tcPr>
                <w:p w14:paraId="1FE15C19">
                  <w:pPr>
                    <w:bidi w:val="0"/>
                    <w:jc w:val="center"/>
                    <w:rPr>
                      <w:rFonts w:hint="eastAsia" w:cs="Times New Roman"/>
                      <w:color w:val="auto"/>
                      <w:sz w:val="18"/>
                      <w:szCs w:val="18"/>
                      <w:lang w:eastAsia="zh-CN"/>
                    </w:rPr>
                  </w:pPr>
                </w:p>
              </w:tc>
              <w:tc>
                <w:tcPr>
                  <w:tcW w:w="667" w:type="dxa"/>
                  <w:tcBorders>
                    <w:tl2br w:val="nil"/>
                    <w:tr2bl w:val="nil"/>
                  </w:tcBorders>
                  <w:vAlign w:val="center"/>
                </w:tcPr>
                <w:p w14:paraId="58AAB27E">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W3</w:t>
                  </w:r>
                </w:p>
              </w:tc>
              <w:tc>
                <w:tcPr>
                  <w:tcW w:w="1412" w:type="dxa"/>
                  <w:tcBorders>
                    <w:tl2br w:val="nil"/>
                    <w:tr2bl w:val="nil"/>
                  </w:tcBorders>
                  <w:vAlign w:val="center"/>
                </w:tcPr>
                <w:p w14:paraId="5D70F561">
                  <w:pPr>
                    <w:bidi w:val="0"/>
                    <w:jc w:val="center"/>
                    <w:rPr>
                      <w:rFonts w:hint="eastAsia" w:cs="Times New Roman"/>
                      <w:color w:val="auto"/>
                      <w:sz w:val="18"/>
                      <w:szCs w:val="18"/>
                      <w:lang w:eastAsia="zh-CN"/>
                    </w:rPr>
                  </w:pPr>
                  <w:r>
                    <w:rPr>
                      <w:rFonts w:hint="eastAsia" w:cs="Times New Roman"/>
                      <w:color w:val="auto"/>
                      <w:sz w:val="18"/>
                      <w:szCs w:val="18"/>
                      <w:lang w:eastAsia="zh-CN"/>
                    </w:rPr>
                    <w:t>二次破碎</w:t>
                  </w:r>
                </w:p>
              </w:tc>
              <w:tc>
                <w:tcPr>
                  <w:tcW w:w="1738" w:type="dxa"/>
                  <w:tcBorders>
                    <w:tl2br w:val="nil"/>
                    <w:tr2bl w:val="nil"/>
                  </w:tcBorders>
                  <w:vAlign w:val="center"/>
                </w:tcPr>
                <w:p w14:paraId="65DE02C8">
                  <w:pPr>
                    <w:bidi w:val="0"/>
                    <w:jc w:val="center"/>
                    <w:rPr>
                      <w:rFonts w:hint="eastAsia" w:cs="Times New Roman"/>
                      <w:color w:val="auto"/>
                      <w:sz w:val="18"/>
                      <w:szCs w:val="18"/>
                      <w:lang w:eastAsia="zh-CN"/>
                    </w:rPr>
                  </w:pPr>
                  <w:r>
                    <w:rPr>
                      <w:rFonts w:hint="eastAsia" w:cs="Times New Roman"/>
                      <w:color w:val="auto"/>
                      <w:sz w:val="18"/>
                      <w:szCs w:val="18"/>
                      <w:lang w:val="en-US" w:eastAsia="zh-CN"/>
                    </w:rPr>
                    <w:t>pH、COD、SS</w:t>
                  </w:r>
                </w:p>
              </w:tc>
              <w:tc>
                <w:tcPr>
                  <w:tcW w:w="1037" w:type="dxa"/>
                  <w:tcBorders>
                    <w:tl2br w:val="nil"/>
                    <w:tr2bl w:val="nil"/>
                  </w:tcBorders>
                  <w:vAlign w:val="center"/>
                </w:tcPr>
                <w:p w14:paraId="6F945FAD">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721" w:type="dxa"/>
                  <w:vMerge w:val="continue"/>
                  <w:tcBorders>
                    <w:tl2br w:val="nil"/>
                    <w:tr2bl w:val="nil"/>
                  </w:tcBorders>
                  <w:vAlign w:val="center"/>
                </w:tcPr>
                <w:p w14:paraId="276BFFB0">
                  <w:pPr>
                    <w:bidi w:val="0"/>
                    <w:jc w:val="center"/>
                    <w:rPr>
                      <w:rFonts w:hint="eastAsia" w:cs="Times New Roman"/>
                      <w:color w:val="auto"/>
                      <w:sz w:val="18"/>
                      <w:szCs w:val="18"/>
                      <w:lang w:eastAsia="zh-CN"/>
                    </w:rPr>
                  </w:pPr>
                </w:p>
              </w:tc>
            </w:tr>
            <w:tr w14:paraId="22D9DD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81" w:type="dxa"/>
                  <w:vMerge w:val="continue"/>
                  <w:tcBorders>
                    <w:tl2br w:val="nil"/>
                    <w:tr2bl w:val="nil"/>
                  </w:tcBorders>
                  <w:vAlign w:val="center"/>
                </w:tcPr>
                <w:p w14:paraId="2497EF4D">
                  <w:pPr>
                    <w:bidi w:val="0"/>
                    <w:jc w:val="center"/>
                    <w:rPr>
                      <w:rFonts w:hint="eastAsia" w:cs="Times New Roman"/>
                      <w:color w:val="auto"/>
                      <w:sz w:val="18"/>
                      <w:szCs w:val="18"/>
                      <w:lang w:eastAsia="zh-CN"/>
                    </w:rPr>
                  </w:pPr>
                </w:p>
              </w:tc>
              <w:tc>
                <w:tcPr>
                  <w:tcW w:w="667" w:type="dxa"/>
                  <w:tcBorders>
                    <w:tl2br w:val="nil"/>
                    <w:tr2bl w:val="nil"/>
                  </w:tcBorders>
                  <w:vAlign w:val="center"/>
                </w:tcPr>
                <w:p w14:paraId="697AC4E4">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W4</w:t>
                  </w:r>
                </w:p>
              </w:tc>
              <w:tc>
                <w:tcPr>
                  <w:tcW w:w="1412" w:type="dxa"/>
                  <w:tcBorders>
                    <w:tl2br w:val="nil"/>
                    <w:tr2bl w:val="nil"/>
                  </w:tcBorders>
                  <w:vAlign w:val="center"/>
                </w:tcPr>
                <w:p w14:paraId="02BFA2A0">
                  <w:pPr>
                    <w:bidi w:val="0"/>
                    <w:jc w:val="center"/>
                    <w:rPr>
                      <w:rFonts w:hint="eastAsia" w:cs="Times New Roman"/>
                      <w:color w:val="auto"/>
                      <w:sz w:val="18"/>
                      <w:szCs w:val="18"/>
                      <w:lang w:eastAsia="zh-CN"/>
                    </w:rPr>
                  </w:pPr>
                  <w:r>
                    <w:rPr>
                      <w:rFonts w:hint="eastAsia" w:cs="Times New Roman"/>
                      <w:color w:val="auto"/>
                      <w:sz w:val="18"/>
                      <w:szCs w:val="18"/>
                      <w:lang w:eastAsia="zh-CN"/>
                    </w:rPr>
                    <w:t>精选</w:t>
                  </w:r>
                </w:p>
              </w:tc>
              <w:tc>
                <w:tcPr>
                  <w:tcW w:w="1738" w:type="dxa"/>
                  <w:tcBorders>
                    <w:tl2br w:val="nil"/>
                    <w:tr2bl w:val="nil"/>
                  </w:tcBorders>
                  <w:vAlign w:val="center"/>
                </w:tcPr>
                <w:p w14:paraId="362BF490">
                  <w:pPr>
                    <w:bidi w:val="0"/>
                    <w:jc w:val="center"/>
                    <w:rPr>
                      <w:rFonts w:hint="eastAsia" w:cs="Times New Roman"/>
                      <w:color w:val="auto"/>
                      <w:sz w:val="18"/>
                      <w:szCs w:val="18"/>
                      <w:lang w:eastAsia="zh-CN"/>
                    </w:rPr>
                  </w:pPr>
                  <w:r>
                    <w:rPr>
                      <w:rFonts w:hint="eastAsia" w:cs="Times New Roman"/>
                      <w:color w:val="auto"/>
                      <w:sz w:val="18"/>
                      <w:szCs w:val="18"/>
                      <w:lang w:val="en-US" w:eastAsia="zh-CN"/>
                    </w:rPr>
                    <w:t>pH、COD、SS</w:t>
                  </w:r>
                </w:p>
              </w:tc>
              <w:tc>
                <w:tcPr>
                  <w:tcW w:w="1037" w:type="dxa"/>
                  <w:tcBorders>
                    <w:tl2br w:val="nil"/>
                    <w:tr2bl w:val="nil"/>
                  </w:tcBorders>
                  <w:vAlign w:val="center"/>
                </w:tcPr>
                <w:p w14:paraId="3F88F2C9">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721" w:type="dxa"/>
                  <w:vMerge w:val="continue"/>
                  <w:tcBorders>
                    <w:tl2br w:val="nil"/>
                    <w:tr2bl w:val="nil"/>
                  </w:tcBorders>
                  <w:vAlign w:val="center"/>
                </w:tcPr>
                <w:p w14:paraId="7E129BDB">
                  <w:pPr>
                    <w:bidi w:val="0"/>
                    <w:jc w:val="center"/>
                    <w:rPr>
                      <w:rFonts w:hint="eastAsia" w:cs="Times New Roman"/>
                      <w:color w:val="auto"/>
                      <w:sz w:val="18"/>
                      <w:szCs w:val="18"/>
                      <w:lang w:eastAsia="zh-CN"/>
                    </w:rPr>
                  </w:pPr>
                </w:p>
              </w:tc>
            </w:tr>
            <w:tr w14:paraId="4551FC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81" w:type="dxa"/>
                  <w:vMerge w:val="continue"/>
                  <w:tcBorders>
                    <w:tl2br w:val="nil"/>
                    <w:tr2bl w:val="nil"/>
                  </w:tcBorders>
                  <w:vAlign w:val="center"/>
                </w:tcPr>
                <w:p w14:paraId="2F70CF20">
                  <w:pPr>
                    <w:bidi w:val="0"/>
                    <w:jc w:val="center"/>
                    <w:rPr>
                      <w:rFonts w:hint="eastAsia" w:cs="Times New Roman"/>
                      <w:color w:val="auto"/>
                      <w:sz w:val="18"/>
                      <w:szCs w:val="18"/>
                      <w:lang w:eastAsia="zh-CN"/>
                    </w:rPr>
                  </w:pPr>
                </w:p>
              </w:tc>
              <w:tc>
                <w:tcPr>
                  <w:tcW w:w="667" w:type="dxa"/>
                  <w:tcBorders>
                    <w:tl2br w:val="nil"/>
                    <w:tr2bl w:val="nil"/>
                  </w:tcBorders>
                  <w:vAlign w:val="center"/>
                </w:tcPr>
                <w:p w14:paraId="44DD1197">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W5</w:t>
                  </w:r>
                </w:p>
              </w:tc>
              <w:tc>
                <w:tcPr>
                  <w:tcW w:w="1412" w:type="dxa"/>
                  <w:tcBorders>
                    <w:tl2br w:val="nil"/>
                    <w:tr2bl w:val="nil"/>
                  </w:tcBorders>
                  <w:vAlign w:val="center"/>
                </w:tcPr>
                <w:p w14:paraId="164174EE">
                  <w:pPr>
                    <w:bidi w:val="0"/>
                    <w:jc w:val="center"/>
                    <w:rPr>
                      <w:rFonts w:hint="eastAsia" w:cs="Times New Roman"/>
                      <w:color w:val="auto"/>
                      <w:sz w:val="18"/>
                      <w:szCs w:val="18"/>
                      <w:lang w:eastAsia="zh-CN"/>
                    </w:rPr>
                  </w:pPr>
                  <w:r>
                    <w:rPr>
                      <w:rFonts w:hint="eastAsia" w:cs="Times New Roman"/>
                      <w:color w:val="auto"/>
                      <w:sz w:val="18"/>
                      <w:szCs w:val="18"/>
                      <w:lang w:eastAsia="zh-CN"/>
                    </w:rPr>
                    <w:t>一次分选</w:t>
                  </w:r>
                </w:p>
              </w:tc>
              <w:tc>
                <w:tcPr>
                  <w:tcW w:w="1738" w:type="dxa"/>
                  <w:tcBorders>
                    <w:tl2br w:val="nil"/>
                    <w:tr2bl w:val="nil"/>
                  </w:tcBorders>
                  <w:vAlign w:val="center"/>
                </w:tcPr>
                <w:p w14:paraId="2B69AF5D">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pH、COD、SS</w:t>
                  </w:r>
                </w:p>
              </w:tc>
              <w:tc>
                <w:tcPr>
                  <w:tcW w:w="1037" w:type="dxa"/>
                  <w:tcBorders>
                    <w:tl2br w:val="nil"/>
                    <w:tr2bl w:val="nil"/>
                  </w:tcBorders>
                  <w:vAlign w:val="center"/>
                </w:tcPr>
                <w:p w14:paraId="04C5406A">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721" w:type="dxa"/>
                  <w:vMerge w:val="continue"/>
                  <w:tcBorders>
                    <w:tl2br w:val="nil"/>
                    <w:tr2bl w:val="nil"/>
                  </w:tcBorders>
                  <w:vAlign w:val="center"/>
                </w:tcPr>
                <w:p w14:paraId="6AD5612F">
                  <w:pPr>
                    <w:bidi w:val="0"/>
                    <w:jc w:val="center"/>
                    <w:rPr>
                      <w:rFonts w:hint="eastAsia" w:cs="Times New Roman"/>
                      <w:color w:val="auto"/>
                      <w:sz w:val="18"/>
                      <w:szCs w:val="18"/>
                      <w:lang w:eastAsia="zh-CN"/>
                    </w:rPr>
                  </w:pPr>
                </w:p>
              </w:tc>
            </w:tr>
            <w:tr w14:paraId="4ECE7F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81" w:type="dxa"/>
                  <w:vMerge w:val="continue"/>
                  <w:tcBorders>
                    <w:tl2br w:val="nil"/>
                    <w:tr2bl w:val="nil"/>
                  </w:tcBorders>
                  <w:vAlign w:val="center"/>
                </w:tcPr>
                <w:p w14:paraId="10234859">
                  <w:pPr>
                    <w:bidi w:val="0"/>
                    <w:jc w:val="center"/>
                    <w:rPr>
                      <w:rFonts w:hint="eastAsia" w:cs="Times New Roman"/>
                      <w:color w:val="auto"/>
                      <w:sz w:val="18"/>
                      <w:szCs w:val="18"/>
                      <w:lang w:eastAsia="zh-CN"/>
                    </w:rPr>
                  </w:pPr>
                </w:p>
              </w:tc>
              <w:tc>
                <w:tcPr>
                  <w:tcW w:w="667" w:type="dxa"/>
                  <w:tcBorders>
                    <w:tl2br w:val="nil"/>
                    <w:tr2bl w:val="nil"/>
                  </w:tcBorders>
                  <w:vAlign w:val="center"/>
                </w:tcPr>
                <w:p w14:paraId="006410E5">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W6</w:t>
                  </w:r>
                </w:p>
              </w:tc>
              <w:tc>
                <w:tcPr>
                  <w:tcW w:w="1412" w:type="dxa"/>
                  <w:tcBorders>
                    <w:tl2br w:val="nil"/>
                    <w:tr2bl w:val="nil"/>
                  </w:tcBorders>
                  <w:vAlign w:val="center"/>
                </w:tcPr>
                <w:p w14:paraId="288A8839">
                  <w:pPr>
                    <w:bidi w:val="0"/>
                    <w:jc w:val="center"/>
                    <w:rPr>
                      <w:rFonts w:hint="eastAsia" w:cs="Times New Roman"/>
                      <w:color w:val="auto"/>
                      <w:sz w:val="18"/>
                      <w:szCs w:val="18"/>
                      <w:lang w:eastAsia="zh-CN"/>
                    </w:rPr>
                  </w:pPr>
                  <w:r>
                    <w:rPr>
                      <w:rFonts w:hint="eastAsia" w:cs="Times New Roman"/>
                      <w:color w:val="auto"/>
                      <w:sz w:val="18"/>
                      <w:szCs w:val="18"/>
                      <w:lang w:eastAsia="zh-CN"/>
                    </w:rPr>
                    <w:t>二次分选</w:t>
                  </w:r>
                </w:p>
              </w:tc>
              <w:tc>
                <w:tcPr>
                  <w:tcW w:w="1738" w:type="dxa"/>
                  <w:tcBorders>
                    <w:tl2br w:val="nil"/>
                    <w:tr2bl w:val="nil"/>
                  </w:tcBorders>
                  <w:vAlign w:val="center"/>
                </w:tcPr>
                <w:p w14:paraId="74B899A2">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pH、COD、SS</w:t>
                  </w:r>
                </w:p>
              </w:tc>
              <w:tc>
                <w:tcPr>
                  <w:tcW w:w="1037" w:type="dxa"/>
                  <w:tcBorders>
                    <w:tl2br w:val="nil"/>
                    <w:tr2bl w:val="nil"/>
                  </w:tcBorders>
                  <w:vAlign w:val="center"/>
                </w:tcPr>
                <w:p w14:paraId="7EB30BE5">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721" w:type="dxa"/>
                  <w:vMerge w:val="continue"/>
                  <w:tcBorders>
                    <w:tl2br w:val="nil"/>
                    <w:tr2bl w:val="nil"/>
                  </w:tcBorders>
                  <w:vAlign w:val="center"/>
                </w:tcPr>
                <w:p w14:paraId="11E70C15">
                  <w:pPr>
                    <w:bidi w:val="0"/>
                    <w:jc w:val="center"/>
                    <w:rPr>
                      <w:rFonts w:hint="eastAsia" w:cs="Times New Roman"/>
                      <w:color w:val="auto"/>
                      <w:sz w:val="18"/>
                      <w:szCs w:val="18"/>
                      <w:lang w:eastAsia="zh-CN"/>
                    </w:rPr>
                  </w:pPr>
                </w:p>
              </w:tc>
            </w:tr>
            <w:tr w14:paraId="4BE2CD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81" w:type="dxa"/>
                  <w:vMerge w:val="continue"/>
                  <w:tcBorders>
                    <w:tl2br w:val="nil"/>
                    <w:tr2bl w:val="nil"/>
                  </w:tcBorders>
                  <w:vAlign w:val="center"/>
                </w:tcPr>
                <w:p w14:paraId="6553E78E">
                  <w:pPr>
                    <w:bidi w:val="0"/>
                    <w:jc w:val="center"/>
                    <w:rPr>
                      <w:rFonts w:hint="eastAsia" w:cs="Times New Roman"/>
                      <w:color w:val="auto"/>
                      <w:sz w:val="18"/>
                      <w:szCs w:val="18"/>
                      <w:lang w:eastAsia="zh-CN"/>
                    </w:rPr>
                  </w:pPr>
                </w:p>
              </w:tc>
              <w:tc>
                <w:tcPr>
                  <w:tcW w:w="667" w:type="dxa"/>
                  <w:tcBorders>
                    <w:tl2br w:val="nil"/>
                    <w:tr2bl w:val="nil"/>
                  </w:tcBorders>
                  <w:vAlign w:val="center"/>
                </w:tcPr>
                <w:p w14:paraId="3E870D2C">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W7</w:t>
                  </w:r>
                </w:p>
              </w:tc>
              <w:tc>
                <w:tcPr>
                  <w:tcW w:w="1412" w:type="dxa"/>
                  <w:tcBorders>
                    <w:tl2br w:val="nil"/>
                    <w:tr2bl w:val="nil"/>
                  </w:tcBorders>
                  <w:vAlign w:val="center"/>
                </w:tcPr>
                <w:p w14:paraId="7EB86184">
                  <w:pPr>
                    <w:bidi w:val="0"/>
                    <w:jc w:val="center"/>
                    <w:rPr>
                      <w:rFonts w:hint="eastAsia" w:cs="Times New Roman"/>
                      <w:color w:val="auto"/>
                      <w:sz w:val="18"/>
                      <w:szCs w:val="18"/>
                      <w:lang w:eastAsia="zh-CN"/>
                    </w:rPr>
                  </w:pPr>
                  <w:r>
                    <w:rPr>
                      <w:rFonts w:hint="eastAsia" w:cs="Times New Roman"/>
                      <w:color w:val="auto"/>
                      <w:sz w:val="18"/>
                      <w:szCs w:val="18"/>
                      <w:lang w:eastAsia="zh-CN"/>
                    </w:rPr>
                    <w:t>员工生活</w:t>
                  </w:r>
                </w:p>
              </w:tc>
              <w:tc>
                <w:tcPr>
                  <w:tcW w:w="1738" w:type="dxa"/>
                  <w:tcBorders>
                    <w:tl2br w:val="nil"/>
                    <w:tr2bl w:val="nil"/>
                  </w:tcBorders>
                  <w:vAlign w:val="center"/>
                </w:tcPr>
                <w:p w14:paraId="0C3B943F">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COD、SS、NH</w:t>
                  </w:r>
                  <w:r>
                    <w:rPr>
                      <w:rFonts w:hint="eastAsia" w:cs="Times New Roman"/>
                      <w:color w:val="auto"/>
                      <w:sz w:val="18"/>
                      <w:szCs w:val="18"/>
                      <w:vertAlign w:val="subscript"/>
                      <w:lang w:val="en-US" w:eastAsia="zh-CN"/>
                    </w:rPr>
                    <w:t>3</w:t>
                  </w:r>
                  <w:r>
                    <w:rPr>
                      <w:rFonts w:hint="eastAsia" w:cs="Times New Roman"/>
                      <w:color w:val="auto"/>
                      <w:sz w:val="18"/>
                      <w:szCs w:val="18"/>
                      <w:lang w:val="en-US" w:eastAsia="zh-CN"/>
                    </w:rPr>
                    <w:t>-N、TP、TN</w:t>
                  </w:r>
                </w:p>
              </w:tc>
              <w:tc>
                <w:tcPr>
                  <w:tcW w:w="1037" w:type="dxa"/>
                  <w:tcBorders>
                    <w:tl2br w:val="nil"/>
                    <w:tr2bl w:val="nil"/>
                  </w:tcBorders>
                  <w:vAlign w:val="center"/>
                </w:tcPr>
                <w:p w14:paraId="6CFFD934">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721" w:type="dxa"/>
                  <w:tcBorders>
                    <w:tl2br w:val="nil"/>
                    <w:tr2bl w:val="nil"/>
                  </w:tcBorders>
                  <w:vAlign w:val="center"/>
                </w:tcPr>
                <w:p w14:paraId="338D38A9">
                  <w:pPr>
                    <w:bidi w:val="0"/>
                    <w:jc w:val="center"/>
                    <w:rPr>
                      <w:rFonts w:hint="eastAsia" w:cs="Times New Roman"/>
                      <w:color w:val="auto"/>
                      <w:sz w:val="18"/>
                      <w:szCs w:val="18"/>
                      <w:lang w:eastAsia="zh-CN"/>
                    </w:rPr>
                  </w:pPr>
                  <w:r>
                    <w:rPr>
                      <w:rFonts w:hint="eastAsia" w:cs="Times New Roman"/>
                      <w:color w:val="auto"/>
                      <w:sz w:val="18"/>
                      <w:szCs w:val="18"/>
                      <w:lang w:eastAsia="zh-CN"/>
                    </w:rPr>
                    <w:t>化粪池处理后排入联合水务（启东）有限公司</w:t>
                  </w:r>
                </w:p>
              </w:tc>
            </w:tr>
            <w:tr w14:paraId="657E67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81" w:type="dxa"/>
                  <w:vMerge w:val="continue"/>
                  <w:tcBorders>
                    <w:tl2br w:val="nil"/>
                    <w:tr2bl w:val="nil"/>
                  </w:tcBorders>
                  <w:vAlign w:val="center"/>
                </w:tcPr>
                <w:p w14:paraId="5259BA4A">
                  <w:pPr>
                    <w:bidi w:val="0"/>
                    <w:jc w:val="center"/>
                    <w:rPr>
                      <w:rFonts w:hint="eastAsia" w:cs="Times New Roman"/>
                      <w:color w:val="auto"/>
                      <w:sz w:val="18"/>
                      <w:szCs w:val="18"/>
                      <w:lang w:eastAsia="zh-CN"/>
                    </w:rPr>
                  </w:pPr>
                </w:p>
              </w:tc>
              <w:tc>
                <w:tcPr>
                  <w:tcW w:w="667" w:type="dxa"/>
                  <w:tcBorders>
                    <w:tl2br w:val="nil"/>
                    <w:tr2bl w:val="nil"/>
                  </w:tcBorders>
                  <w:vAlign w:val="center"/>
                </w:tcPr>
                <w:p w14:paraId="2D6F9D5F">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W8</w:t>
                  </w:r>
                </w:p>
              </w:tc>
              <w:tc>
                <w:tcPr>
                  <w:tcW w:w="1412" w:type="dxa"/>
                  <w:tcBorders>
                    <w:tl2br w:val="nil"/>
                    <w:tr2bl w:val="nil"/>
                  </w:tcBorders>
                  <w:vAlign w:val="center"/>
                </w:tcPr>
                <w:p w14:paraId="419718C4">
                  <w:pPr>
                    <w:bidi w:val="0"/>
                    <w:jc w:val="center"/>
                    <w:rPr>
                      <w:rFonts w:hint="eastAsia" w:cs="Times New Roman"/>
                      <w:color w:val="auto"/>
                      <w:sz w:val="18"/>
                      <w:szCs w:val="18"/>
                      <w:lang w:eastAsia="zh-CN"/>
                    </w:rPr>
                  </w:pPr>
                  <w:r>
                    <w:rPr>
                      <w:rFonts w:hint="eastAsia" w:cs="Times New Roman"/>
                      <w:color w:val="auto"/>
                      <w:sz w:val="18"/>
                      <w:szCs w:val="18"/>
                      <w:lang w:eastAsia="zh-CN"/>
                    </w:rPr>
                    <w:t>食堂</w:t>
                  </w:r>
                </w:p>
              </w:tc>
              <w:tc>
                <w:tcPr>
                  <w:tcW w:w="1738" w:type="dxa"/>
                  <w:tcBorders>
                    <w:tl2br w:val="nil"/>
                    <w:tr2bl w:val="nil"/>
                  </w:tcBorders>
                  <w:vAlign w:val="center"/>
                </w:tcPr>
                <w:p w14:paraId="0097CB2D">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COD、SS、NH</w:t>
                  </w:r>
                  <w:r>
                    <w:rPr>
                      <w:rFonts w:hint="eastAsia" w:cs="Times New Roman"/>
                      <w:color w:val="auto"/>
                      <w:sz w:val="18"/>
                      <w:szCs w:val="18"/>
                      <w:vertAlign w:val="subscript"/>
                      <w:lang w:val="en-US" w:eastAsia="zh-CN"/>
                    </w:rPr>
                    <w:t>3</w:t>
                  </w:r>
                  <w:r>
                    <w:rPr>
                      <w:rFonts w:hint="eastAsia" w:cs="Times New Roman"/>
                      <w:color w:val="auto"/>
                      <w:sz w:val="18"/>
                      <w:szCs w:val="18"/>
                      <w:lang w:val="en-US" w:eastAsia="zh-CN"/>
                    </w:rPr>
                    <w:t>-N、TP、TN、动植物油</w:t>
                  </w:r>
                </w:p>
              </w:tc>
              <w:tc>
                <w:tcPr>
                  <w:tcW w:w="1037" w:type="dxa"/>
                  <w:tcBorders>
                    <w:tl2br w:val="nil"/>
                    <w:tr2bl w:val="nil"/>
                  </w:tcBorders>
                  <w:vAlign w:val="center"/>
                </w:tcPr>
                <w:p w14:paraId="1E1626C7">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721" w:type="dxa"/>
                  <w:tcBorders>
                    <w:tl2br w:val="nil"/>
                    <w:tr2bl w:val="nil"/>
                  </w:tcBorders>
                  <w:vAlign w:val="center"/>
                </w:tcPr>
                <w:p w14:paraId="26E19806">
                  <w:pPr>
                    <w:bidi w:val="0"/>
                    <w:jc w:val="center"/>
                    <w:rPr>
                      <w:rFonts w:hint="eastAsia" w:cs="Times New Roman"/>
                      <w:color w:val="auto"/>
                      <w:sz w:val="18"/>
                      <w:szCs w:val="18"/>
                      <w:lang w:eastAsia="zh-CN"/>
                    </w:rPr>
                  </w:pPr>
                  <w:r>
                    <w:rPr>
                      <w:rFonts w:hint="eastAsia" w:cs="Times New Roman"/>
                      <w:color w:val="auto"/>
                      <w:sz w:val="18"/>
                      <w:szCs w:val="18"/>
                      <w:lang w:eastAsia="zh-CN"/>
                    </w:rPr>
                    <w:t>隔油池处理后排入联合水务（启东）有限公司</w:t>
                  </w:r>
                </w:p>
              </w:tc>
            </w:tr>
            <w:tr w14:paraId="189C95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81" w:type="dxa"/>
                  <w:vMerge w:val="restart"/>
                  <w:tcBorders>
                    <w:tl2br w:val="nil"/>
                    <w:tr2bl w:val="nil"/>
                  </w:tcBorders>
                  <w:vAlign w:val="center"/>
                </w:tcPr>
                <w:p w14:paraId="6A7AD326">
                  <w:pPr>
                    <w:bidi w:val="0"/>
                    <w:jc w:val="center"/>
                    <w:rPr>
                      <w:rFonts w:hint="eastAsia" w:cs="Times New Roman"/>
                      <w:color w:val="auto"/>
                      <w:sz w:val="18"/>
                      <w:szCs w:val="18"/>
                      <w:lang w:eastAsia="zh-CN"/>
                    </w:rPr>
                  </w:pPr>
                  <w:r>
                    <w:rPr>
                      <w:rFonts w:hint="eastAsia" w:cs="Times New Roman"/>
                      <w:color w:val="auto"/>
                      <w:sz w:val="18"/>
                      <w:szCs w:val="18"/>
                      <w:lang w:eastAsia="zh-CN"/>
                    </w:rPr>
                    <w:t>固废</w:t>
                  </w:r>
                </w:p>
              </w:tc>
              <w:tc>
                <w:tcPr>
                  <w:tcW w:w="667" w:type="dxa"/>
                  <w:tcBorders>
                    <w:tl2br w:val="nil"/>
                    <w:tr2bl w:val="nil"/>
                  </w:tcBorders>
                  <w:vAlign w:val="center"/>
                </w:tcPr>
                <w:p w14:paraId="4F935C04">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S1</w:t>
                  </w:r>
                </w:p>
              </w:tc>
              <w:tc>
                <w:tcPr>
                  <w:tcW w:w="1412" w:type="dxa"/>
                  <w:tcBorders>
                    <w:tl2br w:val="nil"/>
                    <w:tr2bl w:val="nil"/>
                  </w:tcBorders>
                  <w:vAlign w:val="center"/>
                </w:tcPr>
                <w:p w14:paraId="399F1D2C">
                  <w:pPr>
                    <w:bidi w:val="0"/>
                    <w:jc w:val="center"/>
                    <w:rPr>
                      <w:rFonts w:hint="eastAsia" w:cs="Times New Roman"/>
                      <w:color w:val="auto"/>
                      <w:sz w:val="18"/>
                      <w:szCs w:val="18"/>
                      <w:lang w:eastAsia="zh-CN"/>
                    </w:rPr>
                  </w:pPr>
                  <w:r>
                    <w:rPr>
                      <w:rFonts w:hint="eastAsia" w:cs="Times New Roman"/>
                      <w:color w:val="auto"/>
                      <w:sz w:val="18"/>
                      <w:szCs w:val="18"/>
                      <w:lang w:eastAsia="zh-CN"/>
                    </w:rPr>
                    <w:t>磁选（除铁）</w:t>
                  </w:r>
                </w:p>
              </w:tc>
              <w:tc>
                <w:tcPr>
                  <w:tcW w:w="1738" w:type="dxa"/>
                  <w:tcBorders>
                    <w:tl2br w:val="nil"/>
                    <w:tr2bl w:val="nil"/>
                  </w:tcBorders>
                  <w:vAlign w:val="center"/>
                </w:tcPr>
                <w:p w14:paraId="1AAA5869">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废金属料</w:t>
                  </w:r>
                </w:p>
              </w:tc>
              <w:tc>
                <w:tcPr>
                  <w:tcW w:w="1037" w:type="dxa"/>
                  <w:tcBorders>
                    <w:tl2br w:val="nil"/>
                    <w:tr2bl w:val="nil"/>
                  </w:tcBorders>
                  <w:vAlign w:val="center"/>
                </w:tcPr>
                <w:p w14:paraId="531E60F6">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721" w:type="dxa"/>
                  <w:tcBorders>
                    <w:tl2br w:val="nil"/>
                    <w:tr2bl w:val="nil"/>
                  </w:tcBorders>
                  <w:vAlign w:val="center"/>
                </w:tcPr>
                <w:p w14:paraId="5324EABA">
                  <w:pPr>
                    <w:bidi w:val="0"/>
                    <w:jc w:val="center"/>
                    <w:rPr>
                      <w:rFonts w:hint="eastAsia" w:cs="Times New Roman"/>
                      <w:color w:val="auto"/>
                      <w:sz w:val="18"/>
                      <w:szCs w:val="18"/>
                      <w:lang w:eastAsia="zh-CN"/>
                    </w:rPr>
                  </w:pPr>
                  <w:r>
                    <w:rPr>
                      <w:rFonts w:hint="eastAsia" w:cs="Times New Roman"/>
                      <w:color w:val="auto"/>
                      <w:sz w:val="18"/>
                      <w:szCs w:val="18"/>
                      <w:lang w:eastAsia="zh-CN"/>
                    </w:rPr>
                    <w:t>外售</w:t>
                  </w:r>
                </w:p>
              </w:tc>
            </w:tr>
            <w:tr w14:paraId="59820F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81" w:type="dxa"/>
                  <w:vMerge w:val="continue"/>
                  <w:tcBorders>
                    <w:tl2br w:val="nil"/>
                    <w:tr2bl w:val="nil"/>
                  </w:tcBorders>
                  <w:vAlign w:val="center"/>
                </w:tcPr>
                <w:p w14:paraId="762A23EB">
                  <w:pPr>
                    <w:bidi w:val="0"/>
                    <w:jc w:val="center"/>
                    <w:rPr>
                      <w:rFonts w:hint="eastAsia" w:cs="Times New Roman"/>
                      <w:color w:val="auto"/>
                      <w:sz w:val="18"/>
                      <w:szCs w:val="18"/>
                      <w:lang w:eastAsia="zh-CN"/>
                    </w:rPr>
                  </w:pPr>
                </w:p>
              </w:tc>
              <w:tc>
                <w:tcPr>
                  <w:tcW w:w="667" w:type="dxa"/>
                  <w:tcBorders>
                    <w:tl2br w:val="nil"/>
                    <w:tr2bl w:val="nil"/>
                  </w:tcBorders>
                  <w:vAlign w:val="center"/>
                </w:tcPr>
                <w:p w14:paraId="13364E8A">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S2</w:t>
                  </w:r>
                </w:p>
              </w:tc>
              <w:tc>
                <w:tcPr>
                  <w:tcW w:w="1412" w:type="dxa"/>
                  <w:tcBorders>
                    <w:tl2br w:val="nil"/>
                    <w:tr2bl w:val="nil"/>
                  </w:tcBorders>
                  <w:vAlign w:val="center"/>
                </w:tcPr>
                <w:p w14:paraId="255D3279">
                  <w:pPr>
                    <w:bidi w:val="0"/>
                    <w:jc w:val="center"/>
                    <w:rPr>
                      <w:rFonts w:hint="eastAsia" w:cs="Times New Roman"/>
                      <w:color w:val="auto"/>
                      <w:sz w:val="18"/>
                      <w:szCs w:val="18"/>
                      <w:lang w:eastAsia="zh-CN"/>
                    </w:rPr>
                  </w:pPr>
                  <w:r>
                    <w:rPr>
                      <w:rFonts w:hint="eastAsia" w:cs="Times New Roman"/>
                      <w:color w:val="auto"/>
                      <w:sz w:val="18"/>
                      <w:szCs w:val="18"/>
                      <w:lang w:eastAsia="zh-CN"/>
                    </w:rPr>
                    <w:t>磁选（除铁）</w:t>
                  </w:r>
                </w:p>
              </w:tc>
              <w:tc>
                <w:tcPr>
                  <w:tcW w:w="1738" w:type="dxa"/>
                  <w:tcBorders>
                    <w:tl2br w:val="nil"/>
                    <w:tr2bl w:val="nil"/>
                  </w:tcBorders>
                  <w:vAlign w:val="center"/>
                </w:tcPr>
                <w:p w14:paraId="5180036B">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废金属料</w:t>
                  </w:r>
                </w:p>
              </w:tc>
              <w:tc>
                <w:tcPr>
                  <w:tcW w:w="1037" w:type="dxa"/>
                  <w:tcBorders>
                    <w:tl2br w:val="nil"/>
                    <w:tr2bl w:val="nil"/>
                  </w:tcBorders>
                  <w:vAlign w:val="center"/>
                </w:tcPr>
                <w:p w14:paraId="09945B21">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721" w:type="dxa"/>
                  <w:tcBorders>
                    <w:tl2br w:val="nil"/>
                    <w:tr2bl w:val="nil"/>
                  </w:tcBorders>
                  <w:vAlign w:val="center"/>
                </w:tcPr>
                <w:p w14:paraId="65BC87AF">
                  <w:pPr>
                    <w:bidi w:val="0"/>
                    <w:jc w:val="center"/>
                    <w:rPr>
                      <w:rFonts w:hint="eastAsia" w:cs="Times New Roman"/>
                      <w:color w:val="auto"/>
                      <w:sz w:val="18"/>
                      <w:szCs w:val="18"/>
                      <w:lang w:eastAsia="zh-CN"/>
                    </w:rPr>
                  </w:pPr>
                  <w:r>
                    <w:rPr>
                      <w:rFonts w:hint="eastAsia" w:cs="Times New Roman"/>
                      <w:color w:val="auto"/>
                      <w:sz w:val="18"/>
                      <w:szCs w:val="18"/>
                      <w:lang w:eastAsia="zh-CN"/>
                    </w:rPr>
                    <w:t>外售</w:t>
                  </w:r>
                </w:p>
              </w:tc>
            </w:tr>
            <w:tr w14:paraId="255F2F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1" w:type="dxa"/>
                  <w:vMerge w:val="continue"/>
                  <w:tcBorders>
                    <w:tl2br w:val="nil"/>
                    <w:tr2bl w:val="nil"/>
                  </w:tcBorders>
                  <w:vAlign w:val="center"/>
                </w:tcPr>
                <w:p w14:paraId="443FB6E1">
                  <w:pPr>
                    <w:bidi w:val="0"/>
                    <w:jc w:val="center"/>
                    <w:rPr>
                      <w:rFonts w:hint="eastAsia" w:cs="Times New Roman"/>
                      <w:color w:val="auto"/>
                      <w:sz w:val="18"/>
                      <w:szCs w:val="18"/>
                      <w:lang w:eastAsia="zh-CN"/>
                    </w:rPr>
                  </w:pPr>
                </w:p>
              </w:tc>
              <w:tc>
                <w:tcPr>
                  <w:tcW w:w="667" w:type="dxa"/>
                  <w:tcBorders>
                    <w:tl2br w:val="nil"/>
                    <w:tr2bl w:val="nil"/>
                  </w:tcBorders>
                  <w:vAlign w:val="center"/>
                </w:tcPr>
                <w:p w14:paraId="2D5B51DD">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S3</w:t>
                  </w:r>
                </w:p>
              </w:tc>
              <w:tc>
                <w:tcPr>
                  <w:tcW w:w="1412" w:type="dxa"/>
                  <w:tcBorders>
                    <w:tl2br w:val="nil"/>
                    <w:tr2bl w:val="nil"/>
                  </w:tcBorders>
                  <w:vAlign w:val="center"/>
                </w:tcPr>
                <w:p w14:paraId="50E2DCB8">
                  <w:pPr>
                    <w:bidi w:val="0"/>
                    <w:jc w:val="center"/>
                    <w:rPr>
                      <w:rFonts w:hint="eastAsia" w:cs="Times New Roman"/>
                      <w:color w:val="auto"/>
                      <w:sz w:val="18"/>
                      <w:szCs w:val="18"/>
                      <w:lang w:eastAsia="zh-CN"/>
                    </w:rPr>
                  </w:pPr>
                  <w:r>
                    <w:rPr>
                      <w:rFonts w:hint="eastAsia" w:cs="Times New Roman"/>
                      <w:color w:val="auto"/>
                      <w:sz w:val="18"/>
                      <w:szCs w:val="18"/>
                      <w:lang w:eastAsia="zh-CN"/>
                    </w:rPr>
                    <w:t>精选</w:t>
                  </w:r>
                </w:p>
              </w:tc>
              <w:tc>
                <w:tcPr>
                  <w:tcW w:w="1738" w:type="dxa"/>
                  <w:tcBorders>
                    <w:tl2br w:val="nil"/>
                    <w:tr2bl w:val="nil"/>
                  </w:tcBorders>
                  <w:vAlign w:val="center"/>
                </w:tcPr>
                <w:p w14:paraId="6A89FC66">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废金属料</w:t>
                  </w:r>
                </w:p>
              </w:tc>
              <w:tc>
                <w:tcPr>
                  <w:tcW w:w="1037" w:type="dxa"/>
                  <w:tcBorders>
                    <w:tl2br w:val="nil"/>
                    <w:tr2bl w:val="nil"/>
                  </w:tcBorders>
                  <w:vAlign w:val="center"/>
                </w:tcPr>
                <w:p w14:paraId="2EEE7938">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721" w:type="dxa"/>
                  <w:tcBorders>
                    <w:tl2br w:val="nil"/>
                    <w:tr2bl w:val="nil"/>
                  </w:tcBorders>
                  <w:vAlign w:val="center"/>
                </w:tcPr>
                <w:p w14:paraId="3C8DDF2E">
                  <w:pPr>
                    <w:bidi w:val="0"/>
                    <w:jc w:val="center"/>
                    <w:rPr>
                      <w:rFonts w:hint="eastAsia" w:cs="Times New Roman"/>
                      <w:color w:val="auto"/>
                      <w:sz w:val="18"/>
                      <w:szCs w:val="18"/>
                      <w:lang w:eastAsia="zh-CN"/>
                    </w:rPr>
                  </w:pPr>
                  <w:r>
                    <w:rPr>
                      <w:rFonts w:hint="eastAsia" w:cs="Times New Roman"/>
                      <w:color w:val="auto"/>
                      <w:sz w:val="18"/>
                      <w:szCs w:val="18"/>
                      <w:lang w:eastAsia="zh-CN"/>
                    </w:rPr>
                    <w:t>外售</w:t>
                  </w:r>
                </w:p>
              </w:tc>
            </w:tr>
            <w:tr w14:paraId="640A3E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1" w:type="dxa"/>
                  <w:vMerge w:val="continue"/>
                  <w:tcBorders>
                    <w:tl2br w:val="nil"/>
                    <w:tr2bl w:val="nil"/>
                  </w:tcBorders>
                  <w:vAlign w:val="center"/>
                </w:tcPr>
                <w:p w14:paraId="04CFDE42">
                  <w:pPr>
                    <w:bidi w:val="0"/>
                    <w:jc w:val="center"/>
                    <w:rPr>
                      <w:rFonts w:hint="eastAsia" w:cs="Times New Roman"/>
                      <w:color w:val="auto"/>
                      <w:sz w:val="18"/>
                      <w:szCs w:val="18"/>
                      <w:lang w:eastAsia="zh-CN"/>
                    </w:rPr>
                  </w:pPr>
                </w:p>
              </w:tc>
              <w:tc>
                <w:tcPr>
                  <w:tcW w:w="667" w:type="dxa"/>
                  <w:tcBorders>
                    <w:tl2br w:val="nil"/>
                    <w:tr2bl w:val="nil"/>
                  </w:tcBorders>
                  <w:vAlign w:val="center"/>
                </w:tcPr>
                <w:p w14:paraId="2DD1F9E7">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S4</w:t>
                  </w:r>
                </w:p>
              </w:tc>
              <w:tc>
                <w:tcPr>
                  <w:tcW w:w="1412" w:type="dxa"/>
                  <w:tcBorders>
                    <w:tl2br w:val="nil"/>
                    <w:tr2bl w:val="nil"/>
                  </w:tcBorders>
                  <w:vAlign w:val="center"/>
                </w:tcPr>
                <w:p w14:paraId="7AC08F8E">
                  <w:pPr>
                    <w:bidi w:val="0"/>
                    <w:jc w:val="center"/>
                    <w:rPr>
                      <w:rFonts w:hint="eastAsia" w:cs="Times New Roman"/>
                      <w:color w:val="auto"/>
                      <w:sz w:val="18"/>
                      <w:szCs w:val="18"/>
                      <w:lang w:eastAsia="zh-CN"/>
                    </w:rPr>
                  </w:pPr>
                  <w:r>
                    <w:rPr>
                      <w:rFonts w:hint="eastAsia" w:cs="Times New Roman"/>
                      <w:color w:val="auto"/>
                      <w:sz w:val="18"/>
                      <w:szCs w:val="18"/>
                      <w:lang w:val="en-US" w:eastAsia="zh-CN"/>
                    </w:rPr>
                    <w:t>摇床1</w:t>
                  </w:r>
                </w:p>
              </w:tc>
              <w:tc>
                <w:tcPr>
                  <w:tcW w:w="1738" w:type="dxa"/>
                  <w:tcBorders>
                    <w:tl2br w:val="nil"/>
                    <w:tr2bl w:val="nil"/>
                  </w:tcBorders>
                  <w:vAlign w:val="center"/>
                </w:tcPr>
                <w:p w14:paraId="4D740A3F">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废金属料</w:t>
                  </w:r>
                </w:p>
              </w:tc>
              <w:tc>
                <w:tcPr>
                  <w:tcW w:w="1037" w:type="dxa"/>
                  <w:tcBorders>
                    <w:tl2br w:val="nil"/>
                    <w:tr2bl w:val="nil"/>
                  </w:tcBorders>
                  <w:vAlign w:val="center"/>
                </w:tcPr>
                <w:p w14:paraId="54A561FB">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721" w:type="dxa"/>
                  <w:tcBorders>
                    <w:tl2br w:val="nil"/>
                    <w:tr2bl w:val="nil"/>
                  </w:tcBorders>
                  <w:vAlign w:val="center"/>
                </w:tcPr>
                <w:p w14:paraId="61BA7470">
                  <w:pPr>
                    <w:bidi w:val="0"/>
                    <w:jc w:val="center"/>
                    <w:rPr>
                      <w:rFonts w:hint="eastAsia" w:cs="Times New Roman"/>
                      <w:color w:val="auto"/>
                      <w:sz w:val="18"/>
                      <w:szCs w:val="18"/>
                      <w:lang w:eastAsia="zh-CN"/>
                    </w:rPr>
                  </w:pPr>
                  <w:r>
                    <w:rPr>
                      <w:rFonts w:hint="eastAsia" w:cs="Times New Roman"/>
                      <w:color w:val="auto"/>
                      <w:sz w:val="18"/>
                      <w:szCs w:val="18"/>
                      <w:lang w:eastAsia="zh-CN"/>
                    </w:rPr>
                    <w:t>外售</w:t>
                  </w:r>
                </w:p>
              </w:tc>
            </w:tr>
            <w:tr w14:paraId="37DDF0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1" w:type="dxa"/>
                  <w:vMerge w:val="continue"/>
                  <w:tcBorders>
                    <w:tl2br w:val="nil"/>
                    <w:tr2bl w:val="nil"/>
                  </w:tcBorders>
                  <w:vAlign w:val="center"/>
                </w:tcPr>
                <w:p w14:paraId="4249A05D">
                  <w:pPr>
                    <w:bidi w:val="0"/>
                    <w:jc w:val="center"/>
                    <w:rPr>
                      <w:rFonts w:hint="eastAsia" w:cs="Times New Roman"/>
                      <w:color w:val="auto"/>
                      <w:sz w:val="18"/>
                      <w:szCs w:val="18"/>
                      <w:lang w:eastAsia="zh-CN"/>
                    </w:rPr>
                  </w:pPr>
                </w:p>
              </w:tc>
              <w:tc>
                <w:tcPr>
                  <w:tcW w:w="667" w:type="dxa"/>
                  <w:tcBorders>
                    <w:tl2br w:val="nil"/>
                    <w:tr2bl w:val="nil"/>
                  </w:tcBorders>
                  <w:vAlign w:val="center"/>
                </w:tcPr>
                <w:p w14:paraId="44312013">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S5</w:t>
                  </w:r>
                </w:p>
              </w:tc>
              <w:tc>
                <w:tcPr>
                  <w:tcW w:w="1412" w:type="dxa"/>
                  <w:tcBorders>
                    <w:tl2br w:val="nil"/>
                    <w:tr2bl w:val="nil"/>
                  </w:tcBorders>
                  <w:vAlign w:val="center"/>
                </w:tcPr>
                <w:p w14:paraId="44291CEE">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摇床2</w:t>
                  </w:r>
                </w:p>
              </w:tc>
              <w:tc>
                <w:tcPr>
                  <w:tcW w:w="1738" w:type="dxa"/>
                  <w:tcBorders>
                    <w:tl2br w:val="nil"/>
                    <w:tr2bl w:val="nil"/>
                  </w:tcBorders>
                  <w:vAlign w:val="center"/>
                </w:tcPr>
                <w:p w14:paraId="01C1CE8E">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废金属料</w:t>
                  </w:r>
                </w:p>
              </w:tc>
              <w:tc>
                <w:tcPr>
                  <w:tcW w:w="1037" w:type="dxa"/>
                  <w:tcBorders>
                    <w:tl2br w:val="nil"/>
                    <w:tr2bl w:val="nil"/>
                  </w:tcBorders>
                  <w:vAlign w:val="center"/>
                </w:tcPr>
                <w:p w14:paraId="785B47F4">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721" w:type="dxa"/>
                  <w:tcBorders>
                    <w:tl2br w:val="nil"/>
                    <w:tr2bl w:val="nil"/>
                  </w:tcBorders>
                  <w:vAlign w:val="center"/>
                </w:tcPr>
                <w:p w14:paraId="6652F1A0">
                  <w:pPr>
                    <w:bidi w:val="0"/>
                    <w:jc w:val="center"/>
                    <w:rPr>
                      <w:rFonts w:hint="eastAsia" w:cs="Times New Roman"/>
                      <w:color w:val="auto"/>
                      <w:sz w:val="18"/>
                      <w:szCs w:val="18"/>
                      <w:lang w:eastAsia="zh-CN"/>
                    </w:rPr>
                  </w:pPr>
                  <w:r>
                    <w:rPr>
                      <w:rFonts w:hint="eastAsia" w:cs="Times New Roman"/>
                      <w:color w:val="auto"/>
                      <w:sz w:val="18"/>
                      <w:szCs w:val="18"/>
                      <w:lang w:eastAsia="zh-CN"/>
                    </w:rPr>
                    <w:t>外售</w:t>
                  </w:r>
                </w:p>
              </w:tc>
            </w:tr>
            <w:tr w14:paraId="73EDD1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1" w:type="dxa"/>
                  <w:vMerge w:val="continue"/>
                  <w:tcBorders>
                    <w:tl2br w:val="nil"/>
                    <w:tr2bl w:val="nil"/>
                  </w:tcBorders>
                  <w:vAlign w:val="center"/>
                </w:tcPr>
                <w:p w14:paraId="473D85B4">
                  <w:pPr>
                    <w:bidi w:val="0"/>
                    <w:jc w:val="center"/>
                    <w:rPr>
                      <w:rFonts w:hint="eastAsia" w:cs="Times New Roman"/>
                      <w:color w:val="auto"/>
                      <w:sz w:val="18"/>
                      <w:szCs w:val="18"/>
                      <w:lang w:eastAsia="zh-CN"/>
                    </w:rPr>
                  </w:pPr>
                </w:p>
              </w:tc>
              <w:tc>
                <w:tcPr>
                  <w:tcW w:w="667" w:type="dxa"/>
                  <w:tcBorders>
                    <w:tl2br w:val="nil"/>
                    <w:tr2bl w:val="nil"/>
                  </w:tcBorders>
                  <w:vAlign w:val="center"/>
                </w:tcPr>
                <w:p w14:paraId="3D39D298">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S6</w:t>
                  </w:r>
                </w:p>
              </w:tc>
              <w:tc>
                <w:tcPr>
                  <w:tcW w:w="1412" w:type="dxa"/>
                  <w:tcBorders>
                    <w:tl2br w:val="nil"/>
                    <w:tr2bl w:val="nil"/>
                  </w:tcBorders>
                  <w:vAlign w:val="center"/>
                </w:tcPr>
                <w:p w14:paraId="1229CB96">
                  <w:pPr>
                    <w:bidi w:val="0"/>
                    <w:jc w:val="center"/>
                    <w:rPr>
                      <w:rFonts w:hint="default" w:cs="Times New Roman"/>
                      <w:color w:val="auto"/>
                      <w:sz w:val="18"/>
                      <w:szCs w:val="18"/>
                      <w:lang w:val="en-US" w:eastAsia="zh-CN"/>
                    </w:rPr>
                  </w:pPr>
                  <w:r>
                    <w:rPr>
                      <w:rFonts w:hint="eastAsia" w:cs="Times New Roman"/>
                      <w:color w:val="auto"/>
                      <w:sz w:val="18"/>
                      <w:szCs w:val="18"/>
                      <w:lang w:eastAsia="zh-CN"/>
                    </w:rPr>
                    <w:t>废水处理</w:t>
                  </w:r>
                </w:p>
              </w:tc>
              <w:tc>
                <w:tcPr>
                  <w:tcW w:w="1738" w:type="dxa"/>
                  <w:tcBorders>
                    <w:tl2br w:val="nil"/>
                    <w:tr2bl w:val="nil"/>
                  </w:tcBorders>
                  <w:vAlign w:val="center"/>
                </w:tcPr>
                <w:p w14:paraId="7ABB49AA">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泥饼</w:t>
                  </w:r>
                </w:p>
              </w:tc>
              <w:tc>
                <w:tcPr>
                  <w:tcW w:w="1037" w:type="dxa"/>
                  <w:tcBorders>
                    <w:tl2br w:val="nil"/>
                    <w:tr2bl w:val="nil"/>
                  </w:tcBorders>
                  <w:vAlign w:val="center"/>
                </w:tcPr>
                <w:p w14:paraId="236E4690">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721" w:type="dxa"/>
                  <w:tcBorders>
                    <w:tl2br w:val="nil"/>
                    <w:tr2bl w:val="nil"/>
                  </w:tcBorders>
                  <w:vAlign w:val="center"/>
                </w:tcPr>
                <w:p w14:paraId="351D3240">
                  <w:pPr>
                    <w:bidi w:val="0"/>
                    <w:jc w:val="center"/>
                    <w:rPr>
                      <w:rFonts w:hint="eastAsia" w:cs="Times New Roman"/>
                      <w:color w:val="auto"/>
                      <w:sz w:val="18"/>
                      <w:szCs w:val="18"/>
                      <w:lang w:eastAsia="zh-CN"/>
                    </w:rPr>
                  </w:pPr>
                  <w:r>
                    <w:rPr>
                      <w:rFonts w:hint="eastAsia" w:cs="Times New Roman"/>
                      <w:color w:val="auto"/>
                      <w:sz w:val="18"/>
                      <w:szCs w:val="18"/>
                      <w:lang w:eastAsia="zh-CN"/>
                    </w:rPr>
                    <w:t>外售</w:t>
                  </w:r>
                </w:p>
              </w:tc>
            </w:tr>
            <w:tr w14:paraId="3E649C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81" w:type="dxa"/>
                  <w:vMerge w:val="continue"/>
                  <w:tcBorders>
                    <w:tl2br w:val="nil"/>
                    <w:tr2bl w:val="nil"/>
                  </w:tcBorders>
                  <w:vAlign w:val="center"/>
                </w:tcPr>
                <w:p w14:paraId="25FBF890">
                  <w:pPr>
                    <w:bidi w:val="0"/>
                    <w:jc w:val="center"/>
                    <w:rPr>
                      <w:rFonts w:hint="eastAsia" w:cs="Times New Roman"/>
                      <w:color w:val="auto"/>
                      <w:sz w:val="18"/>
                      <w:szCs w:val="18"/>
                      <w:lang w:eastAsia="zh-CN"/>
                    </w:rPr>
                  </w:pPr>
                </w:p>
              </w:tc>
              <w:tc>
                <w:tcPr>
                  <w:tcW w:w="667" w:type="dxa"/>
                  <w:tcBorders>
                    <w:tl2br w:val="nil"/>
                    <w:tr2bl w:val="nil"/>
                  </w:tcBorders>
                  <w:vAlign w:val="center"/>
                </w:tcPr>
                <w:p w14:paraId="70D84447">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S7</w:t>
                  </w:r>
                </w:p>
              </w:tc>
              <w:tc>
                <w:tcPr>
                  <w:tcW w:w="1412" w:type="dxa"/>
                  <w:tcBorders>
                    <w:tl2br w:val="nil"/>
                    <w:tr2bl w:val="nil"/>
                  </w:tcBorders>
                  <w:vAlign w:val="center"/>
                </w:tcPr>
                <w:p w14:paraId="59A0BFA5">
                  <w:pPr>
                    <w:bidi w:val="0"/>
                    <w:jc w:val="center"/>
                    <w:rPr>
                      <w:rFonts w:hint="eastAsia" w:cs="Times New Roman"/>
                      <w:color w:val="auto"/>
                      <w:sz w:val="18"/>
                      <w:szCs w:val="18"/>
                      <w:lang w:eastAsia="zh-CN"/>
                    </w:rPr>
                  </w:pPr>
                  <w:r>
                    <w:rPr>
                      <w:rFonts w:hint="eastAsia" w:cs="Times New Roman"/>
                      <w:color w:val="auto"/>
                      <w:sz w:val="18"/>
                      <w:szCs w:val="18"/>
                      <w:lang w:eastAsia="zh-CN"/>
                    </w:rPr>
                    <w:t>员工生活</w:t>
                  </w:r>
                </w:p>
              </w:tc>
              <w:tc>
                <w:tcPr>
                  <w:tcW w:w="1738" w:type="dxa"/>
                  <w:tcBorders>
                    <w:tl2br w:val="nil"/>
                    <w:tr2bl w:val="nil"/>
                  </w:tcBorders>
                  <w:vAlign w:val="center"/>
                </w:tcPr>
                <w:p w14:paraId="58239BA9">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生活垃圾</w:t>
                  </w:r>
                </w:p>
              </w:tc>
              <w:tc>
                <w:tcPr>
                  <w:tcW w:w="1037" w:type="dxa"/>
                  <w:tcBorders>
                    <w:tl2br w:val="nil"/>
                    <w:tr2bl w:val="nil"/>
                  </w:tcBorders>
                  <w:vAlign w:val="center"/>
                </w:tcPr>
                <w:p w14:paraId="69122695">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721" w:type="dxa"/>
                  <w:tcBorders>
                    <w:tl2br w:val="nil"/>
                    <w:tr2bl w:val="nil"/>
                  </w:tcBorders>
                  <w:vAlign w:val="center"/>
                </w:tcPr>
                <w:p w14:paraId="5526E1D1">
                  <w:pPr>
                    <w:bidi w:val="0"/>
                    <w:jc w:val="center"/>
                    <w:rPr>
                      <w:rFonts w:hint="eastAsia" w:cs="Times New Roman"/>
                      <w:color w:val="auto"/>
                      <w:sz w:val="18"/>
                      <w:szCs w:val="18"/>
                      <w:lang w:eastAsia="zh-CN"/>
                    </w:rPr>
                  </w:pPr>
                  <w:r>
                    <w:rPr>
                      <w:rFonts w:hint="eastAsia" w:cs="Times New Roman"/>
                      <w:color w:val="auto"/>
                      <w:sz w:val="18"/>
                      <w:szCs w:val="18"/>
                      <w:lang w:eastAsia="zh-CN"/>
                    </w:rPr>
                    <w:t>环卫部门</w:t>
                  </w:r>
                </w:p>
              </w:tc>
            </w:tr>
            <w:tr w14:paraId="22666F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81" w:type="dxa"/>
                  <w:vMerge w:val="continue"/>
                  <w:tcBorders>
                    <w:tl2br w:val="nil"/>
                    <w:tr2bl w:val="nil"/>
                  </w:tcBorders>
                  <w:vAlign w:val="center"/>
                </w:tcPr>
                <w:p w14:paraId="43BE26A4">
                  <w:pPr>
                    <w:bidi w:val="0"/>
                    <w:jc w:val="center"/>
                    <w:rPr>
                      <w:rFonts w:hint="eastAsia" w:cs="Times New Roman"/>
                      <w:color w:val="auto"/>
                      <w:sz w:val="18"/>
                      <w:szCs w:val="18"/>
                      <w:lang w:eastAsia="zh-CN"/>
                    </w:rPr>
                  </w:pPr>
                </w:p>
              </w:tc>
              <w:tc>
                <w:tcPr>
                  <w:tcW w:w="667" w:type="dxa"/>
                  <w:tcBorders>
                    <w:tl2br w:val="nil"/>
                    <w:tr2bl w:val="nil"/>
                  </w:tcBorders>
                  <w:vAlign w:val="center"/>
                </w:tcPr>
                <w:p w14:paraId="375BACB7">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S8</w:t>
                  </w:r>
                </w:p>
              </w:tc>
              <w:tc>
                <w:tcPr>
                  <w:tcW w:w="1412" w:type="dxa"/>
                  <w:tcBorders>
                    <w:tl2br w:val="nil"/>
                    <w:tr2bl w:val="nil"/>
                  </w:tcBorders>
                  <w:vAlign w:val="center"/>
                </w:tcPr>
                <w:p w14:paraId="6FB80BA5">
                  <w:pPr>
                    <w:bidi w:val="0"/>
                    <w:jc w:val="center"/>
                    <w:rPr>
                      <w:rFonts w:hint="eastAsia" w:cs="Times New Roman"/>
                      <w:color w:val="auto"/>
                      <w:sz w:val="18"/>
                      <w:szCs w:val="18"/>
                      <w:lang w:eastAsia="zh-CN"/>
                    </w:rPr>
                  </w:pPr>
                  <w:r>
                    <w:rPr>
                      <w:rFonts w:hint="eastAsia" w:cs="Times New Roman"/>
                      <w:color w:val="auto"/>
                      <w:sz w:val="18"/>
                      <w:szCs w:val="18"/>
                      <w:lang w:eastAsia="zh-CN"/>
                    </w:rPr>
                    <w:t>转运、上料</w:t>
                  </w:r>
                </w:p>
              </w:tc>
              <w:tc>
                <w:tcPr>
                  <w:tcW w:w="1738" w:type="dxa"/>
                  <w:tcBorders>
                    <w:tl2br w:val="nil"/>
                    <w:tr2bl w:val="nil"/>
                  </w:tcBorders>
                  <w:vAlign w:val="center"/>
                </w:tcPr>
                <w:p w14:paraId="02481325">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未燃尽的生活垃圾</w:t>
                  </w:r>
                </w:p>
              </w:tc>
              <w:tc>
                <w:tcPr>
                  <w:tcW w:w="1037" w:type="dxa"/>
                  <w:tcBorders>
                    <w:tl2br w:val="nil"/>
                    <w:tr2bl w:val="nil"/>
                  </w:tcBorders>
                  <w:vAlign w:val="center"/>
                </w:tcPr>
                <w:p w14:paraId="24D48021">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721" w:type="dxa"/>
                  <w:tcBorders>
                    <w:tl2br w:val="nil"/>
                    <w:tr2bl w:val="nil"/>
                  </w:tcBorders>
                  <w:vAlign w:val="center"/>
                </w:tcPr>
                <w:p w14:paraId="2457F5FF">
                  <w:pPr>
                    <w:bidi w:val="0"/>
                    <w:jc w:val="center"/>
                    <w:rPr>
                      <w:rFonts w:hint="eastAsia" w:cs="Times New Roman"/>
                      <w:color w:val="auto"/>
                      <w:sz w:val="18"/>
                      <w:szCs w:val="18"/>
                      <w:lang w:eastAsia="zh-CN"/>
                    </w:rPr>
                  </w:pPr>
                  <w:r>
                    <w:rPr>
                      <w:rFonts w:hint="eastAsia" w:cs="Times New Roman"/>
                      <w:color w:val="auto"/>
                      <w:sz w:val="18"/>
                      <w:szCs w:val="18"/>
                      <w:lang w:eastAsia="zh-CN"/>
                    </w:rPr>
                    <w:t>运回启东天楹环保有限责任公司</w:t>
                  </w:r>
                </w:p>
              </w:tc>
            </w:tr>
            <w:tr w14:paraId="369483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81" w:type="dxa"/>
                  <w:vMerge w:val="continue"/>
                  <w:tcBorders>
                    <w:tl2br w:val="nil"/>
                    <w:tr2bl w:val="nil"/>
                  </w:tcBorders>
                  <w:vAlign w:val="center"/>
                </w:tcPr>
                <w:p w14:paraId="4F530EB0">
                  <w:pPr>
                    <w:bidi w:val="0"/>
                    <w:jc w:val="center"/>
                    <w:rPr>
                      <w:rFonts w:hint="eastAsia" w:cs="Times New Roman"/>
                      <w:color w:val="auto"/>
                      <w:sz w:val="18"/>
                      <w:szCs w:val="18"/>
                      <w:lang w:eastAsia="zh-CN"/>
                    </w:rPr>
                  </w:pPr>
                </w:p>
              </w:tc>
              <w:tc>
                <w:tcPr>
                  <w:tcW w:w="667" w:type="dxa"/>
                  <w:tcBorders>
                    <w:tl2br w:val="nil"/>
                    <w:tr2bl w:val="nil"/>
                  </w:tcBorders>
                  <w:vAlign w:val="center"/>
                </w:tcPr>
                <w:p w14:paraId="14BD620D">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S9</w:t>
                  </w:r>
                </w:p>
              </w:tc>
              <w:tc>
                <w:tcPr>
                  <w:tcW w:w="1412" w:type="dxa"/>
                  <w:tcBorders>
                    <w:tl2br w:val="nil"/>
                    <w:tr2bl w:val="nil"/>
                  </w:tcBorders>
                  <w:vAlign w:val="center"/>
                </w:tcPr>
                <w:p w14:paraId="387C93BB">
                  <w:pPr>
                    <w:bidi w:val="0"/>
                    <w:jc w:val="center"/>
                    <w:rPr>
                      <w:rFonts w:hint="eastAsia" w:cs="Times New Roman"/>
                      <w:color w:val="auto"/>
                      <w:sz w:val="18"/>
                      <w:szCs w:val="18"/>
                      <w:lang w:eastAsia="zh-CN"/>
                    </w:rPr>
                  </w:pPr>
                  <w:r>
                    <w:rPr>
                      <w:rFonts w:hint="eastAsia" w:cs="Times New Roman"/>
                      <w:color w:val="auto"/>
                      <w:sz w:val="18"/>
                      <w:szCs w:val="18"/>
                      <w:lang w:eastAsia="zh-CN"/>
                    </w:rPr>
                    <w:t>设备维护、保养</w:t>
                  </w:r>
                </w:p>
              </w:tc>
              <w:tc>
                <w:tcPr>
                  <w:tcW w:w="1738" w:type="dxa"/>
                  <w:tcBorders>
                    <w:tl2br w:val="nil"/>
                    <w:tr2bl w:val="nil"/>
                  </w:tcBorders>
                  <w:vAlign w:val="center"/>
                </w:tcPr>
                <w:p w14:paraId="03C57527">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废润滑油、废润滑油桶</w:t>
                  </w:r>
                </w:p>
              </w:tc>
              <w:tc>
                <w:tcPr>
                  <w:tcW w:w="1037" w:type="dxa"/>
                  <w:tcBorders>
                    <w:tl2br w:val="nil"/>
                    <w:tr2bl w:val="nil"/>
                  </w:tcBorders>
                  <w:vAlign w:val="center"/>
                </w:tcPr>
                <w:p w14:paraId="558C33B5">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721" w:type="dxa"/>
                  <w:tcBorders>
                    <w:tl2br w:val="nil"/>
                    <w:tr2bl w:val="nil"/>
                  </w:tcBorders>
                  <w:vAlign w:val="center"/>
                </w:tcPr>
                <w:p w14:paraId="3908C072">
                  <w:pPr>
                    <w:bidi w:val="0"/>
                    <w:jc w:val="center"/>
                    <w:rPr>
                      <w:rFonts w:hint="eastAsia" w:cs="Times New Roman"/>
                      <w:color w:val="auto"/>
                      <w:sz w:val="18"/>
                      <w:szCs w:val="18"/>
                      <w:lang w:eastAsia="zh-CN"/>
                    </w:rPr>
                  </w:pPr>
                  <w:r>
                    <w:rPr>
                      <w:rFonts w:hint="eastAsia" w:cs="Times New Roman"/>
                      <w:color w:val="auto"/>
                      <w:sz w:val="18"/>
                      <w:szCs w:val="18"/>
                      <w:lang w:eastAsia="zh-CN"/>
                    </w:rPr>
                    <w:t>暂存危废库，委托有资质单位处置</w:t>
                  </w:r>
                </w:p>
              </w:tc>
            </w:tr>
            <w:tr w14:paraId="293431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81" w:type="dxa"/>
                  <w:tcBorders>
                    <w:tl2br w:val="nil"/>
                    <w:tr2bl w:val="nil"/>
                  </w:tcBorders>
                  <w:vAlign w:val="center"/>
                </w:tcPr>
                <w:p w14:paraId="4E2001F9">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噪声</w:t>
                  </w:r>
                </w:p>
              </w:tc>
              <w:tc>
                <w:tcPr>
                  <w:tcW w:w="667" w:type="dxa"/>
                  <w:tcBorders>
                    <w:tl2br w:val="nil"/>
                    <w:tr2bl w:val="nil"/>
                  </w:tcBorders>
                  <w:vAlign w:val="center"/>
                </w:tcPr>
                <w:p w14:paraId="69DA3600">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N</w:t>
                  </w:r>
                </w:p>
              </w:tc>
              <w:tc>
                <w:tcPr>
                  <w:tcW w:w="1412" w:type="dxa"/>
                  <w:tcBorders>
                    <w:tl2br w:val="nil"/>
                    <w:tr2bl w:val="nil"/>
                  </w:tcBorders>
                  <w:vAlign w:val="center"/>
                </w:tcPr>
                <w:p w14:paraId="6534012E">
                  <w:pPr>
                    <w:bidi w:val="0"/>
                    <w:jc w:val="center"/>
                    <w:rPr>
                      <w:rFonts w:hint="eastAsia" w:cs="Times New Roman"/>
                      <w:color w:val="auto"/>
                      <w:sz w:val="18"/>
                      <w:szCs w:val="18"/>
                      <w:lang w:val="en-US" w:eastAsia="zh-CN"/>
                    </w:rPr>
                  </w:pPr>
                  <w:r>
                    <w:rPr>
                      <w:rFonts w:hint="default" w:ascii="Times New Roman" w:hAnsi="Times New Roman" w:cs="Times New Roman"/>
                      <w:color w:val="auto"/>
                      <w:sz w:val="18"/>
                      <w:szCs w:val="18"/>
                      <w:lang w:val="en-US" w:eastAsia="zh-CN"/>
                    </w:rPr>
                    <w:t>各类生产设备</w:t>
                  </w:r>
                </w:p>
              </w:tc>
              <w:tc>
                <w:tcPr>
                  <w:tcW w:w="1738" w:type="dxa"/>
                  <w:tcBorders>
                    <w:tl2br w:val="nil"/>
                    <w:tr2bl w:val="nil"/>
                  </w:tcBorders>
                  <w:vAlign w:val="center"/>
                </w:tcPr>
                <w:p w14:paraId="245A3AE1">
                  <w:pPr>
                    <w:bidi w:val="0"/>
                    <w:jc w:val="center"/>
                    <w:rPr>
                      <w:rFonts w:hint="eastAsia" w:cs="Times New Roman"/>
                      <w:color w:val="auto"/>
                      <w:sz w:val="18"/>
                      <w:szCs w:val="18"/>
                      <w:lang w:val="en-US" w:eastAsia="zh-CN"/>
                    </w:rPr>
                  </w:pPr>
                  <w:r>
                    <w:rPr>
                      <w:rFonts w:hint="default" w:ascii="Times New Roman" w:hAnsi="Times New Roman" w:cs="Times New Roman"/>
                      <w:color w:val="auto"/>
                      <w:sz w:val="18"/>
                      <w:szCs w:val="18"/>
                      <w:lang w:val="en-US" w:eastAsia="zh-CN"/>
                    </w:rPr>
                    <w:t>Leq(A)</w:t>
                  </w:r>
                </w:p>
              </w:tc>
              <w:tc>
                <w:tcPr>
                  <w:tcW w:w="1037" w:type="dxa"/>
                  <w:tcBorders>
                    <w:tl2br w:val="nil"/>
                    <w:tr2bl w:val="nil"/>
                  </w:tcBorders>
                  <w:vAlign w:val="center"/>
                </w:tcPr>
                <w:p w14:paraId="0F8A7195">
                  <w:pPr>
                    <w:bidi w:val="0"/>
                    <w:jc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间歇</w:t>
                  </w:r>
                </w:p>
              </w:tc>
              <w:tc>
                <w:tcPr>
                  <w:tcW w:w="2721" w:type="dxa"/>
                  <w:tcBorders>
                    <w:tl2br w:val="nil"/>
                    <w:tr2bl w:val="nil"/>
                  </w:tcBorders>
                  <w:vAlign w:val="center"/>
                </w:tcPr>
                <w:p w14:paraId="4B7098D2">
                  <w:pPr>
                    <w:bidi w:val="0"/>
                    <w:jc w:val="center"/>
                    <w:rPr>
                      <w:rFonts w:hint="default" w:ascii="Times New Roman" w:hAnsi="Times New Roman" w:cs="Times New Roman"/>
                      <w:color w:val="auto"/>
                      <w:sz w:val="18"/>
                      <w:szCs w:val="18"/>
                      <w:lang w:eastAsia="zh-CN"/>
                    </w:rPr>
                  </w:pPr>
                  <w:r>
                    <w:rPr>
                      <w:rFonts w:hint="default" w:ascii="Times New Roman" w:hAnsi="Times New Roman" w:eastAsia="宋体" w:cs="Times New Roman"/>
                      <w:color w:val="auto"/>
                      <w:spacing w:val="8"/>
                      <w:sz w:val="18"/>
                      <w:szCs w:val="18"/>
                    </w:rPr>
                    <w:t>隔</w:t>
                  </w:r>
                  <w:r>
                    <w:rPr>
                      <w:rFonts w:hint="default" w:ascii="Times New Roman" w:hAnsi="Times New Roman" w:eastAsia="宋体" w:cs="Times New Roman"/>
                      <w:color w:val="auto"/>
                      <w:spacing w:val="5"/>
                      <w:sz w:val="18"/>
                      <w:szCs w:val="18"/>
                    </w:rPr>
                    <w:t>声、减振</w:t>
                  </w:r>
                </w:p>
              </w:tc>
            </w:tr>
          </w:tbl>
          <w:p w14:paraId="274BDFF3">
            <w:pPr>
              <w:pStyle w:val="2"/>
              <w:rPr>
                <w:rFonts w:ascii="Times New Roman" w:hAnsi="Times New Roman"/>
                <w:color w:val="auto"/>
              </w:rPr>
            </w:pPr>
            <w:bookmarkStart w:id="22" w:name="_GoBack"/>
            <w:bookmarkEnd w:id="22"/>
          </w:p>
        </w:tc>
      </w:tr>
      <w:tr w14:paraId="2D07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75" w:type="dxa"/>
          <w:wAfter w:w="457" w:type="dxa"/>
          <w:trHeight w:val="5149" w:hRule="atLeast"/>
        </w:trPr>
        <w:tc>
          <w:tcPr>
            <w:tcW w:w="663" w:type="dxa"/>
          </w:tcPr>
          <w:p w14:paraId="4088D055">
            <w:pPr>
              <w:rPr>
                <w:color w:val="auto"/>
              </w:rPr>
            </w:pPr>
          </w:p>
          <w:p w14:paraId="15A02194">
            <w:pPr>
              <w:rPr>
                <w:color w:val="auto"/>
              </w:rPr>
            </w:pPr>
          </w:p>
          <w:p w14:paraId="3115D9AC">
            <w:pPr>
              <w:rPr>
                <w:color w:val="auto"/>
              </w:rPr>
            </w:pPr>
          </w:p>
          <w:p w14:paraId="631F3D22">
            <w:pPr>
              <w:rPr>
                <w:color w:val="auto"/>
              </w:rPr>
            </w:pPr>
          </w:p>
          <w:p w14:paraId="3E28B778">
            <w:pPr>
              <w:rPr>
                <w:color w:val="auto"/>
              </w:rPr>
            </w:pPr>
          </w:p>
          <w:p w14:paraId="01BA2D6B">
            <w:pPr>
              <w:spacing w:line="500" w:lineRule="exact"/>
              <w:jc w:val="center"/>
              <w:rPr>
                <w:color w:val="auto"/>
              </w:rPr>
            </w:pPr>
            <w:r>
              <w:rPr>
                <w:color w:val="auto"/>
              </w:rPr>
              <w:t>与 项 目 有 关 的 原 有 环 境 污 染 问 题</w:t>
            </w:r>
          </w:p>
          <w:p w14:paraId="2310F6DA">
            <w:pPr>
              <w:pStyle w:val="2"/>
              <w:rPr>
                <w:rFonts w:ascii="Times New Roman" w:hAnsi="Times New Roman"/>
                <w:color w:val="auto"/>
                <w:szCs w:val="24"/>
              </w:rPr>
            </w:pPr>
          </w:p>
          <w:p w14:paraId="59C72760">
            <w:pPr>
              <w:pStyle w:val="2"/>
              <w:rPr>
                <w:rFonts w:ascii="Times New Roman" w:hAnsi="Times New Roman"/>
                <w:color w:val="auto"/>
                <w:szCs w:val="24"/>
              </w:rPr>
            </w:pPr>
          </w:p>
          <w:p w14:paraId="0325CBBD">
            <w:pPr>
              <w:pStyle w:val="2"/>
              <w:rPr>
                <w:rFonts w:ascii="Times New Roman" w:hAnsi="Times New Roman"/>
                <w:color w:val="auto"/>
                <w:szCs w:val="24"/>
              </w:rPr>
            </w:pPr>
          </w:p>
          <w:p w14:paraId="4E80709F">
            <w:pPr>
              <w:pStyle w:val="2"/>
              <w:rPr>
                <w:rFonts w:ascii="Times New Roman" w:hAnsi="Times New Roman"/>
                <w:color w:val="auto"/>
                <w:szCs w:val="24"/>
              </w:rPr>
            </w:pPr>
          </w:p>
          <w:p w14:paraId="1D7692D1">
            <w:pPr>
              <w:pStyle w:val="2"/>
              <w:rPr>
                <w:rFonts w:ascii="Times New Roman" w:hAnsi="Times New Roman"/>
                <w:color w:val="auto"/>
                <w:szCs w:val="24"/>
              </w:rPr>
            </w:pPr>
          </w:p>
          <w:p w14:paraId="692BA232">
            <w:pPr>
              <w:pStyle w:val="2"/>
              <w:rPr>
                <w:rFonts w:ascii="Times New Roman" w:hAnsi="Times New Roman"/>
                <w:color w:val="auto"/>
                <w:szCs w:val="24"/>
              </w:rPr>
            </w:pPr>
          </w:p>
          <w:p w14:paraId="01A39391">
            <w:pPr>
              <w:pStyle w:val="2"/>
              <w:rPr>
                <w:rFonts w:ascii="Times New Roman" w:hAnsi="Times New Roman"/>
                <w:color w:val="auto"/>
                <w:szCs w:val="24"/>
              </w:rPr>
            </w:pPr>
          </w:p>
          <w:p w14:paraId="73578C33">
            <w:pPr>
              <w:pStyle w:val="2"/>
              <w:rPr>
                <w:rFonts w:ascii="Times New Roman" w:hAnsi="Times New Roman"/>
                <w:color w:val="auto"/>
                <w:szCs w:val="24"/>
              </w:rPr>
            </w:pPr>
          </w:p>
          <w:p w14:paraId="45A435B7">
            <w:pPr>
              <w:pStyle w:val="2"/>
              <w:rPr>
                <w:rFonts w:ascii="Times New Roman" w:hAnsi="Times New Roman"/>
                <w:color w:val="auto"/>
                <w:szCs w:val="24"/>
              </w:rPr>
            </w:pPr>
          </w:p>
          <w:p w14:paraId="07061B06">
            <w:pPr>
              <w:pStyle w:val="2"/>
              <w:rPr>
                <w:rFonts w:ascii="Times New Roman" w:hAnsi="Times New Roman"/>
                <w:color w:val="auto"/>
                <w:szCs w:val="24"/>
              </w:rPr>
            </w:pPr>
          </w:p>
          <w:p w14:paraId="2FE0C13B">
            <w:pPr>
              <w:pStyle w:val="2"/>
              <w:rPr>
                <w:rFonts w:ascii="Times New Roman" w:hAnsi="Times New Roman"/>
                <w:color w:val="auto"/>
                <w:szCs w:val="24"/>
              </w:rPr>
            </w:pPr>
          </w:p>
        </w:tc>
        <w:tc>
          <w:tcPr>
            <w:tcW w:w="8210" w:type="dxa"/>
            <w:gridSpan w:val="2"/>
          </w:tcPr>
          <w:p w14:paraId="1CB8F601">
            <w:pPr>
              <w:pStyle w:val="2"/>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ascii="Times New Roman" w:hAnsi="Times New Roman"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本项目为新建项目，</w:t>
            </w:r>
            <w:r>
              <w:rPr>
                <w:rFonts w:hint="eastAsia" w:ascii="Times New Roman" w:hAnsi="Times New Roman" w:cs="Times New Roman"/>
                <w:bCs/>
                <w:color w:val="auto"/>
                <w:kern w:val="2"/>
                <w:sz w:val="21"/>
                <w:szCs w:val="21"/>
                <w:lang w:val="en-US" w:eastAsia="zh-CN" w:bidi="ar-SA"/>
              </w:rPr>
              <w:t>厂址原项目为启东北新镇宏申建材厂石灰炉渣生产项目，启东北新镇宏申建材厂2012年6月委托启东市环境科学研究所编制了《石灰炉渣砖生产项目环境影响报告表》，该项目于2012年通过启东市环境保护局审批。2013年通过了启东市环境保护局组织的竣工环境保护验收（验收文号为启环发【2013】134号）。</w:t>
            </w:r>
          </w:p>
          <w:p w14:paraId="44787C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21"/>
                <w:szCs w:val="21"/>
                <w:lang w:val="en-US" w:eastAsia="zh-CN"/>
              </w:rPr>
            </w:pPr>
            <w:r>
              <w:rPr>
                <w:rFonts w:hint="eastAsia"/>
                <w:b/>
                <w:bCs/>
                <w:sz w:val="21"/>
                <w:szCs w:val="21"/>
                <w:lang w:val="en-US" w:eastAsia="zh-CN"/>
              </w:rPr>
              <w:t>表2-12 厂址原项目环评、验收及排污许可执行情况一览表</w:t>
            </w:r>
          </w:p>
          <w:tbl>
            <w:tblPr>
              <w:tblStyle w:val="20"/>
              <w:tblW w:w="834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375"/>
              <w:gridCol w:w="1375"/>
              <w:gridCol w:w="1375"/>
              <w:gridCol w:w="1177"/>
              <w:gridCol w:w="1663"/>
            </w:tblGrid>
            <w:tr w14:paraId="2BEA6B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75" w:type="dxa"/>
                  <w:tcBorders>
                    <w:tl2br w:val="nil"/>
                    <w:tr2bl w:val="nil"/>
                  </w:tcBorders>
                  <w:vAlign w:val="center"/>
                </w:tcPr>
                <w:p w14:paraId="6FFAD5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18"/>
                      <w:szCs w:val="18"/>
                      <w:lang w:val="en-US" w:eastAsia="zh-CN"/>
                    </w:rPr>
                  </w:pPr>
                  <w:r>
                    <w:rPr>
                      <w:rFonts w:hint="eastAsia"/>
                      <w:b/>
                      <w:bCs/>
                      <w:sz w:val="18"/>
                      <w:szCs w:val="18"/>
                      <w:lang w:val="en-US" w:eastAsia="zh-CN"/>
                    </w:rPr>
                    <w:t>项目建设名称</w:t>
                  </w:r>
                </w:p>
              </w:tc>
              <w:tc>
                <w:tcPr>
                  <w:tcW w:w="1375" w:type="dxa"/>
                  <w:tcBorders>
                    <w:tl2br w:val="nil"/>
                    <w:tr2bl w:val="nil"/>
                  </w:tcBorders>
                  <w:vAlign w:val="center"/>
                </w:tcPr>
                <w:p w14:paraId="2822F0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18"/>
                      <w:szCs w:val="18"/>
                      <w:lang w:val="en-US" w:eastAsia="zh-CN"/>
                    </w:rPr>
                  </w:pPr>
                  <w:r>
                    <w:rPr>
                      <w:rFonts w:hint="eastAsia"/>
                      <w:b/>
                      <w:bCs/>
                      <w:sz w:val="18"/>
                      <w:szCs w:val="18"/>
                      <w:lang w:val="en-US" w:eastAsia="zh-CN"/>
                    </w:rPr>
                    <w:t>环评审批机关文号及时间</w:t>
                  </w:r>
                </w:p>
              </w:tc>
              <w:tc>
                <w:tcPr>
                  <w:tcW w:w="1375" w:type="dxa"/>
                  <w:tcBorders>
                    <w:tl2br w:val="nil"/>
                    <w:tr2bl w:val="nil"/>
                  </w:tcBorders>
                  <w:vAlign w:val="center"/>
                </w:tcPr>
                <w:p w14:paraId="2FB1DB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18"/>
                      <w:szCs w:val="18"/>
                      <w:lang w:val="en-US" w:eastAsia="zh-CN"/>
                    </w:rPr>
                  </w:pPr>
                  <w:r>
                    <w:rPr>
                      <w:rFonts w:hint="eastAsia"/>
                      <w:b/>
                      <w:bCs/>
                      <w:sz w:val="18"/>
                      <w:szCs w:val="18"/>
                      <w:lang w:val="en-US" w:eastAsia="zh-CN"/>
                    </w:rPr>
                    <w:t>批复生产能力</w:t>
                  </w:r>
                </w:p>
              </w:tc>
              <w:tc>
                <w:tcPr>
                  <w:tcW w:w="1375" w:type="dxa"/>
                  <w:tcBorders>
                    <w:tl2br w:val="nil"/>
                    <w:tr2bl w:val="nil"/>
                  </w:tcBorders>
                  <w:vAlign w:val="center"/>
                </w:tcPr>
                <w:p w14:paraId="43A7DD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18"/>
                      <w:szCs w:val="18"/>
                      <w:lang w:val="en-US" w:eastAsia="zh-CN"/>
                    </w:rPr>
                  </w:pPr>
                  <w:r>
                    <w:rPr>
                      <w:rFonts w:hint="eastAsia"/>
                      <w:b/>
                      <w:bCs/>
                      <w:sz w:val="18"/>
                      <w:szCs w:val="18"/>
                      <w:lang w:val="en-US" w:eastAsia="zh-CN"/>
                    </w:rPr>
                    <w:t>实际建成生产能力</w:t>
                  </w:r>
                </w:p>
              </w:tc>
              <w:tc>
                <w:tcPr>
                  <w:tcW w:w="1177" w:type="dxa"/>
                  <w:tcBorders>
                    <w:tl2br w:val="nil"/>
                    <w:tr2bl w:val="nil"/>
                  </w:tcBorders>
                  <w:vAlign w:val="center"/>
                </w:tcPr>
                <w:p w14:paraId="3CE0D8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18"/>
                      <w:szCs w:val="18"/>
                      <w:lang w:val="en-US" w:eastAsia="zh-CN"/>
                    </w:rPr>
                  </w:pPr>
                  <w:r>
                    <w:rPr>
                      <w:rFonts w:hint="eastAsia"/>
                      <w:b/>
                      <w:bCs/>
                      <w:sz w:val="18"/>
                      <w:szCs w:val="18"/>
                      <w:lang w:val="en-US" w:eastAsia="zh-CN"/>
                    </w:rPr>
                    <w:t>“三同时”验收时间</w:t>
                  </w:r>
                </w:p>
              </w:tc>
              <w:tc>
                <w:tcPr>
                  <w:tcW w:w="1663" w:type="dxa"/>
                  <w:tcBorders>
                    <w:tl2br w:val="nil"/>
                    <w:tr2bl w:val="nil"/>
                  </w:tcBorders>
                  <w:vAlign w:val="center"/>
                </w:tcPr>
                <w:p w14:paraId="4F6618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18"/>
                      <w:szCs w:val="18"/>
                      <w:lang w:val="en-US" w:eastAsia="zh-CN"/>
                    </w:rPr>
                  </w:pPr>
                  <w:r>
                    <w:rPr>
                      <w:rFonts w:hint="eastAsia"/>
                      <w:b/>
                      <w:bCs/>
                      <w:sz w:val="18"/>
                      <w:szCs w:val="18"/>
                      <w:lang w:val="en-US" w:eastAsia="zh-CN"/>
                    </w:rPr>
                    <w:t>排污许可编号</w:t>
                  </w:r>
                </w:p>
              </w:tc>
            </w:tr>
            <w:tr w14:paraId="6666E5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5" w:type="dxa"/>
                  <w:tcBorders>
                    <w:tl2br w:val="nil"/>
                    <w:tr2bl w:val="nil"/>
                  </w:tcBorders>
                  <w:vAlign w:val="center"/>
                </w:tcPr>
                <w:p w14:paraId="38D6A7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18"/>
                      <w:szCs w:val="18"/>
                      <w:lang w:val="en-US" w:eastAsia="zh-CN"/>
                    </w:rPr>
                  </w:pPr>
                  <w:r>
                    <w:rPr>
                      <w:rFonts w:hint="eastAsia"/>
                      <w:sz w:val="18"/>
                      <w:szCs w:val="18"/>
                      <w:lang w:val="en-US" w:eastAsia="zh-CN"/>
                    </w:rPr>
                    <w:t>石灰炉渣生产项目</w:t>
                  </w:r>
                </w:p>
              </w:tc>
              <w:tc>
                <w:tcPr>
                  <w:tcW w:w="1375" w:type="dxa"/>
                  <w:tcBorders>
                    <w:tl2br w:val="nil"/>
                    <w:tr2bl w:val="nil"/>
                  </w:tcBorders>
                  <w:vAlign w:val="center"/>
                </w:tcPr>
                <w:p w14:paraId="237A4B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18"/>
                      <w:szCs w:val="18"/>
                      <w:lang w:val="en-US" w:eastAsia="zh-CN"/>
                    </w:rPr>
                  </w:pPr>
                  <w:r>
                    <w:rPr>
                      <w:rFonts w:hint="eastAsia"/>
                      <w:sz w:val="18"/>
                      <w:szCs w:val="18"/>
                      <w:lang w:val="en-US" w:eastAsia="zh-CN"/>
                    </w:rPr>
                    <w:t>启东市环境保护局；2012年6月</w:t>
                  </w:r>
                </w:p>
              </w:tc>
              <w:tc>
                <w:tcPr>
                  <w:tcW w:w="1375" w:type="dxa"/>
                  <w:tcBorders>
                    <w:tl2br w:val="nil"/>
                    <w:tr2bl w:val="nil"/>
                  </w:tcBorders>
                  <w:vAlign w:val="center"/>
                </w:tcPr>
                <w:p w14:paraId="080EEE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年产200万块建筑用砖、10万块砌块</w:t>
                  </w:r>
                </w:p>
              </w:tc>
              <w:tc>
                <w:tcPr>
                  <w:tcW w:w="1375" w:type="dxa"/>
                  <w:tcBorders>
                    <w:tl2br w:val="nil"/>
                    <w:tr2bl w:val="nil"/>
                  </w:tcBorders>
                  <w:vAlign w:val="center"/>
                </w:tcPr>
                <w:p w14:paraId="654525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年产200万块建筑用砖、10万块砌块</w:t>
                  </w:r>
                </w:p>
              </w:tc>
              <w:tc>
                <w:tcPr>
                  <w:tcW w:w="1177" w:type="dxa"/>
                  <w:tcBorders>
                    <w:tl2br w:val="nil"/>
                    <w:tr2bl w:val="nil"/>
                  </w:tcBorders>
                  <w:vAlign w:val="center"/>
                </w:tcPr>
                <w:p w14:paraId="1C77F1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18"/>
                      <w:szCs w:val="18"/>
                      <w:lang w:val="en-US" w:eastAsia="zh-CN"/>
                    </w:rPr>
                  </w:pPr>
                  <w:r>
                    <w:rPr>
                      <w:rFonts w:hint="eastAsia"/>
                      <w:sz w:val="18"/>
                      <w:szCs w:val="18"/>
                      <w:lang w:val="en-US" w:eastAsia="zh-CN"/>
                    </w:rPr>
                    <w:t>2013.12.5</w:t>
                  </w:r>
                </w:p>
              </w:tc>
              <w:tc>
                <w:tcPr>
                  <w:tcW w:w="1663" w:type="dxa"/>
                  <w:tcBorders>
                    <w:tl2br w:val="nil"/>
                    <w:tr2bl w:val="nil"/>
                  </w:tcBorders>
                  <w:vAlign w:val="center"/>
                </w:tcPr>
                <w:p w14:paraId="7C4A76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18"/>
                      <w:szCs w:val="18"/>
                      <w:lang w:val="en-US" w:eastAsia="zh-CN"/>
                    </w:rPr>
                  </w:pPr>
                  <w:r>
                    <w:rPr>
                      <w:rFonts w:hint="eastAsia"/>
                      <w:sz w:val="18"/>
                      <w:szCs w:val="18"/>
                      <w:lang w:val="en-US" w:eastAsia="zh-CN"/>
                    </w:rPr>
                    <w:t>91320681074690163T001V</w:t>
                  </w:r>
                </w:p>
              </w:tc>
            </w:tr>
          </w:tbl>
          <w:p w14:paraId="1C5056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21"/>
                <w:szCs w:val="21"/>
                <w:lang w:val="en-US" w:eastAsia="zh-CN"/>
              </w:rPr>
            </w:pPr>
            <w:r>
              <w:rPr>
                <w:rFonts w:hint="eastAsia"/>
                <w:b/>
                <w:bCs/>
                <w:sz w:val="21"/>
                <w:szCs w:val="21"/>
                <w:lang w:val="en-US" w:eastAsia="zh-CN"/>
              </w:rPr>
              <w:t>表2-13 厂址原项目产品方案一览表</w:t>
            </w:r>
          </w:p>
          <w:tbl>
            <w:tblPr>
              <w:tblStyle w:val="20"/>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59"/>
              <w:gridCol w:w="2059"/>
              <w:gridCol w:w="2369"/>
              <w:gridCol w:w="1753"/>
            </w:tblGrid>
            <w:tr w14:paraId="2EA075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59" w:type="dxa"/>
                  <w:tcBorders>
                    <w:tl2br w:val="nil"/>
                    <w:tr2bl w:val="nil"/>
                  </w:tcBorders>
                  <w:vAlign w:val="center"/>
                </w:tcPr>
                <w:p w14:paraId="1EDE9D4E">
                  <w:pPr>
                    <w:bidi w:val="0"/>
                    <w:jc w:val="center"/>
                    <w:rPr>
                      <w:rFonts w:hint="default"/>
                      <w:sz w:val="18"/>
                      <w:szCs w:val="18"/>
                      <w:lang w:val="en-US" w:eastAsia="zh-CN"/>
                    </w:rPr>
                  </w:pPr>
                  <w:r>
                    <w:rPr>
                      <w:rFonts w:hint="eastAsia"/>
                      <w:sz w:val="18"/>
                      <w:szCs w:val="18"/>
                      <w:lang w:val="en-US" w:eastAsia="zh-CN"/>
                    </w:rPr>
                    <w:t>工程名称</w:t>
                  </w:r>
                </w:p>
              </w:tc>
              <w:tc>
                <w:tcPr>
                  <w:tcW w:w="2059" w:type="dxa"/>
                  <w:tcBorders>
                    <w:tl2br w:val="nil"/>
                    <w:tr2bl w:val="nil"/>
                  </w:tcBorders>
                  <w:vAlign w:val="center"/>
                </w:tcPr>
                <w:p w14:paraId="469D07E6">
                  <w:pPr>
                    <w:bidi w:val="0"/>
                    <w:jc w:val="center"/>
                    <w:rPr>
                      <w:rFonts w:hint="default"/>
                      <w:sz w:val="18"/>
                      <w:szCs w:val="18"/>
                      <w:lang w:val="en-US" w:eastAsia="zh-CN"/>
                    </w:rPr>
                  </w:pPr>
                  <w:r>
                    <w:rPr>
                      <w:rFonts w:hint="eastAsia"/>
                      <w:sz w:val="18"/>
                      <w:szCs w:val="18"/>
                      <w:lang w:val="en-US" w:eastAsia="zh-CN"/>
                    </w:rPr>
                    <w:t>产品名称</w:t>
                  </w:r>
                </w:p>
              </w:tc>
              <w:tc>
                <w:tcPr>
                  <w:tcW w:w="2369" w:type="dxa"/>
                  <w:tcBorders>
                    <w:tl2br w:val="nil"/>
                    <w:tr2bl w:val="nil"/>
                  </w:tcBorders>
                  <w:vAlign w:val="center"/>
                </w:tcPr>
                <w:p w14:paraId="5FA68FE8">
                  <w:pPr>
                    <w:bidi w:val="0"/>
                    <w:jc w:val="center"/>
                    <w:rPr>
                      <w:rFonts w:hint="default"/>
                      <w:sz w:val="18"/>
                      <w:szCs w:val="18"/>
                      <w:lang w:val="en-US" w:eastAsia="zh-CN"/>
                    </w:rPr>
                  </w:pPr>
                  <w:r>
                    <w:rPr>
                      <w:rFonts w:hint="eastAsia"/>
                      <w:sz w:val="18"/>
                      <w:szCs w:val="18"/>
                      <w:lang w:val="en-US" w:eastAsia="zh-CN"/>
                    </w:rPr>
                    <w:t>设计能力</w:t>
                  </w:r>
                </w:p>
              </w:tc>
              <w:tc>
                <w:tcPr>
                  <w:tcW w:w="1753" w:type="dxa"/>
                  <w:tcBorders>
                    <w:tl2br w:val="nil"/>
                    <w:tr2bl w:val="nil"/>
                  </w:tcBorders>
                  <w:vAlign w:val="center"/>
                </w:tcPr>
                <w:p w14:paraId="159C8DD9">
                  <w:pPr>
                    <w:bidi w:val="0"/>
                    <w:jc w:val="center"/>
                    <w:rPr>
                      <w:rFonts w:hint="default"/>
                      <w:sz w:val="18"/>
                      <w:szCs w:val="18"/>
                      <w:lang w:val="en-US" w:eastAsia="zh-CN"/>
                    </w:rPr>
                  </w:pPr>
                  <w:r>
                    <w:rPr>
                      <w:rFonts w:hint="eastAsia"/>
                      <w:sz w:val="18"/>
                      <w:szCs w:val="18"/>
                      <w:lang w:val="en-US" w:eastAsia="zh-CN"/>
                    </w:rPr>
                    <w:t>运行时间</w:t>
                  </w:r>
                </w:p>
              </w:tc>
            </w:tr>
            <w:tr w14:paraId="0FCB03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59" w:type="dxa"/>
                  <w:vMerge w:val="restart"/>
                  <w:tcBorders>
                    <w:tl2br w:val="nil"/>
                    <w:tr2bl w:val="nil"/>
                  </w:tcBorders>
                  <w:vAlign w:val="center"/>
                </w:tcPr>
                <w:p w14:paraId="53085BEC">
                  <w:pPr>
                    <w:bidi w:val="0"/>
                    <w:jc w:val="center"/>
                    <w:rPr>
                      <w:rFonts w:hint="eastAsia"/>
                      <w:sz w:val="18"/>
                      <w:szCs w:val="18"/>
                      <w:lang w:val="en-US" w:eastAsia="zh-CN"/>
                    </w:rPr>
                  </w:pPr>
                  <w:r>
                    <w:rPr>
                      <w:rFonts w:hint="eastAsia"/>
                      <w:sz w:val="18"/>
                      <w:szCs w:val="18"/>
                      <w:lang w:val="en-US" w:eastAsia="zh-CN"/>
                    </w:rPr>
                    <w:t>制砖生产线</w:t>
                  </w:r>
                </w:p>
              </w:tc>
              <w:tc>
                <w:tcPr>
                  <w:tcW w:w="2059" w:type="dxa"/>
                  <w:tcBorders>
                    <w:tl2br w:val="nil"/>
                    <w:tr2bl w:val="nil"/>
                  </w:tcBorders>
                  <w:vAlign w:val="center"/>
                </w:tcPr>
                <w:p w14:paraId="3473637A">
                  <w:pPr>
                    <w:bidi w:val="0"/>
                    <w:jc w:val="center"/>
                    <w:rPr>
                      <w:rFonts w:hint="eastAsia"/>
                      <w:sz w:val="18"/>
                      <w:szCs w:val="18"/>
                      <w:lang w:val="en-US" w:eastAsia="zh-CN"/>
                    </w:rPr>
                  </w:pPr>
                  <w:r>
                    <w:rPr>
                      <w:rFonts w:hint="eastAsia"/>
                      <w:sz w:val="18"/>
                      <w:szCs w:val="18"/>
                      <w:lang w:val="en-US" w:eastAsia="zh-CN"/>
                    </w:rPr>
                    <w:t>砖</w:t>
                  </w:r>
                </w:p>
              </w:tc>
              <w:tc>
                <w:tcPr>
                  <w:tcW w:w="2369" w:type="dxa"/>
                  <w:tcBorders>
                    <w:tl2br w:val="nil"/>
                    <w:tr2bl w:val="nil"/>
                  </w:tcBorders>
                  <w:vAlign w:val="center"/>
                </w:tcPr>
                <w:p w14:paraId="5EB4DDEA">
                  <w:pPr>
                    <w:bidi w:val="0"/>
                    <w:jc w:val="center"/>
                    <w:rPr>
                      <w:rFonts w:hint="default"/>
                      <w:sz w:val="18"/>
                      <w:szCs w:val="18"/>
                      <w:lang w:val="en-US" w:eastAsia="zh-CN"/>
                    </w:rPr>
                  </w:pPr>
                  <w:r>
                    <w:rPr>
                      <w:rFonts w:hint="eastAsia"/>
                      <w:sz w:val="18"/>
                      <w:szCs w:val="18"/>
                      <w:lang w:val="en-US" w:eastAsia="zh-CN"/>
                    </w:rPr>
                    <w:t>200万块/年</w:t>
                  </w:r>
                </w:p>
              </w:tc>
              <w:tc>
                <w:tcPr>
                  <w:tcW w:w="1753" w:type="dxa"/>
                  <w:vMerge w:val="restart"/>
                  <w:tcBorders>
                    <w:tl2br w:val="nil"/>
                    <w:tr2bl w:val="nil"/>
                  </w:tcBorders>
                  <w:vAlign w:val="center"/>
                </w:tcPr>
                <w:p w14:paraId="4FC0E142">
                  <w:pPr>
                    <w:bidi w:val="0"/>
                    <w:jc w:val="center"/>
                    <w:rPr>
                      <w:rFonts w:hint="default"/>
                      <w:sz w:val="18"/>
                      <w:szCs w:val="18"/>
                      <w:lang w:val="en-US" w:eastAsia="zh-CN"/>
                    </w:rPr>
                  </w:pPr>
                  <w:r>
                    <w:rPr>
                      <w:rFonts w:hint="eastAsia"/>
                      <w:sz w:val="18"/>
                      <w:szCs w:val="18"/>
                      <w:lang w:val="en-US" w:eastAsia="zh-CN"/>
                    </w:rPr>
                    <w:t>2400h/a</w:t>
                  </w:r>
                </w:p>
              </w:tc>
            </w:tr>
            <w:tr w14:paraId="6048A0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59" w:type="dxa"/>
                  <w:vMerge w:val="continue"/>
                  <w:tcBorders>
                    <w:tl2br w:val="nil"/>
                    <w:tr2bl w:val="nil"/>
                  </w:tcBorders>
                  <w:vAlign w:val="center"/>
                </w:tcPr>
                <w:p w14:paraId="5C7BB109">
                  <w:pPr>
                    <w:bidi w:val="0"/>
                    <w:jc w:val="center"/>
                    <w:rPr>
                      <w:rFonts w:hint="eastAsia"/>
                      <w:sz w:val="18"/>
                      <w:szCs w:val="18"/>
                      <w:lang w:val="en-US" w:eastAsia="zh-CN"/>
                    </w:rPr>
                  </w:pPr>
                </w:p>
              </w:tc>
              <w:tc>
                <w:tcPr>
                  <w:tcW w:w="2059" w:type="dxa"/>
                  <w:tcBorders>
                    <w:tl2br w:val="nil"/>
                    <w:tr2bl w:val="nil"/>
                  </w:tcBorders>
                  <w:vAlign w:val="center"/>
                </w:tcPr>
                <w:p w14:paraId="655420F1">
                  <w:pPr>
                    <w:bidi w:val="0"/>
                    <w:jc w:val="center"/>
                    <w:rPr>
                      <w:rFonts w:hint="eastAsia"/>
                      <w:sz w:val="18"/>
                      <w:szCs w:val="18"/>
                      <w:lang w:val="en-US" w:eastAsia="zh-CN"/>
                    </w:rPr>
                  </w:pPr>
                  <w:r>
                    <w:rPr>
                      <w:rFonts w:hint="eastAsia"/>
                      <w:sz w:val="18"/>
                      <w:szCs w:val="18"/>
                      <w:lang w:val="en-US" w:eastAsia="zh-CN"/>
                    </w:rPr>
                    <w:t>砌块</w:t>
                  </w:r>
                </w:p>
              </w:tc>
              <w:tc>
                <w:tcPr>
                  <w:tcW w:w="2369" w:type="dxa"/>
                  <w:tcBorders>
                    <w:tl2br w:val="nil"/>
                    <w:tr2bl w:val="nil"/>
                  </w:tcBorders>
                  <w:vAlign w:val="center"/>
                </w:tcPr>
                <w:p w14:paraId="4AD363A6">
                  <w:pPr>
                    <w:bidi w:val="0"/>
                    <w:jc w:val="center"/>
                    <w:rPr>
                      <w:rFonts w:hint="default"/>
                      <w:sz w:val="18"/>
                      <w:szCs w:val="18"/>
                      <w:lang w:val="en-US" w:eastAsia="zh-CN"/>
                    </w:rPr>
                  </w:pPr>
                  <w:r>
                    <w:rPr>
                      <w:rFonts w:hint="eastAsia"/>
                      <w:sz w:val="18"/>
                      <w:szCs w:val="18"/>
                      <w:lang w:val="en-US" w:eastAsia="zh-CN"/>
                    </w:rPr>
                    <w:t>10万块/年</w:t>
                  </w:r>
                </w:p>
              </w:tc>
              <w:tc>
                <w:tcPr>
                  <w:tcW w:w="1753" w:type="dxa"/>
                  <w:vMerge w:val="continue"/>
                  <w:tcBorders>
                    <w:tl2br w:val="nil"/>
                    <w:tr2bl w:val="nil"/>
                  </w:tcBorders>
                  <w:vAlign w:val="center"/>
                </w:tcPr>
                <w:p w14:paraId="55E56C86">
                  <w:pPr>
                    <w:bidi w:val="0"/>
                    <w:jc w:val="center"/>
                    <w:rPr>
                      <w:rFonts w:hint="eastAsia"/>
                      <w:sz w:val="18"/>
                      <w:szCs w:val="18"/>
                      <w:lang w:val="en-US" w:eastAsia="zh-CN"/>
                    </w:rPr>
                  </w:pPr>
                </w:p>
              </w:tc>
            </w:tr>
          </w:tbl>
          <w:p w14:paraId="5FFE7E88">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22" w:firstLineChars="200"/>
              <w:textAlignment w:val="auto"/>
              <w:rPr>
                <w:rFonts w:hint="eastAsia"/>
                <w:b/>
                <w:bCs/>
                <w:szCs w:val="21"/>
              </w:rPr>
            </w:pPr>
            <w:r>
              <w:rPr>
                <w:rFonts w:hint="eastAsia"/>
                <w:b/>
                <w:bCs/>
                <w:szCs w:val="21"/>
                <w:lang w:eastAsia="zh-CN"/>
              </w:rPr>
              <w:t>厂址原</w:t>
            </w:r>
            <w:r>
              <w:rPr>
                <w:rFonts w:hint="eastAsia"/>
                <w:b/>
                <w:bCs/>
                <w:szCs w:val="21"/>
              </w:rPr>
              <w:t>项目污染物排放情况</w:t>
            </w:r>
          </w:p>
          <w:p w14:paraId="065406CA">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lang w:eastAsia="zh-CN"/>
              </w:rPr>
            </w:pPr>
            <w:r>
              <w:rPr>
                <w:rFonts w:hint="eastAsia"/>
                <w:lang w:eastAsia="zh-CN"/>
              </w:rPr>
              <w:t>现有污染物排放工序及污染物排放种类见下表</w:t>
            </w:r>
          </w:p>
          <w:p w14:paraId="069A38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lang w:val="en-US" w:eastAsia="zh-CN"/>
              </w:rPr>
            </w:pPr>
            <w:r>
              <w:rPr>
                <w:rFonts w:hint="eastAsia"/>
                <w:b/>
                <w:bCs/>
                <w:lang w:eastAsia="zh-CN"/>
              </w:rPr>
              <w:t>表</w:t>
            </w:r>
            <w:r>
              <w:rPr>
                <w:rFonts w:hint="eastAsia"/>
                <w:b/>
                <w:bCs/>
                <w:lang w:val="en-US" w:eastAsia="zh-CN"/>
              </w:rPr>
              <w:t>2-15 现有工程污染物排放情况一览表</w:t>
            </w:r>
          </w:p>
          <w:tbl>
            <w:tblPr>
              <w:tblStyle w:val="20"/>
              <w:tblW w:w="815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2"/>
              <w:gridCol w:w="668"/>
              <w:gridCol w:w="1413"/>
              <w:gridCol w:w="1587"/>
              <w:gridCol w:w="996"/>
              <w:gridCol w:w="2912"/>
            </w:tblGrid>
            <w:tr w14:paraId="6977C1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82" w:type="dxa"/>
                  <w:tcBorders>
                    <w:tl2br w:val="nil"/>
                    <w:tr2bl w:val="nil"/>
                  </w:tcBorders>
                  <w:vAlign w:val="center"/>
                </w:tcPr>
                <w:p w14:paraId="6C469BC1">
                  <w:pPr>
                    <w:bidi w:val="0"/>
                    <w:jc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类型</w:t>
                  </w:r>
                </w:p>
              </w:tc>
              <w:tc>
                <w:tcPr>
                  <w:tcW w:w="668" w:type="dxa"/>
                  <w:tcBorders>
                    <w:tl2br w:val="nil"/>
                    <w:tr2bl w:val="nil"/>
                  </w:tcBorders>
                  <w:vAlign w:val="center"/>
                </w:tcPr>
                <w:p w14:paraId="43B91A6D">
                  <w:pPr>
                    <w:bidi w:val="0"/>
                    <w:jc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编号</w:t>
                  </w:r>
                </w:p>
              </w:tc>
              <w:tc>
                <w:tcPr>
                  <w:tcW w:w="1413" w:type="dxa"/>
                  <w:tcBorders>
                    <w:tl2br w:val="nil"/>
                    <w:tr2bl w:val="nil"/>
                  </w:tcBorders>
                  <w:vAlign w:val="center"/>
                </w:tcPr>
                <w:p w14:paraId="1C2A9527">
                  <w:pPr>
                    <w:bidi w:val="0"/>
                    <w:jc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产污环节</w:t>
                  </w:r>
                </w:p>
              </w:tc>
              <w:tc>
                <w:tcPr>
                  <w:tcW w:w="1587" w:type="dxa"/>
                  <w:tcBorders>
                    <w:tl2br w:val="nil"/>
                    <w:tr2bl w:val="nil"/>
                  </w:tcBorders>
                  <w:vAlign w:val="center"/>
                </w:tcPr>
                <w:p w14:paraId="169D598A">
                  <w:pPr>
                    <w:bidi w:val="0"/>
                    <w:jc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主要污染因子</w:t>
                  </w:r>
                </w:p>
              </w:tc>
              <w:tc>
                <w:tcPr>
                  <w:tcW w:w="996" w:type="dxa"/>
                  <w:tcBorders>
                    <w:tl2br w:val="nil"/>
                    <w:tr2bl w:val="nil"/>
                  </w:tcBorders>
                  <w:vAlign w:val="center"/>
                </w:tcPr>
                <w:p w14:paraId="394ED781">
                  <w:pPr>
                    <w:bidi w:val="0"/>
                    <w:jc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特征</w:t>
                  </w:r>
                </w:p>
              </w:tc>
              <w:tc>
                <w:tcPr>
                  <w:tcW w:w="2912" w:type="dxa"/>
                  <w:tcBorders>
                    <w:tl2br w:val="nil"/>
                    <w:tr2bl w:val="nil"/>
                  </w:tcBorders>
                  <w:vAlign w:val="center"/>
                </w:tcPr>
                <w:p w14:paraId="4308507D">
                  <w:pPr>
                    <w:bidi w:val="0"/>
                    <w:jc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处理措施及排放去向</w:t>
                  </w:r>
                </w:p>
              </w:tc>
            </w:tr>
            <w:tr w14:paraId="6E4CE3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582" w:type="dxa"/>
                  <w:vMerge w:val="restart"/>
                  <w:tcBorders>
                    <w:tl2br w:val="nil"/>
                    <w:tr2bl w:val="nil"/>
                  </w:tcBorders>
                  <w:vAlign w:val="center"/>
                </w:tcPr>
                <w:p w14:paraId="43898B83">
                  <w:pPr>
                    <w:bidi w:val="0"/>
                    <w:jc w:val="center"/>
                    <w:rPr>
                      <w:rFonts w:hint="default" w:ascii="Times New Roman" w:hAnsi="Times New Roman" w:cs="Times New Roman"/>
                      <w:color w:val="auto"/>
                      <w:sz w:val="18"/>
                      <w:szCs w:val="18"/>
                      <w:lang w:eastAsia="zh-CN"/>
                    </w:rPr>
                  </w:pPr>
                  <w:r>
                    <w:rPr>
                      <w:rFonts w:hint="eastAsia" w:cs="Times New Roman"/>
                      <w:color w:val="auto"/>
                      <w:sz w:val="18"/>
                      <w:szCs w:val="18"/>
                      <w:lang w:eastAsia="zh-CN"/>
                    </w:rPr>
                    <w:t>废气</w:t>
                  </w:r>
                </w:p>
              </w:tc>
              <w:tc>
                <w:tcPr>
                  <w:tcW w:w="668" w:type="dxa"/>
                  <w:tcBorders>
                    <w:tl2br w:val="nil"/>
                    <w:tr2bl w:val="nil"/>
                  </w:tcBorders>
                  <w:vAlign w:val="center"/>
                </w:tcPr>
                <w:p w14:paraId="5687ED94">
                  <w:pPr>
                    <w:bidi w:val="0"/>
                    <w:jc w:val="center"/>
                    <w:rPr>
                      <w:rFonts w:hint="eastAsia"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G1</w:t>
                  </w:r>
                </w:p>
              </w:tc>
              <w:tc>
                <w:tcPr>
                  <w:tcW w:w="1413" w:type="dxa"/>
                  <w:tcBorders>
                    <w:tl2br w:val="nil"/>
                    <w:tr2bl w:val="nil"/>
                  </w:tcBorders>
                  <w:vAlign w:val="center"/>
                </w:tcPr>
                <w:p w14:paraId="3EBC6C0A">
                  <w:pPr>
                    <w:bidi w:val="0"/>
                    <w:jc w:val="center"/>
                    <w:rPr>
                      <w:rFonts w:hint="eastAsia" w:cs="Times New Roman"/>
                      <w:color w:val="auto"/>
                      <w:sz w:val="18"/>
                      <w:szCs w:val="18"/>
                      <w:lang w:eastAsia="zh-CN"/>
                    </w:rPr>
                  </w:pPr>
                  <w:r>
                    <w:rPr>
                      <w:rFonts w:hint="eastAsia" w:cs="Times New Roman"/>
                      <w:color w:val="auto"/>
                      <w:sz w:val="18"/>
                      <w:szCs w:val="18"/>
                      <w:lang w:eastAsia="zh-CN"/>
                    </w:rPr>
                    <w:t>破碎</w:t>
                  </w:r>
                </w:p>
              </w:tc>
              <w:tc>
                <w:tcPr>
                  <w:tcW w:w="1587" w:type="dxa"/>
                  <w:tcBorders>
                    <w:tl2br w:val="nil"/>
                    <w:tr2bl w:val="nil"/>
                  </w:tcBorders>
                  <w:vAlign w:val="center"/>
                </w:tcPr>
                <w:p w14:paraId="634643B5">
                  <w:pPr>
                    <w:bidi w:val="0"/>
                    <w:jc w:val="center"/>
                    <w:rPr>
                      <w:rFonts w:hint="eastAsia" w:cs="Times New Roman"/>
                      <w:color w:val="auto"/>
                      <w:sz w:val="18"/>
                      <w:szCs w:val="18"/>
                      <w:lang w:eastAsia="zh-CN"/>
                    </w:rPr>
                  </w:pPr>
                  <w:r>
                    <w:rPr>
                      <w:rFonts w:hint="eastAsia" w:cs="Times New Roman"/>
                      <w:color w:val="auto"/>
                      <w:sz w:val="18"/>
                      <w:szCs w:val="18"/>
                      <w:lang w:eastAsia="zh-CN"/>
                    </w:rPr>
                    <w:t>颗粒物</w:t>
                  </w:r>
                </w:p>
              </w:tc>
              <w:tc>
                <w:tcPr>
                  <w:tcW w:w="996" w:type="dxa"/>
                  <w:tcBorders>
                    <w:tl2br w:val="nil"/>
                    <w:tr2bl w:val="nil"/>
                  </w:tcBorders>
                  <w:vAlign w:val="center"/>
                </w:tcPr>
                <w:p w14:paraId="3C85A600">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912" w:type="dxa"/>
                  <w:tcBorders>
                    <w:tl2br w:val="nil"/>
                    <w:tr2bl w:val="nil"/>
                  </w:tcBorders>
                  <w:vAlign w:val="center"/>
                </w:tcPr>
                <w:p w14:paraId="013B5FC6">
                  <w:pPr>
                    <w:bidi w:val="0"/>
                    <w:jc w:val="center"/>
                    <w:rPr>
                      <w:rFonts w:hint="default" w:cs="Times New Roman"/>
                      <w:color w:val="auto"/>
                      <w:sz w:val="18"/>
                      <w:szCs w:val="18"/>
                      <w:lang w:val="en-US" w:eastAsia="zh-CN"/>
                    </w:rPr>
                  </w:pPr>
                  <w:r>
                    <w:rPr>
                      <w:rFonts w:hint="eastAsia" w:cs="Times New Roman"/>
                      <w:color w:val="auto"/>
                      <w:sz w:val="18"/>
                      <w:szCs w:val="18"/>
                      <w:lang w:eastAsia="zh-CN"/>
                    </w:rPr>
                    <w:t>脉冲布袋除尘</w:t>
                  </w:r>
                  <w:r>
                    <w:rPr>
                      <w:rFonts w:hint="eastAsia" w:cs="Times New Roman"/>
                      <w:color w:val="auto"/>
                      <w:sz w:val="18"/>
                      <w:szCs w:val="18"/>
                      <w:lang w:val="en-US" w:eastAsia="zh-CN"/>
                    </w:rPr>
                    <w:t>+15m高排气筒</w:t>
                  </w:r>
                </w:p>
              </w:tc>
            </w:tr>
            <w:tr w14:paraId="0A4E8C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582" w:type="dxa"/>
                  <w:vMerge w:val="continue"/>
                  <w:tcBorders>
                    <w:tl2br w:val="nil"/>
                    <w:tr2bl w:val="nil"/>
                  </w:tcBorders>
                  <w:vAlign w:val="center"/>
                </w:tcPr>
                <w:p w14:paraId="69358A6E">
                  <w:pPr>
                    <w:bidi w:val="0"/>
                    <w:jc w:val="center"/>
                    <w:rPr>
                      <w:rFonts w:hint="default" w:ascii="Times New Roman" w:hAnsi="Times New Roman" w:cs="Times New Roman"/>
                      <w:color w:val="auto"/>
                      <w:sz w:val="18"/>
                      <w:szCs w:val="18"/>
                      <w:lang w:eastAsia="zh-CN"/>
                    </w:rPr>
                  </w:pPr>
                </w:p>
              </w:tc>
              <w:tc>
                <w:tcPr>
                  <w:tcW w:w="668" w:type="dxa"/>
                  <w:tcBorders>
                    <w:tl2br w:val="nil"/>
                    <w:tr2bl w:val="nil"/>
                  </w:tcBorders>
                  <w:vAlign w:val="center"/>
                </w:tcPr>
                <w:p w14:paraId="23BA3DBC">
                  <w:pPr>
                    <w:bidi w:val="0"/>
                    <w:jc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G2</w:t>
                  </w:r>
                </w:p>
              </w:tc>
              <w:tc>
                <w:tcPr>
                  <w:tcW w:w="1413" w:type="dxa"/>
                  <w:tcBorders>
                    <w:tl2br w:val="nil"/>
                    <w:tr2bl w:val="nil"/>
                  </w:tcBorders>
                  <w:vAlign w:val="center"/>
                </w:tcPr>
                <w:p w14:paraId="10EC1F7E">
                  <w:pPr>
                    <w:bidi w:val="0"/>
                    <w:jc w:val="center"/>
                    <w:rPr>
                      <w:rFonts w:hint="default" w:ascii="Times New Roman" w:hAnsi="Times New Roman" w:cs="Times New Roman"/>
                      <w:color w:val="auto"/>
                      <w:sz w:val="18"/>
                      <w:szCs w:val="18"/>
                      <w:lang w:eastAsia="zh-CN"/>
                    </w:rPr>
                  </w:pPr>
                  <w:r>
                    <w:rPr>
                      <w:rFonts w:hint="eastAsia" w:cs="Times New Roman"/>
                      <w:color w:val="auto"/>
                      <w:sz w:val="18"/>
                      <w:szCs w:val="18"/>
                      <w:lang w:eastAsia="zh-CN"/>
                    </w:rPr>
                    <w:t>搅拌</w:t>
                  </w:r>
                </w:p>
              </w:tc>
              <w:tc>
                <w:tcPr>
                  <w:tcW w:w="1587" w:type="dxa"/>
                  <w:tcBorders>
                    <w:tl2br w:val="nil"/>
                    <w:tr2bl w:val="nil"/>
                  </w:tcBorders>
                  <w:vAlign w:val="center"/>
                </w:tcPr>
                <w:p w14:paraId="0E8D1E17">
                  <w:pPr>
                    <w:bidi w:val="0"/>
                    <w:jc w:val="center"/>
                    <w:rPr>
                      <w:rFonts w:hint="default" w:ascii="Times New Roman" w:hAnsi="Times New Roman" w:cs="Times New Roman"/>
                      <w:color w:val="auto"/>
                      <w:sz w:val="18"/>
                      <w:szCs w:val="18"/>
                      <w:lang w:eastAsia="zh-CN"/>
                    </w:rPr>
                  </w:pPr>
                  <w:r>
                    <w:rPr>
                      <w:rFonts w:hint="eastAsia" w:cs="Times New Roman"/>
                      <w:color w:val="auto"/>
                      <w:sz w:val="18"/>
                      <w:szCs w:val="18"/>
                      <w:lang w:eastAsia="zh-CN"/>
                    </w:rPr>
                    <w:t>颗粒物</w:t>
                  </w:r>
                </w:p>
              </w:tc>
              <w:tc>
                <w:tcPr>
                  <w:tcW w:w="996" w:type="dxa"/>
                  <w:tcBorders>
                    <w:tl2br w:val="nil"/>
                    <w:tr2bl w:val="nil"/>
                  </w:tcBorders>
                  <w:vAlign w:val="center"/>
                </w:tcPr>
                <w:p w14:paraId="35D1791E">
                  <w:pPr>
                    <w:bidi w:val="0"/>
                    <w:jc w:val="center"/>
                    <w:rPr>
                      <w:rFonts w:hint="default" w:ascii="Times New Roman" w:hAnsi="Times New Roman" w:cs="Times New Roman"/>
                      <w:color w:val="auto"/>
                      <w:sz w:val="18"/>
                      <w:szCs w:val="18"/>
                      <w:lang w:eastAsia="zh-CN"/>
                    </w:rPr>
                  </w:pPr>
                  <w:r>
                    <w:rPr>
                      <w:rFonts w:hint="eastAsia" w:cs="Times New Roman"/>
                      <w:color w:val="auto"/>
                      <w:sz w:val="18"/>
                      <w:szCs w:val="18"/>
                      <w:lang w:eastAsia="zh-CN"/>
                    </w:rPr>
                    <w:t>间歇</w:t>
                  </w:r>
                </w:p>
              </w:tc>
              <w:tc>
                <w:tcPr>
                  <w:tcW w:w="2912" w:type="dxa"/>
                  <w:tcBorders>
                    <w:tl2br w:val="nil"/>
                    <w:tr2bl w:val="nil"/>
                  </w:tcBorders>
                  <w:vAlign w:val="center"/>
                </w:tcPr>
                <w:p w14:paraId="286A2F47">
                  <w:pPr>
                    <w:bidi w:val="0"/>
                    <w:jc w:val="center"/>
                    <w:rPr>
                      <w:rFonts w:hint="default" w:ascii="Times New Roman" w:hAnsi="Times New Roman" w:cs="Times New Roman"/>
                      <w:color w:val="auto"/>
                      <w:sz w:val="18"/>
                      <w:szCs w:val="18"/>
                      <w:lang w:val="en-US" w:eastAsia="zh-CN"/>
                    </w:rPr>
                  </w:pPr>
                  <w:r>
                    <w:rPr>
                      <w:rFonts w:hint="eastAsia" w:cs="Times New Roman"/>
                      <w:color w:val="auto"/>
                      <w:sz w:val="18"/>
                      <w:szCs w:val="18"/>
                      <w:lang w:eastAsia="zh-CN"/>
                    </w:rPr>
                    <w:t>无组织</w:t>
                  </w:r>
                </w:p>
              </w:tc>
            </w:tr>
            <w:tr w14:paraId="701B2B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82" w:type="dxa"/>
                  <w:vMerge w:val="continue"/>
                  <w:tcBorders>
                    <w:tl2br w:val="nil"/>
                    <w:tr2bl w:val="nil"/>
                  </w:tcBorders>
                  <w:vAlign w:val="center"/>
                </w:tcPr>
                <w:p w14:paraId="6892995B">
                  <w:pPr>
                    <w:bidi w:val="0"/>
                    <w:jc w:val="center"/>
                    <w:rPr>
                      <w:rFonts w:hint="eastAsia" w:cs="Times New Roman"/>
                      <w:color w:val="auto"/>
                      <w:sz w:val="18"/>
                      <w:szCs w:val="18"/>
                      <w:lang w:eastAsia="zh-CN"/>
                    </w:rPr>
                  </w:pPr>
                </w:p>
              </w:tc>
              <w:tc>
                <w:tcPr>
                  <w:tcW w:w="668" w:type="dxa"/>
                  <w:tcBorders>
                    <w:tl2br w:val="nil"/>
                    <w:tr2bl w:val="nil"/>
                  </w:tcBorders>
                  <w:vAlign w:val="center"/>
                </w:tcPr>
                <w:p w14:paraId="4C9BA466">
                  <w:pPr>
                    <w:bidi w:val="0"/>
                    <w:jc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G3</w:t>
                  </w:r>
                </w:p>
              </w:tc>
              <w:tc>
                <w:tcPr>
                  <w:tcW w:w="1413" w:type="dxa"/>
                  <w:tcBorders>
                    <w:tl2br w:val="nil"/>
                    <w:tr2bl w:val="nil"/>
                  </w:tcBorders>
                  <w:vAlign w:val="center"/>
                </w:tcPr>
                <w:p w14:paraId="02808E53">
                  <w:pPr>
                    <w:bidi w:val="0"/>
                    <w:jc w:val="center"/>
                    <w:rPr>
                      <w:rFonts w:hint="eastAsia" w:cs="Times New Roman"/>
                      <w:color w:val="auto"/>
                      <w:sz w:val="18"/>
                      <w:szCs w:val="18"/>
                      <w:lang w:eastAsia="zh-CN"/>
                    </w:rPr>
                  </w:pPr>
                  <w:r>
                    <w:rPr>
                      <w:rFonts w:hint="eastAsia" w:cs="Times New Roman"/>
                      <w:color w:val="auto"/>
                      <w:sz w:val="18"/>
                      <w:szCs w:val="18"/>
                      <w:lang w:eastAsia="zh-CN"/>
                    </w:rPr>
                    <w:t>水泥筒仓呼吸孔粉尘</w:t>
                  </w:r>
                </w:p>
              </w:tc>
              <w:tc>
                <w:tcPr>
                  <w:tcW w:w="1587" w:type="dxa"/>
                  <w:tcBorders>
                    <w:tl2br w:val="nil"/>
                    <w:tr2bl w:val="nil"/>
                  </w:tcBorders>
                  <w:vAlign w:val="center"/>
                </w:tcPr>
                <w:p w14:paraId="57413D32">
                  <w:pPr>
                    <w:bidi w:val="0"/>
                    <w:jc w:val="center"/>
                    <w:rPr>
                      <w:rFonts w:hint="default" w:ascii="Times New Roman" w:hAnsi="Times New Roman" w:cs="Times New Roman"/>
                      <w:color w:val="auto"/>
                      <w:sz w:val="18"/>
                      <w:szCs w:val="18"/>
                      <w:lang w:eastAsia="zh-CN"/>
                    </w:rPr>
                  </w:pPr>
                  <w:r>
                    <w:rPr>
                      <w:rFonts w:hint="eastAsia" w:cs="Times New Roman"/>
                      <w:color w:val="auto"/>
                      <w:sz w:val="18"/>
                      <w:szCs w:val="18"/>
                      <w:lang w:eastAsia="zh-CN"/>
                    </w:rPr>
                    <w:t>颗粒物</w:t>
                  </w:r>
                </w:p>
              </w:tc>
              <w:tc>
                <w:tcPr>
                  <w:tcW w:w="996" w:type="dxa"/>
                  <w:tcBorders>
                    <w:tl2br w:val="nil"/>
                    <w:tr2bl w:val="nil"/>
                  </w:tcBorders>
                  <w:vAlign w:val="center"/>
                </w:tcPr>
                <w:p w14:paraId="686096C9">
                  <w:pPr>
                    <w:bidi w:val="0"/>
                    <w:jc w:val="center"/>
                    <w:rPr>
                      <w:rFonts w:hint="default" w:ascii="Times New Roman" w:hAnsi="Times New Roman" w:cs="Times New Roman"/>
                      <w:color w:val="auto"/>
                      <w:sz w:val="18"/>
                      <w:szCs w:val="18"/>
                      <w:lang w:eastAsia="zh-CN"/>
                    </w:rPr>
                  </w:pPr>
                  <w:r>
                    <w:rPr>
                      <w:rFonts w:hint="eastAsia" w:cs="Times New Roman"/>
                      <w:color w:val="auto"/>
                      <w:sz w:val="18"/>
                      <w:szCs w:val="18"/>
                      <w:lang w:eastAsia="zh-CN"/>
                    </w:rPr>
                    <w:t>间歇</w:t>
                  </w:r>
                </w:p>
              </w:tc>
              <w:tc>
                <w:tcPr>
                  <w:tcW w:w="2912" w:type="dxa"/>
                  <w:tcBorders>
                    <w:tl2br w:val="nil"/>
                    <w:tr2bl w:val="nil"/>
                  </w:tcBorders>
                  <w:vAlign w:val="center"/>
                </w:tcPr>
                <w:p w14:paraId="042C90AB">
                  <w:pPr>
                    <w:bidi w:val="0"/>
                    <w:jc w:val="center"/>
                    <w:rPr>
                      <w:rFonts w:hint="default" w:ascii="Times New Roman" w:hAnsi="Times New Roman" w:cs="Times New Roman"/>
                      <w:color w:val="auto"/>
                      <w:sz w:val="18"/>
                      <w:szCs w:val="18"/>
                      <w:lang w:eastAsia="zh-CN"/>
                    </w:rPr>
                  </w:pPr>
                  <w:r>
                    <w:rPr>
                      <w:rFonts w:hint="eastAsia" w:cs="Times New Roman"/>
                      <w:color w:val="auto"/>
                      <w:sz w:val="18"/>
                      <w:szCs w:val="18"/>
                      <w:lang w:eastAsia="zh-CN"/>
                    </w:rPr>
                    <w:t>布袋除尘</w:t>
                  </w:r>
                </w:p>
              </w:tc>
            </w:tr>
            <w:tr w14:paraId="6C326C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82" w:type="dxa"/>
                  <w:vMerge w:val="continue"/>
                  <w:tcBorders>
                    <w:tl2br w:val="nil"/>
                    <w:tr2bl w:val="nil"/>
                  </w:tcBorders>
                  <w:vAlign w:val="center"/>
                </w:tcPr>
                <w:p w14:paraId="37248B6E">
                  <w:pPr>
                    <w:bidi w:val="0"/>
                    <w:jc w:val="center"/>
                    <w:rPr>
                      <w:rFonts w:hint="eastAsia" w:cs="Times New Roman"/>
                      <w:color w:val="auto"/>
                      <w:sz w:val="18"/>
                      <w:szCs w:val="18"/>
                      <w:lang w:eastAsia="zh-CN"/>
                    </w:rPr>
                  </w:pPr>
                </w:p>
              </w:tc>
              <w:tc>
                <w:tcPr>
                  <w:tcW w:w="668" w:type="dxa"/>
                  <w:tcBorders>
                    <w:tl2br w:val="nil"/>
                    <w:tr2bl w:val="nil"/>
                  </w:tcBorders>
                  <w:vAlign w:val="center"/>
                </w:tcPr>
                <w:p w14:paraId="5940032A">
                  <w:pPr>
                    <w:bidi w:val="0"/>
                    <w:jc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G4</w:t>
                  </w:r>
                </w:p>
              </w:tc>
              <w:tc>
                <w:tcPr>
                  <w:tcW w:w="1413" w:type="dxa"/>
                  <w:tcBorders>
                    <w:tl2br w:val="nil"/>
                    <w:tr2bl w:val="nil"/>
                  </w:tcBorders>
                  <w:vAlign w:val="center"/>
                </w:tcPr>
                <w:p w14:paraId="42CF34C7">
                  <w:pPr>
                    <w:bidi w:val="0"/>
                    <w:jc w:val="center"/>
                    <w:rPr>
                      <w:rFonts w:hint="eastAsia" w:cs="Times New Roman"/>
                      <w:color w:val="auto"/>
                      <w:sz w:val="18"/>
                      <w:szCs w:val="18"/>
                      <w:lang w:eastAsia="zh-CN"/>
                    </w:rPr>
                  </w:pPr>
                  <w:r>
                    <w:rPr>
                      <w:rFonts w:hint="eastAsia" w:cs="Times New Roman"/>
                      <w:color w:val="auto"/>
                      <w:sz w:val="18"/>
                      <w:szCs w:val="18"/>
                      <w:lang w:eastAsia="zh-CN"/>
                    </w:rPr>
                    <w:t>建筑垃圾存储粉尘</w:t>
                  </w:r>
                </w:p>
              </w:tc>
              <w:tc>
                <w:tcPr>
                  <w:tcW w:w="1587" w:type="dxa"/>
                  <w:tcBorders>
                    <w:tl2br w:val="nil"/>
                    <w:tr2bl w:val="nil"/>
                  </w:tcBorders>
                  <w:vAlign w:val="center"/>
                </w:tcPr>
                <w:p w14:paraId="3A06A747">
                  <w:pPr>
                    <w:bidi w:val="0"/>
                    <w:jc w:val="center"/>
                    <w:rPr>
                      <w:rFonts w:hint="eastAsia" w:cs="Times New Roman"/>
                      <w:color w:val="auto"/>
                      <w:sz w:val="18"/>
                      <w:szCs w:val="18"/>
                      <w:lang w:eastAsia="zh-CN"/>
                    </w:rPr>
                  </w:pPr>
                  <w:r>
                    <w:rPr>
                      <w:rFonts w:hint="eastAsia" w:cs="Times New Roman"/>
                      <w:color w:val="auto"/>
                      <w:sz w:val="18"/>
                      <w:szCs w:val="18"/>
                      <w:lang w:eastAsia="zh-CN"/>
                    </w:rPr>
                    <w:t>颗粒物</w:t>
                  </w:r>
                </w:p>
              </w:tc>
              <w:tc>
                <w:tcPr>
                  <w:tcW w:w="996" w:type="dxa"/>
                  <w:tcBorders>
                    <w:tl2br w:val="nil"/>
                    <w:tr2bl w:val="nil"/>
                  </w:tcBorders>
                  <w:vAlign w:val="center"/>
                </w:tcPr>
                <w:p w14:paraId="0AB82C52">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912" w:type="dxa"/>
                  <w:tcBorders>
                    <w:tl2br w:val="nil"/>
                    <w:tr2bl w:val="nil"/>
                  </w:tcBorders>
                  <w:vAlign w:val="center"/>
                </w:tcPr>
                <w:p w14:paraId="3516AAB8">
                  <w:pPr>
                    <w:bidi w:val="0"/>
                    <w:jc w:val="center"/>
                    <w:rPr>
                      <w:rFonts w:hint="eastAsia" w:cs="Times New Roman"/>
                      <w:color w:val="auto"/>
                      <w:sz w:val="18"/>
                      <w:szCs w:val="18"/>
                      <w:lang w:eastAsia="zh-CN"/>
                    </w:rPr>
                  </w:pPr>
                  <w:r>
                    <w:rPr>
                      <w:rFonts w:hint="eastAsia" w:cs="Times New Roman"/>
                      <w:color w:val="auto"/>
                      <w:sz w:val="18"/>
                      <w:szCs w:val="18"/>
                      <w:lang w:eastAsia="zh-CN"/>
                    </w:rPr>
                    <w:t>封闭车间内堆放</w:t>
                  </w:r>
                </w:p>
              </w:tc>
            </w:tr>
            <w:tr w14:paraId="3B8853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2" w:type="dxa"/>
                  <w:vMerge w:val="continue"/>
                  <w:tcBorders>
                    <w:tl2br w:val="nil"/>
                    <w:tr2bl w:val="nil"/>
                  </w:tcBorders>
                  <w:vAlign w:val="center"/>
                </w:tcPr>
                <w:p w14:paraId="7A99EB95">
                  <w:pPr>
                    <w:bidi w:val="0"/>
                    <w:jc w:val="center"/>
                    <w:rPr>
                      <w:rFonts w:hint="eastAsia" w:cs="Times New Roman"/>
                      <w:color w:val="auto"/>
                      <w:sz w:val="18"/>
                      <w:szCs w:val="18"/>
                      <w:lang w:eastAsia="zh-CN"/>
                    </w:rPr>
                  </w:pPr>
                </w:p>
              </w:tc>
              <w:tc>
                <w:tcPr>
                  <w:tcW w:w="668" w:type="dxa"/>
                  <w:tcBorders>
                    <w:tl2br w:val="nil"/>
                    <w:tr2bl w:val="nil"/>
                  </w:tcBorders>
                  <w:vAlign w:val="center"/>
                </w:tcPr>
                <w:p w14:paraId="67C39369">
                  <w:pPr>
                    <w:bidi w:val="0"/>
                    <w:jc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G5</w:t>
                  </w:r>
                </w:p>
              </w:tc>
              <w:tc>
                <w:tcPr>
                  <w:tcW w:w="1413" w:type="dxa"/>
                  <w:tcBorders>
                    <w:tl2br w:val="nil"/>
                    <w:tr2bl w:val="nil"/>
                  </w:tcBorders>
                  <w:vAlign w:val="center"/>
                </w:tcPr>
                <w:p w14:paraId="69702A7F">
                  <w:pPr>
                    <w:bidi w:val="0"/>
                    <w:jc w:val="center"/>
                    <w:rPr>
                      <w:rFonts w:hint="eastAsia" w:cs="Times New Roman"/>
                      <w:color w:val="auto"/>
                      <w:sz w:val="18"/>
                      <w:szCs w:val="18"/>
                      <w:lang w:eastAsia="zh-CN"/>
                    </w:rPr>
                  </w:pPr>
                  <w:r>
                    <w:rPr>
                      <w:rFonts w:hint="eastAsia" w:cs="Times New Roman"/>
                      <w:color w:val="auto"/>
                      <w:sz w:val="18"/>
                      <w:szCs w:val="18"/>
                      <w:lang w:eastAsia="zh-CN"/>
                    </w:rPr>
                    <w:t>物料装卸、输送粉尘</w:t>
                  </w:r>
                </w:p>
              </w:tc>
              <w:tc>
                <w:tcPr>
                  <w:tcW w:w="1587" w:type="dxa"/>
                  <w:tcBorders>
                    <w:tl2br w:val="nil"/>
                    <w:tr2bl w:val="nil"/>
                  </w:tcBorders>
                  <w:vAlign w:val="center"/>
                </w:tcPr>
                <w:p w14:paraId="7C094B49">
                  <w:pPr>
                    <w:bidi w:val="0"/>
                    <w:jc w:val="center"/>
                    <w:rPr>
                      <w:rFonts w:hint="eastAsia" w:cs="Times New Roman"/>
                      <w:color w:val="auto"/>
                      <w:sz w:val="18"/>
                      <w:szCs w:val="18"/>
                      <w:lang w:eastAsia="zh-CN"/>
                    </w:rPr>
                  </w:pPr>
                  <w:r>
                    <w:rPr>
                      <w:rFonts w:hint="eastAsia" w:cs="Times New Roman"/>
                      <w:color w:val="auto"/>
                      <w:sz w:val="18"/>
                      <w:szCs w:val="18"/>
                      <w:lang w:eastAsia="zh-CN"/>
                    </w:rPr>
                    <w:t>颗粒物</w:t>
                  </w:r>
                </w:p>
              </w:tc>
              <w:tc>
                <w:tcPr>
                  <w:tcW w:w="996" w:type="dxa"/>
                  <w:tcBorders>
                    <w:tl2br w:val="nil"/>
                    <w:tr2bl w:val="nil"/>
                  </w:tcBorders>
                  <w:vAlign w:val="center"/>
                </w:tcPr>
                <w:p w14:paraId="5A7DBEB2">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912" w:type="dxa"/>
                  <w:tcBorders>
                    <w:tl2br w:val="nil"/>
                    <w:tr2bl w:val="nil"/>
                  </w:tcBorders>
                  <w:vAlign w:val="center"/>
                </w:tcPr>
                <w:p w14:paraId="606D13D2">
                  <w:pPr>
                    <w:bidi w:val="0"/>
                    <w:jc w:val="center"/>
                    <w:rPr>
                      <w:rFonts w:hint="eastAsia" w:cs="Times New Roman"/>
                      <w:color w:val="auto"/>
                      <w:sz w:val="18"/>
                      <w:szCs w:val="18"/>
                      <w:lang w:eastAsia="zh-CN"/>
                    </w:rPr>
                  </w:pPr>
                  <w:r>
                    <w:rPr>
                      <w:rFonts w:hint="eastAsia" w:cs="Times New Roman"/>
                      <w:color w:val="auto"/>
                      <w:sz w:val="18"/>
                      <w:szCs w:val="18"/>
                      <w:lang w:eastAsia="zh-CN"/>
                    </w:rPr>
                    <w:t>全部在车间内进行装卸，并在车间内采取洒水降尘措施</w:t>
                  </w:r>
                </w:p>
              </w:tc>
            </w:tr>
            <w:tr w14:paraId="09C1A1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82" w:type="dxa"/>
                  <w:vMerge w:val="continue"/>
                  <w:tcBorders>
                    <w:tl2br w:val="nil"/>
                    <w:tr2bl w:val="nil"/>
                  </w:tcBorders>
                  <w:vAlign w:val="center"/>
                </w:tcPr>
                <w:p w14:paraId="24D8D7FA">
                  <w:pPr>
                    <w:bidi w:val="0"/>
                    <w:jc w:val="center"/>
                    <w:rPr>
                      <w:rFonts w:hint="eastAsia" w:cs="Times New Roman"/>
                      <w:color w:val="auto"/>
                      <w:sz w:val="18"/>
                      <w:szCs w:val="18"/>
                      <w:lang w:eastAsia="zh-CN"/>
                    </w:rPr>
                  </w:pPr>
                </w:p>
              </w:tc>
              <w:tc>
                <w:tcPr>
                  <w:tcW w:w="668" w:type="dxa"/>
                  <w:tcBorders>
                    <w:tl2br w:val="nil"/>
                    <w:tr2bl w:val="nil"/>
                  </w:tcBorders>
                  <w:vAlign w:val="center"/>
                </w:tcPr>
                <w:p w14:paraId="75AA1581">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G6</w:t>
                  </w:r>
                </w:p>
              </w:tc>
              <w:tc>
                <w:tcPr>
                  <w:tcW w:w="1413" w:type="dxa"/>
                  <w:tcBorders>
                    <w:tl2br w:val="nil"/>
                    <w:tr2bl w:val="nil"/>
                  </w:tcBorders>
                  <w:vAlign w:val="center"/>
                </w:tcPr>
                <w:p w14:paraId="03263435">
                  <w:pPr>
                    <w:bidi w:val="0"/>
                    <w:jc w:val="center"/>
                    <w:rPr>
                      <w:rFonts w:hint="eastAsia" w:cs="Times New Roman"/>
                      <w:color w:val="auto"/>
                      <w:sz w:val="18"/>
                      <w:szCs w:val="18"/>
                      <w:lang w:eastAsia="zh-CN"/>
                    </w:rPr>
                  </w:pPr>
                  <w:r>
                    <w:rPr>
                      <w:rFonts w:hint="eastAsia" w:cs="Times New Roman"/>
                      <w:color w:val="auto"/>
                      <w:sz w:val="18"/>
                      <w:szCs w:val="18"/>
                      <w:lang w:eastAsia="zh-CN"/>
                    </w:rPr>
                    <w:t>喂料粉尘</w:t>
                  </w:r>
                </w:p>
              </w:tc>
              <w:tc>
                <w:tcPr>
                  <w:tcW w:w="1587" w:type="dxa"/>
                  <w:tcBorders>
                    <w:tl2br w:val="nil"/>
                    <w:tr2bl w:val="nil"/>
                  </w:tcBorders>
                  <w:vAlign w:val="center"/>
                </w:tcPr>
                <w:p w14:paraId="759BC11A">
                  <w:pPr>
                    <w:bidi w:val="0"/>
                    <w:jc w:val="center"/>
                    <w:rPr>
                      <w:rFonts w:hint="eastAsia" w:cs="Times New Roman"/>
                      <w:color w:val="auto"/>
                      <w:sz w:val="18"/>
                      <w:szCs w:val="18"/>
                      <w:lang w:eastAsia="zh-CN"/>
                    </w:rPr>
                  </w:pPr>
                  <w:r>
                    <w:rPr>
                      <w:rFonts w:hint="eastAsia" w:cs="Times New Roman"/>
                      <w:color w:val="auto"/>
                      <w:sz w:val="18"/>
                      <w:szCs w:val="18"/>
                      <w:lang w:eastAsia="zh-CN"/>
                    </w:rPr>
                    <w:t>油烟</w:t>
                  </w:r>
                </w:p>
              </w:tc>
              <w:tc>
                <w:tcPr>
                  <w:tcW w:w="996" w:type="dxa"/>
                  <w:tcBorders>
                    <w:tl2br w:val="nil"/>
                    <w:tr2bl w:val="nil"/>
                  </w:tcBorders>
                  <w:vAlign w:val="center"/>
                </w:tcPr>
                <w:p w14:paraId="1DA89F9E">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912" w:type="dxa"/>
                  <w:tcBorders>
                    <w:tl2br w:val="nil"/>
                    <w:tr2bl w:val="nil"/>
                  </w:tcBorders>
                  <w:vAlign w:val="center"/>
                </w:tcPr>
                <w:p w14:paraId="1055D12C">
                  <w:pPr>
                    <w:bidi w:val="0"/>
                    <w:jc w:val="center"/>
                    <w:rPr>
                      <w:rFonts w:hint="eastAsia" w:cs="Times New Roman"/>
                      <w:color w:val="auto"/>
                      <w:sz w:val="18"/>
                      <w:szCs w:val="18"/>
                      <w:lang w:eastAsia="zh-CN"/>
                    </w:rPr>
                  </w:pPr>
                  <w:r>
                    <w:rPr>
                      <w:rFonts w:hint="eastAsia" w:cs="Times New Roman"/>
                      <w:color w:val="auto"/>
                      <w:sz w:val="18"/>
                      <w:szCs w:val="18"/>
                      <w:lang w:eastAsia="zh-CN"/>
                    </w:rPr>
                    <w:t>喂料器周边洒水降尘</w:t>
                  </w:r>
                </w:p>
              </w:tc>
            </w:tr>
            <w:tr w14:paraId="09180E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82" w:type="dxa"/>
                  <w:vMerge w:val="restart"/>
                  <w:tcBorders>
                    <w:tl2br w:val="nil"/>
                    <w:tr2bl w:val="nil"/>
                  </w:tcBorders>
                  <w:vAlign w:val="center"/>
                </w:tcPr>
                <w:p w14:paraId="42350BE9">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废水</w:t>
                  </w:r>
                </w:p>
              </w:tc>
              <w:tc>
                <w:tcPr>
                  <w:tcW w:w="668" w:type="dxa"/>
                  <w:tcBorders>
                    <w:tl2br w:val="nil"/>
                    <w:tr2bl w:val="nil"/>
                  </w:tcBorders>
                  <w:vAlign w:val="center"/>
                </w:tcPr>
                <w:p w14:paraId="1823E60B">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W1</w:t>
                  </w:r>
                </w:p>
              </w:tc>
              <w:tc>
                <w:tcPr>
                  <w:tcW w:w="1413" w:type="dxa"/>
                  <w:tcBorders>
                    <w:tl2br w:val="nil"/>
                    <w:tr2bl w:val="nil"/>
                  </w:tcBorders>
                  <w:vAlign w:val="center"/>
                </w:tcPr>
                <w:p w14:paraId="76F801F9">
                  <w:pPr>
                    <w:bidi w:val="0"/>
                    <w:jc w:val="center"/>
                    <w:rPr>
                      <w:rFonts w:hint="eastAsia" w:cs="Times New Roman"/>
                      <w:color w:val="auto"/>
                      <w:sz w:val="18"/>
                      <w:szCs w:val="18"/>
                      <w:lang w:eastAsia="zh-CN"/>
                    </w:rPr>
                  </w:pPr>
                  <w:r>
                    <w:rPr>
                      <w:rFonts w:hint="eastAsia" w:cs="Times New Roman"/>
                      <w:color w:val="auto"/>
                      <w:sz w:val="18"/>
                      <w:szCs w:val="18"/>
                      <w:lang w:eastAsia="zh-CN"/>
                    </w:rPr>
                    <w:t>搅拌机清洗废水</w:t>
                  </w:r>
                </w:p>
              </w:tc>
              <w:tc>
                <w:tcPr>
                  <w:tcW w:w="1587" w:type="dxa"/>
                  <w:tcBorders>
                    <w:tl2br w:val="nil"/>
                    <w:tr2bl w:val="nil"/>
                  </w:tcBorders>
                  <w:vAlign w:val="center"/>
                </w:tcPr>
                <w:p w14:paraId="78D04830">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pH、COD、SS</w:t>
                  </w:r>
                </w:p>
              </w:tc>
              <w:tc>
                <w:tcPr>
                  <w:tcW w:w="996" w:type="dxa"/>
                  <w:tcBorders>
                    <w:tl2br w:val="nil"/>
                    <w:tr2bl w:val="nil"/>
                  </w:tcBorders>
                  <w:vAlign w:val="center"/>
                </w:tcPr>
                <w:p w14:paraId="5BF0ADAF">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912" w:type="dxa"/>
                  <w:vMerge w:val="restart"/>
                  <w:tcBorders>
                    <w:tl2br w:val="nil"/>
                    <w:tr2bl w:val="nil"/>
                  </w:tcBorders>
                  <w:vAlign w:val="center"/>
                </w:tcPr>
                <w:p w14:paraId="32C6D4E9">
                  <w:pPr>
                    <w:bidi w:val="0"/>
                    <w:jc w:val="center"/>
                    <w:rPr>
                      <w:rFonts w:hint="default" w:cs="Times New Roman"/>
                      <w:color w:val="auto"/>
                      <w:sz w:val="18"/>
                      <w:szCs w:val="18"/>
                      <w:lang w:val="en-US" w:eastAsia="zh-CN"/>
                    </w:rPr>
                  </w:pPr>
                  <w:r>
                    <w:rPr>
                      <w:rFonts w:hint="eastAsia" w:cs="Times New Roman"/>
                      <w:color w:val="auto"/>
                      <w:sz w:val="18"/>
                      <w:szCs w:val="18"/>
                      <w:lang w:eastAsia="zh-CN"/>
                    </w:rPr>
                    <w:t>雨水收集池、压滤机处理后用于搅拌工序</w:t>
                  </w:r>
                </w:p>
              </w:tc>
            </w:tr>
            <w:tr w14:paraId="379846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82" w:type="dxa"/>
                  <w:vMerge w:val="continue"/>
                  <w:tcBorders>
                    <w:tl2br w:val="nil"/>
                    <w:tr2bl w:val="nil"/>
                  </w:tcBorders>
                  <w:vAlign w:val="center"/>
                </w:tcPr>
                <w:p w14:paraId="7BDB2344">
                  <w:pPr>
                    <w:bidi w:val="0"/>
                    <w:jc w:val="center"/>
                    <w:rPr>
                      <w:rFonts w:hint="eastAsia" w:cs="Times New Roman"/>
                      <w:color w:val="auto"/>
                      <w:sz w:val="18"/>
                      <w:szCs w:val="18"/>
                      <w:lang w:eastAsia="zh-CN"/>
                    </w:rPr>
                  </w:pPr>
                </w:p>
              </w:tc>
              <w:tc>
                <w:tcPr>
                  <w:tcW w:w="668" w:type="dxa"/>
                  <w:tcBorders>
                    <w:tl2br w:val="nil"/>
                    <w:tr2bl w:val="nil"/>
                  </w:tcBorders>
                  <w:vAlign w:val="center"/>
                </w:tcPr>
                <w:p w14:paraId="1954386D">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W2</w:t>
                  </w:r>
                </w:p>
              </w:tc>
              <w:tc>
                <w:tcPr>
                  <w:tcW w:w="1413" w:type="dxa"/>
                  <w:tcBorders>
                    <w:tl2br w:val="nil"/>
                    <w:tr2bl w:val="nil"/>
                  </w:tcBorders>
                  <w:vAlign w:val="center"/>
                </w:tcPr>
                <w:p w14:paraId="02EDA3B9">
                  <w:pPr>
                    <w:bidi w:val="0"/>
                    <w:jc w:val="center"/>
                    <w:rPr>
                      <w:rFonts w:hint="eastAsia" w:cs="Times New Roman"/>
                      <w:color w:val="auto"/>
                      <w:sz w:val="18"/>
                      <w:szCs w:val="18"/>
                      <w:lang w:eastAsia="zh-CN"/>
                    </w:rPr>
                  </w:pPr>
                  <w:r>
                    <w:rPr>
                      <w:rFonts w:hint="eastAsia" w:cs="Times New Roman"/>
                      <w:color w:val="auto"/>
                      <w:sz w:val="18"/>
                      <w:szCs w:val="18"/>
                      <w:lang w:eastAsia="zh-CN"/>
                    </w:rPr>
                    <w:t>运输车辆清洗废水</w:t>
                  </w:r>
                </w:p>
              </w:tc>
              <w:tc>
                <w:tcPr>
                  <w:tcW w:w="1587" w:type="dxa"/>
                  <w:tcBorders>
                    <w:tl2br w:val="nil"/>
                    <w:tr2bl w:val="nil"/>
                  </w:tcBorders>
                  <w:vAlign w:val="center"/>
                </w:tcPr>
                <w:p w14:paraId="77814D16">
                  <w:pPr>
                    <w:bidi w:val="0"/>
                    <w:jc w:val="center"/>
                    <w:rPr>
                      <w:rFonts w:hint="eastAsia" w:cs="Times New Roman"/>
                      <w:color w:val="auto"/>
                      <w:sz w:val="18"/>
                      <w:szCs w:val="18"/>
                      <w:lang w:eastAsia="zh-CN"/>
                    </w:rPr>
                  </w:pPr>
                  <w:r>
                    <w:rPr>
                      <w:rFonts w:hint="eastAsia" w:cs="Times New Roman"/>
                      <w:color w:val="auto"/>
                      <w:sz w:val="18"/>
                      <w:szCs w:val="18"/>
                      <w:lang w:val="en-US" w:eastAsia="zh-CN"/>
                    </w:rPr>
                    <w:t>pH、COD、SS</w:t>
                  </w:r>
                </w:p>
              </w:tc>
              <w:tc>
                <w:tcPr>
                  <w:tcW w:w="996" w:type="dxa"/>
                  <w:tcBorders>
                    <w:tl2br w:val="nil"/>
                    <w:tr2bl w:val="nil"/>
                  </w:tcBorders>
                  <w:vAlign w:val="center"/>
                </w:tcPr>
                <w:p w14:paraId="2A9CD248">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912" w:type="dxa"/>
                  <w:vMerge w:val="continue"/>
                  <w:tcBorders>
                    <w:tl2br w:val="nil"/>
                    <w:tr2bl w:val="nil"/>
                  </w:tcBorders>
                  <w:vAlign w:val="center"/>
                </w:tcPr>
                <w:p w14:paraId="60428329">
                  <w:pPr>
                    <w:bidi w:val="0"/>
                    <w:jc w:val="center"/>
                    <w:rPr>
                      <w:rFonts w:hint="eastAsia" w:cs="Times New Roman"/>
                      <w:color w:val="auto"/>
                      <w:sz w:val="18"/>
                      <w:szCs w:val="18"/>
                      <w:lang w:eastAsia="zh-CN"/>
                    </w:rPr>
                  </w:pPr>
                </w:p>
              </w:tc>
            </w:tr>
            <w:tr w14:paraId="314251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82" w:type="dxa"/>
                  <w:vMerge w:val="continue"/>
                  <w:tcBorders>
                    <w:tl2br w:val="nil"/>
                    <w:tr2bl w:val="nil"/>
                  </w:tcBorders>
                  <w:vAlign w:val="center"/>
                </w:tcPr>
                <w:p w14:paraId="391FCCB2">
                  <w:pPr>
                    <w:bidi w:val="0"/>
                    <w:jc w:val="center"/>
                    <w:rPr>
                      <w:rFonts w:hint="eastAsia" w:cs="Times New Roman"/>
                      <w:color w:val="auto"/>
                      <w:sz w:val="18"/>
                      <w:szCs w:val="18"/>
                      <w:lang w:eastAsia="zh-CN"/>
                    </w:rPr>
                  </w:pPr>
                </w:p>
              </w:tc>
              <w:tc>
                <w:tcPr>
                  <w:tcW w:w="668" w:type="dxa"/>
                  <w:tcBorders>
                    <w:tl2br w:val="nil"/>
                    <w:tr2bl w:val="nil"/>
                  </w:tcBorders>
                  <w:vAlign w:val="center"/>
                </w:tcPr>
                <w:p w14:paraId="07517EA1">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W3</w:t>
                  </w:r>
                </w:p>
              </w:tc>
              <w:tc>
                <w:tcPr>
                  <w:tcW w:w="1413" w:type="dxa"/>
                  <w:tcBorders>
                    <w:tl2br w:val="nil"/>
                    <w:tr2bl w:val="nil"/>
                  </w:tcBorders>
                  <w:vAlign w:val="center"/>
                </w:tcPr>
                <w:p w14:paraId="1C86A09E">
                  <w:pPr>
                    <w:bidi w:val="0"/>
                    <w:jc w:val="center"/>
                    <w:rPr>
                      <w:rFonts w:hint="eastAsia" w:cs="Times New Roman"/>
                      <w:color w:val="auto"/>
                      <w:sz w:val="18"/>
                      <w:szCs w:val="18"/>
                      <w:lang w:eastAsia="zh-CN"/>
                    </w:rPr>
                  </w:pPr>
                  <w:r>
                    <w:rPr>
                      <w:rFonts w:hint="eastAsia" w:cs="Times New Roman"/>
                      <w:color w:val="auto"/>
                      <w:sz w:val="18"/>
                      <w:szCs w:val="18"/>
                      <w:lang w:eastAsia="zh-CN"/>
                    </w:rPr>
                    <w:t>喷淋废水</w:t>
                  </w:r>
                </w:p>
              </w:tc>
              <w:tc>
                <w:tcPr>
                  <w:tcW w:w="1587" w:type="dxa"/>
                  <w:tcBorders>
                    <w:tl2br w:val="nil"/>
                    <w:tr2bl w:val="nil"/>
                  </w:tcBorders>
                  <w:vAlign w:val="center"/>
                </w:tcPr>
                <w:p w14:paraId="3A196AB4">
                  <w:pPr>
                    <w:bidi w:val="0"/>
                    <w:jc w:val="center"/>
                    <w:rPr>
                      <w:rFonts w:hint="eastAsia" w:cs="Times New Roman"/>
                      <w:color w:val="auto"/>
                      <w:sz w:val="18"/>
                      <w:szCs w:val="18"/>
                      <w:lang w:eastAsia="zh-CN"/>
                    </w:rPr>
                  </w:pPr>
                  <w:r>
                    <w:rPr>
                      <w:rFonts w:hint="eastAsia" w:cs="Times New Roman"/>
                      <w:color w:val="auto"/>
                      <w:sz w:val="18"/>
                      <w:szCs w:val="18"/>
                      <w:lang w:val="en-US" w:eastAsia="zh-CN"/>
                    </w:rPr>
                    <w:t>pH、COD、SS</w:t>
                  </w:r>
                </w:p>
              </w:tc>
              <w:tc>
                <w:tcPr>
                  <w:tcW w:w="996" w:type="dxa"/>
                  <w:tcBorders>
                    <w:tl2br w:val="nil"/>
                    <w:tr2bl w:val="nil"/>
                  </w:tcBorders>
                  <w:vAlign w:val="center"/>
                </w:tcPr>
                <w:p w14:paraId="5DDCA062">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912" w:type="dxa"/>
                  <w:tcBorders>
                    <w:tl2br w:val="nil"/>
                    <w:tr2bl w:val="nil"/>
                  </w:tcBorders>
                  <w:vAlign w:val="center"/>
                </w:tcPr>
                <w:p w14:paraId="3C39095F">
                  <w:pPr>
                    <w:bidi w:val="0"/>
                    <w:jc w:val="center"/>
                    <w:rPr>
                      <w:rFonts w:hint="eastAsia" w:cs="Times New Roman"/>
                      <w:color w:val="auto"/>
                      <w:sz w:val="18"/>
                      <w:szCs w:val="18"/>
                      <w:lang w:eastAsia="zh-CN"/>
                    </w:rPr>
                  </w:pPr>
                  <w:r>
                    <w:rPr>
                      <w:rFonts w:hint="eastAsia" w:cs="Times New Roman"/>
                      <w:color w:val="auto"/>
                      <w:sz w:val="18"/>
                      <w:szCs w:val="18"/>
                      <w:lang w:eastAsia="zh-CN"/>
                    </w:rPr>
                    <w:t>自然蒸发</w:t>
                  </w:r>
                </w:p>
              </w:tc>
            </w:tr>
            <w:tr w14:paraId="48A795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82" w:type="dxa"/>
                  <w:vMerge w:val="continue"/>
                  <w:tcBorders>
                    <w:tl2br w:val="nil"/>
                    <w:tr2bl w:val="nil"/>
                  </w:tcBorders>
                  <w:vAlign w:val="center"/>
                </w:tcPr>
                <w:p w14:paraId="6E127DCF">
                  <w:pPr>
                    <w:bidi w:val="0"/>
                    <w:jc w:val="center"/>
                    <w:rPr>
                      <w:rFonts w:hint="eastAsia" w:cs="Times New Roman"/>
                      <w:color w:val="auto"/>
                      <w:sz w:val="18"/>
                      <w:szCs w:val="18"/>
                      <w:lang w:eastAsia="zh-CN"/>
                    </w:rPr>
                  </w:pPr>
                </w:p>
              </w:tc>
              <w:tc>
                <w:tcPr>
                  <w:tcW w:w="668" w:type="dxa"/>
                  <w:tcBorders>
                    <w:tl2br w:val="nil"/>
                    <w:tr2bl w:val="nil"/>
                  </w:tcBorders>
                  <w:vAlign w:val="center"/>
                </w:tcPr>
                <w:p w14:paraId="697044E0">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W4</w:t>
                  </w:r>
                </w:p>
              </w:tc>
              <w:tc>
                <w:tcPr>
                  <w:tcW w:w="1413" w:type="dxa"/>
                  <w:tcBorders>
                    <w:tl2br w:val="nil"/>
                    <w:tr2bl w:val="nil"/>
                  </w:tcBorders>
                  <w:vAlign w:val="center"/>
                </w:tcPr>
                <w:p w14:paraId="5D062FA0">
                  <w:pPr>
                    <w:bidi w:val="0"/>
                    <w:jc w:val="center"/>
                    <w:rPr>
                      <w:rFonts w:hint="eastAsia" w:cs="Times New Roman"/>
                      <w:color w:val="auto"/>
                      <w:sz w:val="18"/>
                      <w:szCs w:val="18"/>
                      <w:lang w:eastAsia="zh-CN"/>
                    </w:rPr>
                  </w:pPr>
                  <w:r>
                    <w:rPr>
                      <w:rFonts w:hint="eastAsia" w:cs="Times New Roman"/>
                      <w:color w:val="auto"/>
                      <w:sz w:val="18"/>
                      <w:szCs w:val="18"/>
                      <w:lang w:eastAsia="zh-CN"/>
                    </w:rPr>
                    <w:t>养护废水</w:t>
                  </w:r>
                </w:p>
              </w:tc>
              <w:tc>
                <w:tcPr>
                  <w:tcW w:w="1587" w:type="dxa"/>
                  <w:tcBorders>
                    <w:tl2br w:val="nil"/>
                    <w:tr2bl w:val="nil"/>
                  </w:tcBorders>
                  <w:vAlign w:val="center"/>
                </w:tcPr>
                <w:p w14:paraId="1F0EB107">
                  <w:pPr>
                    <w:bidi w:val="0"/>
                    <w:jc w:val="center"/>
                    <w:rPr>
                      <w:rFonts w:hint="eastAsia" w:cs="Times New Roman"/>
                      <w:color w:val="auto"/>
                      <w:sz w:val="18"/>
                      <w:szCs w:val="18"/>
                      <w:lang w:eastAsia="zh-CN"/>
                    </w:rPr>
                  </w:pPr>
                  <w:r>
                    <w:rPr>
                      <w:rFonts w:hint="eastAsia" w:cs="Times New Roman"/>
                      <w:color w:val="auto"/>
                      <w:sz w:val="18"/>
                      <w:szCs w:val="18"/>
                      <w:lang w:val="en-US" w:eastAsia="zh-CN"/>
                    </w:rPr>
                    <w:t>pH、COD、SS</w:t>
                  </w:r>
                </w:p>
              </w:tc>
              <w:tc>
                <w:tcPr>
                  <w:tcW w:w="996" w:type="dxa"/>
                  <w:tcBorders>
                    <w:tl2br w:val="nil"/>
                    <w:tr2bl w:val="nil"/>
                  </w:tcBorders>
                  <w:vAlign w:val="center"/>
                </w:tcPr>
                <w:p w14:paraId="50AC90BD">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912" w:type="dxa"/>
                  <w:tcBorders>
                    <w:tl2br w:val="nil"/>
                    <w:tr2bl w:val="nil"/>
                  </w:tcBorders>
                  <w:vAlign w:val="center"/>
                </w:tcPr>
                <w:p w14:paraId="36E0222C">
                  <w:pPr>
                    <w:bidi w:val="0"/>
                    <w:jc w:val="center"/>
                    <w:rPr>
                      <w:rFonts w:hint="eastAsia" w:cs="Times New Roman"/>
                      <w:color w:val="auto"/>
                      <w:sz w:val="18"/>
                      <w:szCs w:val="18"/>
                      <w:lang w:eastAsia="zh-CN"/>
                    </w:rPr>
                  </w:pPr>
                  <w:r>
                    <w:rPr>
                      <w:rFonts w:hint="eastAsia" w:cs="Times New Roman"/>
                      <w:color w:val="auto"/>
                      <w:sz w:val="18"/>
                      <w:szCs w:val="18"/>
                      <w:lang w:eastAsia="zh-CN"/>
                    </w:rPr>
                    <w:t>循环使用</w:t>
                  </w:r>
                </w:p>
              </w:tc>
            </w:tr>
            <w:tr w14:paraId="5C20AF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82" w:type="dxa"/>
                  <w:vMerge w:val="continue"/>
                  <w:tcBorders>
                    <w:tl2br w:val="nil"/>
                    <w:tr2bl w:val="nil"/>
                  </w:tcBorders>
                  <w:vAlign w:val="center"/>
                </w:tcPr>
                <w:p w14:paraId="2F52B8D3">
                  <w:pPr>
                    <w:bidi w:val="0"/>
                    <w:jc w:val="center"/>
                    <w:rPr>
                      <w:rFonts w:hint="eastAsia" w:cs="Times New Roman"/>
                      <w:color w:val="auto"/>
                      <w:sz w:val="18"/>
                      <w:szCs w:val="18"/>
                      <w:lang w:eastAsia="zh-CN"/>
                    </w:rPr>
                  </w:pPr>
                </w:p>
              </w:tc>
              <w:tc>
                <w:tcPr>
                  <w:tcW w:w="668" w:type="dxa"/>
                  <w:tcBorders>
                    <w:tl2br w:val="nil"/>
                    <w:tr2bl w:val="nil"/>
                  </w:tcBorders>
                  <w:vAlign w:val="center"/>
                </w:tcPr>
                <w:p w14:paraId="5793F155">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W5</w:t>
                  </w:r>
                </w:p>
              </w:tc>
              <w:tc>
                <w:tcPr>
                  <w:tcW w:w="1413" w:type="dxa"/>
                  <w:tcBorders>
                    <w:tl2br w:val="nil"/>
                    <w:tr2bl w:val="nil"/>
                  </w:tcBorders>
                  <w:vAlign w:val="center"/>
                </w:tcPr>
                <w:p w14:paraId="3AF54D1A">
                  <w:pPr>
                    <w:bidi w:val="0"/>
                    <w:jc w:val="center"/>
                    <w:rPr>
                      <w:rFonts w:hint="eastAsia" w:cs="Times New Roman"/>
                      <w:color w:val="auto"/>
                      <w:sz w:val="18"/>
                      <w:szCs w:val="18"/>
                      <w:lang w:eastAsia="zh-CN"/>
                    </w:rPr>
                  </w:pPr>
                  <w:r>
                    <w:rPr>
                      <w:rFonts w:hint="eastAsia" w:cs="Times New Roman"/>
                      <w:color w:val="auto"/>
                      <w:sz w:val="18"/>
                      <w:szCs w:val="18"/>
                      <w:lang w:eastAsia="zh-CN"/>
                    </w:rPr>
                    <w:t>员工生活</w:t>
                  </w:r>
                </w:p>
              </w:tc>
              <w:tc>
                <w:tcPr>
                  <w:tcW w:w="1587" w:type="dxa"/>
                  <w:tcBorders>
                    <w:tl2br w:val="nil"/>
                    <w:tr2bl w:val="nil"/>
                  </w:tcBorders>
                  <w:vAlign w:val="center"/>
                </w:tcPr>
                <w:p w14:paraId="3FD0C456">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COD、SS、NH</w:t>
                  </w:r>
                  <w:r>
                    <w:rPr>
                      <w:rFonts w:hint="eastAsia" w:cs="Times New Roman"/>
                      <w:color w:val="auto"/>
                      <w:sz w:val="18"/>
                      <w:szCs w:val="18"/>
                      <w:vertAlign w:val="subscript"/>
                      <w:lang w:val="en-US" w:eastAsia="zh-CN"/>
                    </w:rPr>
                    <w:t>3</w:t>
                  </w:r>
                  <w:r>
                    <w:rPr>
                      <w:rFonts w:hint="eastAsia" w:cs="Times New Roman"/>
                      <w:color w:val="auto"/>
                      <w:sz w:val="18"/>
                      <w:szCs w:val="18"/>
                      <w:lang w:val="en-US" w:eastAsia="zh-CN"/>
                    </w:rPr>
                    <w:t>-N、TP、TN</w:t>
                  </w:r>
                </w:p>
              </w:tc>
              <w:tc>
                <w:tcPr>
                  <w:tcW w:w="996" w:type="dxa"/>
                  <w:tcBorders>
                    <w:tl2br w:val="nil"/>
                    <w:tr2bl w:val="nil"/>
                  </w:tcBorders>
                  <w:vAlign w:val="center"/>
                </w:tcPr>
                <w:p w14:paraId="2DC1999C">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912" w:type="dxa"/>
                  <w:tcBorders>
                    <w:tl2br w:val="nil"/>
                    <w:tr2bl w:val="nil"/>
                  </w:tcBorders>
                  <w:vAlign w:val="center"/>
                </w:tcPr>
                <w:p w14:paraId="10DCF5B7">
                  <w:pPr>
                    <w:bidi w:val="0"/>
                    <w:jc w:val="center"/>
                    <w:rPr>
                      <w:rFonts w:hint="eastAsia" w:cs="Times New Roman"/>
                      <w:color w:val="auto"/>
                      <w:sz w:val="18"/>
                      <w:szCs w:val="18"/>
                      <w:lang w:eastAsia="zh-CN"/>
                    </w:rPr>
                  </w:pPr>
                  <w:r>
                    <w:rPr>
                      <w:rFonts w:hint="eastAsia" w:cs="Times New Roman"/>
                      <w:color w:val="auto"/>
                      <w:sz w:val="18"/>
                      <w:szCs w:val="18"/>
                      <w:lang w:eastAsia="zh-CN"/>
                    </w:rPr>
                    <w:t>化粪池处理后排入联合水务（启东）有限公司</w:t>
                  </w:r>
                </w:p>
              </w:tc>
            </w:tr>
            <w:tr w14:paraId="527B30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82" w:type="dxa"/>
                  <w:vMerge w:val="restart"/>
                  <w:tcBorders>
                    <w:tl2br w:val="nil"/>
                    <w:tr2bl w:val="nil"/>
                  </w:tcBorders>
                  <w:vAlign w:val="center"/>
                </w:tcPr>
                <w:p w14:paraId="00F9F276">
                  <w:pPr>
                    <w:bidi w:val="0"/>
                    <w:jc w:val="center"/>
                    <w:rPr>
                      <w:rFonts w:hint="eastAsia" w:cs="Times New Roman"/>
                      <w:color w:val="auto"/>
                      <w:sz w:val="18"/>
                      <w:szCs w:val="18"/>
                      <w:lang w:eastAsia="zh-CN"/>
                    </w:rPr>
                  </w:pPr>
                  <w:r>
                    <w:rPr>
                      <w:rFonts w:hint="eastAsia" w:cs="Times New Roman"/>
                      <w:color w:val="auto"/>
                      <w:sz w:val="18"/>
                      <w:szCs w:val="18"/>
                      <w:lang w:eastAsia="zh-CN"/>
                    </w:rPr>
                    <w:t>固废</w:t>
                  </w:r>
                </w:p>
              </w:tc>
              <w:tc>
                <w:tcPr>
                  <w:tcW w:w="668" w:type="dxa"/>
                  <w:tcBorders>
                    <w:tl2br w:val="nil"/>
                    <w:tr2bl w:val="nil"/>
                  </w:tcBorders>
                  <w:vAlign w:val="center"/>
                </w:tcPr>
                <w:p w14:paraId="249405FA">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S1</w:t>
                  </w:r>
                </w:p>
              </w:tc>
              <w:tc>
                <w:tcPr>
                  <w:tcW w:w="1413" w:type="dxa"/>
                  <w:tcBorders>
                    <w:tl2br w:val="nil"/>
                    <w:tr2bl w:val="nil"/>
                  </w:tcBorders>
                  <w:vAlign w:val="center"/>
                </w:tcPr>
                <w:p w14:paraId="78048D9A">
                  <w:pPr>
                    <w:bidi w:val="0"/>
                    <w:jc w:val="center"/>
                    <w:rPr>
                      <w:rFonts w:hint="eastAsia" w:cs="Times New Roman"/>
                      <w:color w:val="auto"/>
                      <w:sz w:val="18"/>
                      <w:szCs w:val="18"/>
                      <w:lang w:eastAsia="zh-CN"/>
                    </w:rPr>
                  </w:pPr>
                  <w:r>
                    <w:rPr>
                      <w:rFonts w:hint="eastAsia" w:cs="Times New Roman"/>
                      <w:color w:val="auto"/>
                      <w:sz w:val="18"/>
                      <w:szCs w:val="18"/>
                      <w:lang w:eastAsia="zh-CN"/>
                    </w:rPr>
                    <w:t>废气处理</w:t>
                  </w:r>
                </w:p>
              </w:tc>
              <w:tc>
                <w:tcPr>
                  <w:tcW w:w="1587" w:type="dxa"/>
                  <w:tcBorders>
                    <w:tl2br w:val="nil"/>
                    <w:tr2bl w:val="nil"/>
                  </w:tcBorders>
                  <w:vAlign w:val="center"/>
                </w:tcPr>
                <w:p w14:paraId="7F6EF684">
                  <w:pPr>
                    <w:bidi w:val="0"/>
                    <w:jc w:val="center"/>
                    <w:rPr>
                      <w:rFonts w:hint="eastAsia" w:cs="Times New Roman"/>
                      <w:color w:val="auto"/>
                      <w:sz w:val="18"/>
                      <w:szCs w:val="18"/>
                      <w:lang w:val="en-US" w:eastAsia="zh-CN"/>
                    </w:rPr>
                  </w:pPr>
                  <w:r>
                    <w:rPr>
                      <w:rFonts w:hint="eastAsia" w:cs="Times New Roman"/>
                      <w:color w:val="auto"/>
                      <w:sz w:val="18"/>
                      <w:szCs w:val="18"/>
                      <w:lang w:eastAsia="zh-CN"/>
                    </w:rPr>
                    <w:t>除尘器收集粉尘</w:t>
                  </w:r>
                </w:p>
              </w:tc>
              <w:tc>
                <w:tcPr>
                  <w:tcW w:w="996" w:type="dxa"/>
                  <w:tcBorders>
                    <w:tl2br w:val="nil"/>
                    <w:tr2bl w:val="nil"/>
                  </w:tcBorders>
                  <w:vAlign w:val="center"/>
                </w:tcPr>
                <w:p w14:paraId="0832B239">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912" w:type="dxa"/>
                  <w:vMerge w:val="restart"/>
                  <w:tcBorders>
                    <w:tl2br w:val="nil"/>
                    <w:tr2bl w:val="nil"/>
                  </w:tcBorders>
                  <w:vAlign w:val="center"/>
                </w:tcPr>
                <w:p w14:paraId="4E5D1B49">
                  <w:pPr>
                    <w:bidi w:val="0"/>
                    <w:jc w:val="center"/>
                    <w:rPr>
                      <w:rFonts w:hint="eastAsia" w:cs="Times New Roman"/>
                      <w:color w:val="auto"/>
                      <w:sz w:val="18"/>
                      <w:szCs w:val="18"/>
                      <w:lang w:eastAsia="zh-CN"/>
                    </w:rPr>
                  </w:pPr>
                  <w:r>
                    <w:rPr>
                      <w:rFonts w:hint="eastAsia" w:cs="Times New Roman"/>
                      <w:color w:val="auto"/>
                      <w:sz w:val="18"/>
                      <w:szCs w:val="18"/>
                      <w:lang w:eastAsia="zh-CN"/>
                    </w:rPr>
                    <w:t>回用于生产</w:t>
                  </w:r>
                </w:p>
              </w:tc>
            </w:tr>
            <w:tr w14:paraId="3867D0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82" w:type="dxa"/>
                  <w:vMerge w:val="continue"/>
                  <w:tcBorders>
                    <w:tl2br w:val="nil"/>
                    <w:tr2bl w:val="nil"/>
                  </w:tcBorders>
                  <w:vAlign w:val="center"/>
                </w:tcPr>
                <w:p w14:paraId="32546F1B">
                  <w:pPr>
                    <w:bidi w:val="0"/>
                    <w:jc w:val="center"/>
                    <w:rPr>
                      <w:rFonts w:hint="eastAsia" w:cs="Times New Roman"/>
                      <w:color w:val="auto"/>
                      <w:sz w:val="18"/>
                      <w:szCs w:val="18"/>
                      <w:lang w:eastAsia="zh-CN"/>
                    </w:rPr>
                  </w:pPr>
                </w:p>
              </w:tc>
              <w:tc>
                <w:tcPr>
                  <w:tcW w:w="668" w:type="dxa"/>
                  <w:tcBorders>
                    <w:tl2br w:val="nil"/>
                    <w:tr2bl w:val="nil"/>
                  </w:tcBorders>
                  <w:vAlign w:val="center"/>
                </w:tcPr>
                <w:p w14:paraId="59F70D45">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S2</w:t>
                  </w:r>
                </w:p>
              </w:tc>
              <w:tc>
                <w:tcPr>
                  <w:tcW w:w="1413" w:type="dxa"/>
                  <w:tcBorders>
                    <w:tl2br w:val="nil"/>
                    <w:tr2bl w:val="nil"/>
                  </w:tcBorders>
                  <w:vAlign w:val="center"/>
                </w:tcPr>
                <w:p w14:paraId="76C7E72E">
                  <w:pPr>
                    <w:bidi w:val="0"/>
                    <w:jc w:val="center"/>
                    <w:rPr>
                      <w:rFonts w:hint="eastAsia" w:cs="Times New Roman"/>
                      <w:color w:val="auto"/>
                      <w:sz w:val="18"/>
                      <w:szCs w:val="18"/>
                      <w:lang w:eastAsia="zh-CN"/>
                    </w:rPr>
                  </w:pPr>
                  <w:r>
                    <w:rPr>
                      <w:rFonts w:hint="eastAsia" w:cs="Times New Roman"/>
                      <w:color w:val="auto"/>
                      <w:sz w:val="18"/>
                      <w:szCs w:val="18"/>
                      <w:lang w:eastAsia="zh-CN"/>
                    </w:rPr>
                    <w:t>破碎</w:t>
                  </w:r>
                </w:p>
              </w:tc>
              <w:tc>
                <w:tcPr>
                  <w:tcW w:w="1587" w:type="dxa"/>
                  <w:tcBorders>
                    <w:tl2br w:val="nil"/>
                    <w:tr2bl w:val="nil"/>
                  </w:tcBorders>
                  <w:vAlign w:val="center"/>
                </w:tcPr>
                <w:p w14:paraId="127CB90B">
                  <w:pPr>
                    <w:bidi w:val="0"/>
                    <w:jc w:val="center"/>
                    <w:rPr>
                      <w:rFonts w:hint="eastAsia" w:cs="Times New Roman"/>
                      <w:color w:val="auto"/>
                      <w:sz w:val="18"/>
                      <w:szCs w:val="18"/>
                      <w:lang w:val="en-US" w:eastAsia="zh-CN"/>
                    </w:rPr>
                  </w:pPr>
                  <w:r>
                    <w:rPr>
                      <w:rFonts w:hint="eastAsia" w:cs="Times New Roman"/>
                      <w:color w:val="auto"/>
                      <w:sz w:val="18"/>
                      <w:szCs w:val="18"/>
                      <w:lang w:eastAsia="zh-CN"/>
                    </w:rPr>
                    <w:t>碎渣</w:t>
                  </w:r>
                </w:p>
              </w:tc>
              <w:tc>
                <w:tcPr>
                  <w:tcW w:w="996" w:type="dxa"/>
                  <w:tcBorders>
                    <w:tl2br w:val="nil"/>
                    <w:tr2bl w:val="nil"/>
                  </w:tcBorders>
                  <w:vAlign w:val="center"/>
                </w:tcPr>
                <w:p w14:paraId="2E910D0C">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912" w:type="dxa"/>
                  <w:vMerge w:val="continue"/>
                  <w:tcBorders>
                    <w:tl2br w:val="nil"/>
                    <w:tr2bl w:val="nil"/>
                  </w:tcBorders>
                  <w:vAlign w:val="center"/>
                </w:tcPr>
                <w:p w14:paraId="4A74E58C">
                  <w:pPr>
                    <w:bidi w:val="0"/>
                    <w:jc w:val="center"/>
                    <w:rPr>
                      <w:rFonts w:hint="eastAsia" w:cs="Times New Roman"/>
                      <w:color w:val="auto"/>
                      <w:sz w:val="18"/>
                      <w:szCs w:val="18"/>
                      <w:lang w:eastAsia="zh-CN"/>
                    </w:rPr>
                  </w:pPr>
                </w:p>
              </w:tc>
            </w:tr>
            <w:tr w14:paraId="0950F2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82" w:type="dxa"/>
                  <w:vMerge w:val="continue"/>
                  <w:tcBorders>
                    <w:tl2br w:val="nil"/>
                    <w:tr2bl w:val="nil"/>
                  </w:tcBorders>
                  <w:vAlign w:val="center"/>
                </w:tcPr>
                <w:p w14:paraId="00ADCC34">
                  <w:pPr>
                    <w:bidi w:val="0"/>
                    <w:jc w:val="center"/>
                    <w:rPr>
                      <w:rFonts w:hint="eastAsia" w:cs="Times New Roman"/>
                      <w:color w:val="auto"/>
                      <w:sz w:val="18"/>
                      <w:szCs w:val="18"/>
                      <w:lang w:eastAsia="zh-CN"/>
                    </w:rPr>
                  </w:pPr>
                </w:p>
              </w:tc>
              <w:tc>
                <w:tcPr>
                  <w:tcW w:w="668" w:type="dxa"/>
                  <w:tcBorders>
                    <w:tl2br w:val="nil"/>
                    <w:tr2bl w:val="nil"/>
                  </w:tcBorders>
                  <w:vAlign w:val="center"/>
                </w:tcPr>
                <w:p w14:paraId="214316D4">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S3</w:t>
                  </w:r>
                </w:p>
              </w:tc>
              <w:tc>
                <w:tcPr>
                  <w:tcW w:w="1413" w:type="dxa"/>
                  <w:tcBorders>
                    <w:tl2br w:val="nil"/>
                    <w:tr2bl w:val="nil"/>
                  </w:tcBorders>
                  <w:vAlign w:val="center"/>
                </w:tcPr>
                <w:p w14:paraId="3598D30B">
                  <w:pPr>
                    <w:bidi w:val="0"/>
                    <w:jc w:val="center"/>
                    <w:rPr>
                      <w:rFonts w:hint="eastAsia" w:cs="Times New Roman"/>
                      <w:color w:val="auto"/>
                      <w:sz w:val="18"/>
                      <w:szCs w:val="18"/>
                      <w:lang w:eastAsia="zh-CN"/>
                    </w:rPr>
                  </w:pPr>
                  <w:r>
                    <w:rPr>
                      <w:rFonts w:hint="eastAsia" w:cs="Times New Roman"/>
                      <w:color w:val="auto"/>
                      <w:sz w:val="18"/>
                      <w:szCs w:val="18"/>
                      <w:lang w:eastAsia="zh-CN"/>
                    </w:rPr>
                    <w:t>养护</w:t>
                  </w:r>
                </w:p>
              </w:tc>
              <w:tc>
                <w:tcPr>
                  <w:tcW w:w="1587" w:type="dxa"/>
                  <w:tcBorders>
                    <w:tl2br w:val="nil"/>
                    <w:tr2bl w:val="nil"/>
                  </w:tcBorders>
                  <w:vAlign w:val="center"/>
                </w:tcPr>
                <w:p w14:paraId="24E40373">
                  <w:pPr>
                    <w:bidi w:val="0"/>
                    <w:jc w:val="center"/>
                    <w:rPr>
                      <w:rFonts w:hint="eastAsia" w:cs="Times New Roman"/>
                      <w:color w:val="auto"/>
                      <w:sz w:val="18"/>
                      <w:szCs w:val="18"/>
                      <w:lang w:val="en-US" w:eastAsia="zh-CN"/>
                    </w:rPr>
                  </w:pPr>
                  <w:r>
                    <w:rPr>
                      <w:rFonts w:hint="eastAsia" w:cs="Times New Roman"/>
                      <w:color w:val="auto"/>
                      <w:sz w:val="18"/>
                      <w:szCs w:val="18"/>
                      <w:lang w:eastAsia="zh-CN"/>
                    </w:rPr>
                    <w:t>残次品</w:t>
                  </w:r>
                </w:p>
              </w:tc>
              <w:tc>
                <w:tcPr>
                  <w:tcW w:w="996" w:type="dxa"/>
                  <w:tcBorders>
                    <w:tl2br w:val="nil"/>
                    <w:tr2bl w:val="nil"/>
                  </w:tcBorders>
                  <w:vAlign w:val="center"/>
                </w:tcPr>
                <w:p w14:paraId="1D62D960">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912" w:type="dxa"/>
                  <w:vMerge w:val="continue"/>
                  <w:tcBorders>
                    <w:tl2br w:val="nil"/>
                    <w:tr2bl w:val="nil"/>
                  </w:tcBorders>
                  <w:vAlign w:val="center"/>
                </w:tcPr>
                <w:p w14:paraId="341EA768">
                  <w:pPr>
                    <w:bidi w:val="0"/>
                    <w:jc w:val="center"/>
                    <w:rPr>
                      <w:rFonts w:hint="eastAsia" w:cs="Times New Roman"/>
                      <w:color w:val="auto"/>
                      <w:sz w:val="18"/>
                      <w:szCs w:val="18"/>
                      <w:lang w:eastAsia="zh-CN"/>
                    </w:rPr>
                  </w:pPr>
                </w:p>
              </w:tc>
            </w:tr>
            <w:tr w14:paraId="6CCC59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82" w:type="dxa"/>
                  <w:vMerge w:val="continue"/>
                  <w:tcBorders>
                    <w:tl2br w:val="nil"/>
                    <w:tr2bl w:val="nil"/>
                  </w:tcBorders>
                  <w:vAlign w:val="center"/>
                </w:tcPr>
                <w:p w14:paraId="45763B1D">
                  <w:pPr>
                    <w:bidi w:val="0"/>
                    <w:jc w:val="center"/>
                    <w:rPr>
                      <w:rFonts w:hint="eastAsia" w:cs="Times New Roman"/>
                      <w:color w:val="auto"/>
                      <w:sz w:val="18"/>
                      <w:szCs w:val="18"/>
                      <w:lang w:eastAsia="zh-CN"/>
                    </w:rPr>
                  </w:pPr>
                </w:p>
              </w:tc>
              <w:tc>
                <w:tcPr>
                  <w:tcW w:w="668" w:type="dxa"/>
                  <w:tcBorders>
                    <w:tl2br w:val="nil"/>
                    <w:tr2bl w:val="nil"/>
                  </w:tcBorders>
                  <w:vAlign w:val="center"/>
                </w:tcPr>
                <w:p w14:paraId="4D535978">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S4</w:t>
                  </w:r>
                </w:p>
              </w:tc>
              <w:tc>
                <w:tcPr>
                  <w:tcW w:w="1413" w:type="dxa"/>
                  <w:tcBorders>
                    <w:tl2br w:val="nil"/>
                    <w:tr2bl w:val="nil"/>
                  </w:tcBorders>
                  <w:vAlign w:val="center"/>
                </w:tcPr>
                <w:p w14:paraId="59C2EF1B">
                  <w:pPr>
                    <w:bidi w:val="0"/>
                    <w:jc w:val="center"/>
                    <w:rPr>
                      <w:rFonts w:hint="eastAsia" w:cs="Times New Roman"/>
                      <w:color w:val="auto"/>
                      <w:sz w:val="18"/>
                      <w:szCs w:val="18"/>
                      <w:lang w:eastAsia="zh-CN"/>
                    </w:rPr>
                  </w:pPr>
                  <w:r>
                    <w:rPr>
                      <w:rFonts w:hint="eastAsia" w:cs="Times New Roman"/>
                      <w:color w:val="auto"/>
                      <w:sz w:val="18"/>
                      <w:szCs w:val="18"/>
                      <w:lang w:eastAsia="zh-CN"/>
                    </w:rPr>
                    <w:t>搅拌</w:t>
                  </w:r>
                </w:p>
              </w:tc>
              <w:tc>
                <w:tcPr>
                  <w:tcW w:w="1587" w:type="dxa"/>
                  <w:tcBorders>
                    <w:tl2br w:val="nil"/>
                    <w:tr2bl w:val="nil"/>
                  </w:tcBorders>
                  <w:vAlign w:val="center"/>
                </w:tcPr>
                <w:p w14:paraId="3F5980D3">
                  <w:pPr>
                    <w:bidi w:val="0"/>
                    <w:jc w:val="center"/>
                    <w:rPr>
                      <w:rFonts w:hint="eastAsia" w:cs="Times New Roman"/>
                      <w:color w:val="auto"/>
                      <w:sz w:val="18"/>
                      <w:szCs w:val="18"/>
                      <w:lang w:val="en-US" w:eastAsia="zh-CN"/>
                    </w:rPr>
                  </w:pPr>
                  <w:r>
                    <w:rPr>
                      <w:rFonts w:hint="eastAsia" w:cs="Times New Roman"/>
                      <w:color w:val="auto"/>
                      <w:sz w:val="18"/>
                      <w:szCs w:val="18"/>
                      <w:lang w:eastAsia="zh-CN"/>
                    </w:rPr>
                    <w:t>污泥</w:t>
                  </w:r>
                </w:p>
              </w:tc>
              <w:tc>
                <w:tcPr>
                  <w:tcW w:w="996" w:type="dxa"/>
                  <w:tcBorders>
                    <w:tl2br w:val="nil"/>
                    <w:tr2bl w:val="nil"/>
                  </w:tcBorders>
                  <w:vAlign w:val="center"/>
                </w:tcPr>
                <w:p w14:paraId="31E4FB3D">
                  <w:pPr>
                    <w:bidi w:val="0"/>
                    <w:jc w:val="center"/>
                    <w:rPr>
                      <w:rFonts w:hint="eastAsia" w:cs="Times New Roman"/>
                      <w:color w:val="auto"/>
                      <w:sz w:val="18"/>
                      <w:szCs w:val="18"/>
                      <w:lang w:eastAsia="zh-CN"/>
                    </w:rPr>
                  </w:pPr>
                </w:p>
              </w:tc>
              <w:tc>
                <w:tcPr>
                  <w:tcW w:w="2912" w:type="dxa"/>
                  <w:vMerge w:val="continue"/>
                  <w:tcBorders>
                    <w:tl2br w:val="nil"/>
                    <w:tr2bl w:val="nil"/>
                  </w:tcBorders>
                  <w:vAlign w:val="center"/>
                </w:tcPr>
                <w:p w14:paraId="1C493110">
                  <w:pPr>
                    <w:bidi w:val="0"/>
                    <w:jc w:val="center"/>
                    <w:rPr>
                      <w:rFonts w:hint="eastAsia" w:cs="Times New Roman"/>
                      <w:color w:val="auto"/>
                      <w:sz w:val="18"/>
                      <w:szCs w:val="18"/>
                      <w:lang w:eastAsia="zh-CN"/>
                    </w:rPr>
                  </w:pPr>
                </w:p>
              </w:tc>
            </w:tr>
            <w:tr w14:paraId="65673F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82" w:type="dxa"/>
                  <w:vMerge w:val="continue"/>
                  <w:tcBorders>
                    <w:tl2br w:val="nil"/>
                    <w:tr2bl w:val="nil"/>
                  </w:tcBorders>
                  <w:vAlign w:val="center"/>
                </w:tcPr>
                <w:p w14:paraId="462EDA01">
                  <w:pPr>
                    <w:bidi w:val="0"/>
                    <w:jc w:val="center"/>
                    <w:rPr>
                      <w:rFonts w:hint="eastAsia" w:cs="Times New Roman"/>
                      <w:color w:val="auto"/>
                      <w:sz w:val="18"/>
                      <w:szCs w:val="18"/>
                      <w:lang w:eastAsia="zh-CN"/>
                    </w:rPr>
                  </w:pPr>
                </w:p>
              </w:tc>
              <w:tc>
                <w:tcPr>
                  <w:tcW w:w="668" w:type="dxa"/>
                  <w:tcBorders>
                    <w:tl2br w:val="nil"/>
                    <w:tr2bl w:val="nil"/>
                  </w:tcBorders>
                  <w:vAlign w:val="center"/>
                </w:tcPr>
                <w:p w14:paraId="08E03235">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S5</w:t>
                  </w:r>
                </w:p>
              </w:tc>
              <w:tc>
                <w:tcPr>
                  <w:tcW w:w="1413" w:type="dxa"/>
                  <w:tcBorders>
                    <w:tl2br w:val="nil"/>
                    <w:tr2bl w:val="nil"/>
                  </w:tcBorders>
                  <w:vAlign w:val="center"/>
                </w:tcPr>
                <w:p w14:paraId="22E2D56A">
                  <w:pPr>
                    <w:bidi w:val="0"/>
                    <w:jc w:val="center"/>
                    <w:rPr>
                      <w:rFonts w:hint="eastAsia" w:cs="Times New Roman"/>
                      <w:color w:val="auto"/>
                      <w:sz w:val="18"/>
                      <w:szCs w:val="18"/>
                      <w:lang w:eastAsia="zh-CN"/>
                    </w:rPr>
                  </w:pPr>
                  <w:r>
                    <w:rPr>
                      <w:rFonts w:hint="eastAsia" w:cs="Times New Roman"/>
                      <w:color w:val="auto"/>
                      <w:sz w:val="18"/>
                      <w:szCs w:val="18"/>
                      <w:lang w:eastAsia="zh-CN"/>
                    </w:rPr>
                    <w:t>维修保养</w:t>
                  </w:r>
                </w:p>
              </w:tc>
              <w:tc>
                <w:tcPr>
                  <w:tcW w:w="1587" w:type="dxa"/>
                  <w:tcBorders>
                    <w:tl2br w:val="nil"/>
                    <w:tr2bl w:val="nil"/>
                  </w:tcBorders>
                  <w:vAlign w:val="center"/>
                </w:tcPr>
                <w:p w14:paraId="5871AF9D">
                  <w:pPr>
                    <w:bidi w:val="0"/>
                    <w:jc w:val="center"/>
                    <w:rPr>
                      <w:rFonts w:hint="eastAsia" w:cs="Times New Roman"/>
                      <w:color w:val="auto"/>
                      <w:sz w:val="18"/>
                      <w:szCs w:val="18"/>
                      <w:lang w:val="en-US" w:eastAsia="zh-CN"/>
                    </w:rPr>
                  </w:pPr>
                  <w:r>
                    <w:rPr>
                      <w:rFonts w:hint="eastAsia" w:cs="Times New Roman"/>
                      <w:color w:val="auto"/>
                      <w:sz w:val="18"/>
                      <w:szCs w:val="18"/>
                      <w:lang w:eastAsia="zh-CN"/>
                    </w:rPr>
                    <w:t>机修废油</w:t>
                  </w:r>
                </w:p>
              </w:tc>
              <w:tc>
                <w:tcPr>
                  <w:tcW w:w="996" w:type="dxa"/>
                  <w:tcBorders>
                    <w:tl2br w:val="nil"/>
                    <w:tr2bl w:val="nil"/>
                  </w:tcBorders>
                  <w:vAlign w:val="center"/>
                </w:tcPr>
                <w:p w14:paraId="3CEB9817">
                  <w:pPr>
                    <w:bidi w:val="0"/>
                    <w:jc w:val="center"/>
                    <w:rPr>
                      <w:rFonts w:hint="eastAsia" w:cs="Times New Roman"/>
                      <w:color w:val="auto"/>
                      <w:sz w:val="18"/>
                      <w:szCs w:val="18"/>
                      <w:lang w:eastAsia="zh-CN"/>
                    </w:rPr>
                  </w:pPr>
                </w:p>
              </w:tc>
              <w:tc>
                <w:tcPr>
                  <w:tcW w:w="2912" w:type="dxa"/>
                  <w:tcBorders>
                    <w:tl2br w:val="nil"/>
                    <w:tr2bl w:val="nil"/>
                  </w:tcBorders>
                  <w:vAlign w:val="center"/>
                </w:tcPr>
                <w:p w14:paraId="4F37DF0D">
                  <w:pPr>
                    <w:bidi w:val="0"/>
                    <w:jc w:val="center"/>
                    <w:rPr>
                      <w:rFonts w:hint="eastAsia" w:cs="Times New Roman"/>
                      <w:color w:val="auto"/>
                      <w:sz w:val="18"/>
                      <w:szCs w:val="18"/>
                      <w:lang w:eastAsia="zh-CN"/>
                    </w:rPr>
                  </w:pPr>
                  <w:r>
                    <w:rPr>
                      <w:rFonts w:hint="eastAsia" w:cs="Times New Roman"/>
                      <w:color w:val="auto"/>
                      <w:sz w:val="18"/>
                      <w:szCs w:val="18"/>
                      <w:lang w:eastAsia="zh-CN"/>
                    </w:rPr>
                    <w:t>有资质单位</w:t>
                  </w:r>
                </w:p>
              </w:tc>
            </w:tr>
            <w:tr w14:paraId="68CEDF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82" w:type="dxa"/>
                  <w:vMerge w:val="continue"/>
                  <w:tcBorders>
                    <w:tl2br w:val="nil"/>
                    <w:tr2bl w:val="nil"/>
                  </w:tcBorders>
                  <w:vAlign w:val="center"/>
                </w:tcPr>
                <w:p w14:paraId="33028C6B">
                  <w:pPr>
                    <w:bidi w:val="0"/>
                    <w:jc w:val="center"/>
                    <w:rPr>
                      <w:rFonts w:hint="eastAsia" w:cs="Times New Roman"/>
                      <w:color w:val="auto"/>
                      <w:sz w:val="18"/>
                      <w:szCs w:val="18"/>
                      <w:lang w:eastAsia="zh-CN"/>
                    </w:rPr>
                  </w:pPr>
                </w:p>
              </w:tc>
              <w:tc>
                <w:tcPr>
                  <w:tcW w:w="668" w:type="dxa"/>
                  <w:tcBorders>
                    <w:tl2br w:val="nil"/>
                    <w:tr2bl w:val="nil"/>
                  </w:tcBorders>
                  <w:vAlign w:val="center"/>
                </w:tcPr>
                <w:p w14:paraId="66E68496">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S6</w:t>
                  </w:r>
                </w:p>
              </w:tc>
              <w:tc>
                <w:tcPr>
                  <w:tcW w:w="1413" w:type="dxa"/>
                  <w:tcBorders>
                    <w:tl2br w:val="nil"/>
                    <w:tr2bl w:val="nil"/>
                  </w:tcBorders>
                  <w:vAlign w:val="center"/>
                </w:tcPr>
                <w:p w14:paraId="666954D5">
                  <w:pPr>
                    <w:bidi w:val="0"/>
                    <w:jc w:val="center"/>
                    <w:rPr>
                      <w:rFonts w:hint="eastAsia" w:cs="Times New Roman"/>
                      <w:color w:val="auto"/>
                      <w:sz w:val="18"/>
                      <w:szCs w:val="18"/>
                      <w:lang w:eastAsia="zh-CN"/>
                    </w:rPr>
                  </w:pPr>
                  <w:r>
                    <w:rPr>
                      <w:rFonts w:hint="eastAsia" w:cs="Times New Roman"/>
                      <w:color w:val="auto"/>
                      <w:sz w:val="18"/>
                      <w:szCs w:val="18"/>
                      <w:lang w:eastAsia="zh-CN"/>
                    </w:rPr>
                    <w:t>员工生活</w:t>
                  </w:r>
                </w:p>
              </w:tc>
              <w:tc>
                <w:tcPr>
                  <w:tcW w:w="1587" w:type="dxa"/>
                  <w:tcBorders>
                    <w:tl2br w:val="nil"/>
                    <w:tr2bl w:val="nil"/>
                  </w:tcBorders>
                  <w:vAlign w:val="center"/>
                </w:tcPr>
                <w:p w14:paraId="6085CCA0">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生活垃圾</w:t>
                  </w:r>
                </w:p>
              </w:tc>
              <w:tc>
                <w:tcPr>
                  <w:tcW w:w="996" w:type="dxa"/>
                  <w:tcBorders>
                    <w:tl2br w:val="nil"/>
                    <w:tr2bl w:val="nil"/>
                  </w:tcBorders>
                  <w:vAlign w:val="center"/>
                </w:tcPr>
                <w:p w14:paraId="581AEB88">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912" w:type="dxa"/>
                  <w:tcBorders>
                    <w:tl2br w:val="nil"/>
                    <w:tr2bl w:val="nil"/>
                  </w:tcBorders>
                  <w:vAlign w:val="center"/>
                </w:tcPr>
                <w:p w14:paraId="0E5F35F1">
                  <w:pPr>
                    <w:bidi w:val="0"/>
                    <w:jc w:val="center"/>
                    <w:rPr>
                      <w:rFonts w:hint="eastAsia" w:cs="Times New Roman"/>
                      <w:color w:val="auto"/>
                      <w:sz w:val="18"/>
                      <w:szCs w:val="18"/>
                      <w:lang w:eastAsia="zh-CN"/>
                    </w:rPr>
                  </w:pPr>
                  <w:r>
                    <w:rPr>
                      <w:rFonts w:hint="eastAsia" w:cs="Times New Roman"/>
                      <w:color w:val="auto"/>
                      <w:sz w:val="18"/>
                      <w:szCs w:val="18"/>
                      <w:lang w:eastAsia="zh-CN"/>
                    </w:rPr>
                    <w:t>环卫部门</w:t>
                  </w:r>
                </w:p>
              </w:tc>
            </w:tr>
            <w:tr w14:paraId="033C40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582" w:type="dxa"/>
                  <w:vMerge w:val="continue"/>
                  <w:tcBorders>
                    <w:tl2br w:val="nil"/>
                    <w:tr2bl w:val="nil"/>
                  </w:tcBorders>
                  <w:vAlign w:val="center"/>
                </w:tcPr>
                <w:p w14:paraId="748CF3DF">
                  <w:pPr>
                    <w:bidi w:val="0"/>
                    <w:jc w:val="center"/>
                    <w:rPr>
                      <w:rFonts w:hint="eastAsia" w:cs="Times New Roman"/>
                      <w:color w:val="auto"/>
                      <w:sz w:val="18"/>
                      <w:szCs w:val="18"/>
                      <w:lang w:eastAsia="zh-CN"/>
                    </w:rPr>
                  </w:pPr>
                </w:p>
              </w:tc>
              <w:tc>
                <w:tcPr>
                  <w:tcW w:w="668" w:type="dxa"/>
                  <w:tcBorders>
                    <w:tl2br w:val="nil"/>
                    <w:tr2bl w:val="nil"/>
                  </w:tcBorders>
                  <w:vAlign w:val="center"/>
                </w:tcPr>
                <w:p w14:paraId="2DAF2192">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S7</w:t>
                  </w:r>
                </w:p>
              </w:tc>
              <w:tc>
                <w:tcPr>
                  <w:tcW w:w="1413" w:type="dxa"/>
                  <w:tcBorders>
                    <w:tl2br w:val="nil"/>
                    <w:tr2bl w:val="nil"/>
                  </w:tcBorders>
                  <w:vAlign w:val="center"/>
                </w:tcPr>
                <w:p w14:paraId="443668E0">
                  <w:pPr>
                    <w:bidi w:val="0"/>
                    <w:jc w:val="center"/>
                    <w:rPr>
                      <w:rFonts w:hint="eastAsia" w:cs="Times New Roman"/>
                      <w:color w:val="auto"/>
                      <w:sz w:val="18"/>
                      <w:szCs w:val="18"/>
                      <w:lang w:eastAsia="zh-CN"/>
                    </w:rPr>
                  </w:pPr>
                  <w:r>
                    <w:rPr>
                      <w:rFonts w:hint="eastAsia" w:cs="Times New Roman"/>
                      <w:color w:val="auto"/>
                      <w:sz w:val="18"/>
                      <w:szCs w:val="18"/>
                      <w:lang w:eastAsia="zh-CN"/>
                    </w:rPr>
                    <w:t>设备维护、保养</w:t>
                  </w:r>
                </w:p>
              </w:tc>
              <w:tc>
                <w:tcPr>
                  <w:tcW w:w="1587" w:type="dxa"/>
                  <w:tcBorders>
                    <w:tl2br w:val="nil"/>
                    <w:tr2bl w:val="nil"/>
                  </w:tcBorders>
                  <w:vAlign w:val="center"/>
                </w:tcPr>
                <w:p w14:paraId="6F6DC6D4">
                  <w:pPr>
                    <w:bidi w:val="0"/>
                    <w:jc w:val="center"/>
                    <w:rPr>
                      <w:rFonts w:hint="eastAsia" w:cs="Times New Roman"/>
                      <w:color w:val="auto"/>
                      <w:sz w:val="18"/>
                      <w:szCs w:val="18"/>
                      <w:lang w:val="en-US" w:eastAsia="zh-CN"/>
                    </w:rPr>
                  </w:pPr>
                  <w:r>
                    <w:rPr>
                      <w:rFonts w:hint="eastAsia" w:cs="Times New Roman"/>
                      <w:color w:val="auto"/>
                      <w:sz w:val="18"/>
                      <w:szCs w:val="18"/>
                      <w:lang w:val="en-US" w:eastAsia="zh-CN"/>
                    </w:rPr>
                    <w:t>废润滑油、废润滑油桶</w:t>
                  </w:r>
                </w:p>
              </w:tc>
              <w:tc>
                <w:tcPr>
                  <w:tcW w:w="996" w:type="dxa"/>
                  <w:tcBorders>
                    <w:tl2br w:val="nil"/>
                    <w:tr2bl w:val="nil"/>
                  </w:tcBorders>
                  <w:vAlign w:val="center"/>
                </w:tcPr>
                <w:p w14:paraId="3B50EAB8">
                  <w:pPr>
                    <w:bidi w:val="0"/>
                    <w:jc w:val="center"/>
                    <w:rPr>
                      <w:rFonts w:hint="eastAsia" w:cs="Times New Roman"/>
                      <w:color w:val="auto"/>
                      <w:sz w:val="18"/>
                      <w:szCs w:val="18"/>
                      <w:lang w:eastAsia="zh-CN"/>
                    </w:rPr>
                  </w:pPr>
                  <w:r>
                    <w:rPr>
                      <w:rFonts w:hint="eastAsia" w:cs="Times New Roman"/>
                      <w:color w:val="auto"/>
                      <w:sz w:val="18"/>
                      <w:szCs w:val="18"/>
                      <w:lang w:eastAsia="zh-CN"/>
                    </w:rPr>
                    <w:t>间歇</w:t>
                  </w:r>
                </w:p>
              </w:tc>
              <w:tc>
                <w:tcPr>
                  <w:tcW w:w="2912" w:type="dxa"/>
                  <w:tcBorders>
                    <w:tl2br w:val="nil"/>
                    <w:tr2bl w:val="nil"/>
                  </w:tcBorders>
                  <w:vAlign w:val="center"/>
                </w:tcPr>
                <w:p w14:paraId="6FF5175D">
                  <w:pPr>
                    <w:bidi w:val="0"/>
                    <w:jc w:val="center"/>
                    <w:rPr>
                      <w:rFonts w:hint="eastAsia" w:cs="Times New Roman"/>
                      <w:color w:val="auto"/>
                      <w:sz w:val="18"/>
                      <w:szCs w:val="18"/>
                      <w:lang w:eastAsia="zh-CN"/>
                    </w:rPr>
                  </w:pPr>
                  <w:r>
                    <w:rPr>
                      <w:rFonts w:hint="eastAsia" w:cs="Times New Roman"/>
                      <w:color w:val="auto"/>
                      <w:sz w:val="18"/>
                      <w:szCs w:val="18"/>
                      <w:lang w:eastAsia="zh-CN"/>
                    </w:rPr>
                    <w:t>暂存危废库，委托有资质单位处置</w:t>
                  </w:r>
                </w:p>
              </w:tc>
            </w:tr>
            <w:tr w14:paraId="7283FF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82" w:type="dxa"/>
                  <w:tcBorders>
                    <w:tl2br w:val="nil"/>
                    <w:tr2bl w:val="nil"/>
                  </w:tcBorders>
                  <w:vAlign w:val="center"/>
                </w:tcPr>
                <w:p w14:paraId="57028774">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噪声</w:t>
                  </w:r>
                </w:p>
              </w:tc>
              <w:tc>
                <w:tcPr>
                  <w:tcW w:w="668" w:type="dxa"/>
                  <w:tcBorders>
                    <w:tl2br w:val="nil"/>
                    <w:tr2bl w:val="nil"/>
                  </w:tcBorders>
                  <w:vAlign w:val="center"/>
                </w:tcPr>
                <w:p w14:paraId="1DBDB0B2">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N</w:t>
                  </w:r>
                </w:p>
              </w:tc>
              <w:tc>
                <w:tcPr>
                  <w:tcW w:w="1413" w:type="dxa"/>
                  <w:tcBorders>
                    <w:tl2br w:val="nil"/>
                    <w:tr2bl w:val="nil"/>
                  </w:tcBorders>
                  <w:vAlign w:val="center"/>
                </w:tcPr>
                <w:p w14:paraId="79CA7C50">
                  <w:pPr>
                    <w:bidi w:val="0"/>
                    <w:jc w:val="center"/>
                    <w:rPr>
                      <w:rFonts w:hint="eastAsia" w:cs="Times New Roman"/>
                      <w:color w:val="auto"/>
                      <w:sz w:val="18"/>
                      <w:szCs w:val="18"/>
                      <w:lang w:val="en-US" w:eastAsia="zh-CN"/>
                    </w:rPr>
                  </w:pPr>
                  <w:r>
                    <w:rPr>
                      <w:rFonts w:hint="default" w:ascii="Times New Roman" w:hAnsi="Times New Roman" w:cs="Times New Roman"/>
                      <w:color w:val="auto"/>
                      <w:sz w:val="18"/>
                      <w:szCs w:val="18"/>
                      <w:lang w:val="en-US" w:eastAsia="zh-CN"/>
                    </w:rPr>
                    <w:t>各类生产设备</w:t>
                  </w:r>
                </w:p>
              </w:tc>
              <w:tc>
                <w:tcPr>
                  <w:tcW w:w="1587" w:type="dxa"/>
                  <w:tcBorders>
                    <w:tl2br w:val="nil"/>
                    <w:tr2bl w:val="nil"/>
                  </w:tcBorders>
                  <w:vAlign w:val="center"/>
                </w:tcPr>
                <w:p w14:paraId="138DABC3">
                  <w:pPr>
                    <w:bidi w:val="0"/>
                    <w:jc w:val="center"/>
                    <w:rPr>
                      <w:rFonts w:hint="eastAsia" w:cs="Times New Roman"/>
                      <w:color w:val="auto"/>
                      <w:sz w:val="18"/>
                      <w:szCs w:val="18"/>
                      <w:lang w:val="en-US" w:eastAsia="zh-CN"/>
                    </w:rPr>
                  </w:pPr>
                  <w:r>
                    <w:rPr>
                      <w:rFonts w:hint="default" w:ascii="Times New Roman" w:hAnsi="Times New Roman" w:cs="Times New Roman"/>
                      <w:color w:val="auto"/>
                      <w:sz w:val="18"/>
                      <w:szCs w:val="18"/>
                      <w:lang w:val="en-US" w:eastAsia="zh-CN"/>
                    </w:rPr>
                    <w:t>Leq(A)</w:t>
                  </w:r>
                </w:p>
              </w:tc>
              <w:tc>
                <w:tcPr>
                  <w:tcW w:w="996" w:type="dxa"/>
                  <w:tcBorders>
                    <w:tl2br w:val="nil"/>
                    <w:tr2bl w:val="nil"/>
                  </w:tcBorders>
                  <w:vAlign w:val="center"/>
                </w:tcPr>
                <w:p w14:paraId="501FDF1D">
                  <w:pPr>
                    <w:bidi w:val="0"/>
                    <w:jc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间歇</w:t>
                  </w:r>
                </w:p>
              </w:tc>
              <w:tc>
                <w:tcPr>
                  <w:tcW w:w="2912" w:type="dxa"/>
                  <w:tcBorders>
                    <w:tl2br w:val="nil"/>
                    <w:tr2bl w:val="nil"/>
                  </w:tcBorders>
                  <w:vAlign w:val="center"/>
                </w:tcPr>
                <w:p w14:paraId="76F7AE85">
                  <w:pPr>
                    <w:bidi w:val="0"/>
                    <w:jc w:val="center"/>
                    <w:rPr>
                      <w:rFonts w:hint="default" w:ascii="Times New Roman" w:hAnsi="Times New Roman" w:cs="Times New Roman"/>
                      <w:color w:val="auto"/>
                      <w:sz w:val="18"/>
                      <w:szCs w:val="18"/>
                      <w:lang w:eastAsia="zh-CN"/>
                    </w:rPr>
                  </w:pPr>
                  <w:r>
                    <w:rPr>
                      <w:rFonts w:hint="default" w:ascii="Times New Roman" w:hAnsi="Times New Roman" w:eastAsia="宋体" w:cs="Times New Roman"/>
                      <w:color w:val="auto"/>
                      <w:spacing w:val="8"/>
                      <w:sz w:val="18"/>
                      <w:szCs w:val="18"/>
                    </w:rPr>
                    <w:t>隔</w:t>
                  </w:r>
                  <w:r>
                    <w:rPr>
                      <w:rFonts w:hint="default" w:ascii="Times New Roman" w:hAnsi="Times New Roman" w:eastAsia="宋体" w:cs="Times New Roman"/>
                      <w:color w:val="auto"/>
                      <w:spacing w:val="5"/>
                      <w:sz w:val="18"/>
                      <w:szCs w:val="18"/>
                    </w:rPr>
                    <w:t>声、减振</w:t>
                  </w:r>
                </w:p>
              </w:tc>
            </w:tr>
          </w:tbl>
          <w:p w14:paraId="1D58E0A9">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sz w:val="21"/>
                <w:szCs w:val="21"/>
              </w:rPr>
            </w:pPr>
            <w:r>
              <w:rPr>
                <w:rFonts w:hint="eastAsia"/>
                <w:sz w:val="21"/>
                <w:szCs w:val="21"/>
                <w:lang w:eastAsia="zh-CN"/>
              </w:rPr>
              <w:t>综上所述，废气经处理后，可满足《水泥工业大气污染物排放标准》（GB4915-2013）相关标准，无组织废气对当地的环境空气质量影响较小。生活污水经化粪池预经处理后</w:t>
            </w:r>
            <w:r>
              <w:rPr>
                <w:rFonts w:hint="default" w:ascii="Times New Roman" w:hAnsi="Times New Roman" w:cs="Times New Roman"/>
                <w:kern w:val="0"/>
                <w:sz w:val="21"/>
                <w:szCs w:val="21"/>
              </w:rPr>
              <w:t>《污水综合排放标准》（GB8978-1996）表4中三级标准，氨氮、总氮和总磷达到《污水排入城镇下水道水质标准》（GB/T31962-2015）</w:t>
            </w:r>
            <w:r>
              <w:rPr>
                <w:rFonts w:hint="eastAsia" w:ascii="Times New Roman" w:hAnsi="Times New Roman" w:cs="Times New Roman"/>
                <w:kern w:val="0"/>
                <w:sz w:val="21"/>
                <w:szCs w:val="21"/>
                <w:lang w:eastAsia="zh-CN"/>
              </w:rPr>
              <w:t>；生产废水经雨水收集池、压滤机处理后用于搅拌工序，</w:t>
            </w:r>
            <w:r>
              <w:rPr>
                <w:rFonts w:hint="eastAsia" w:ascii="宋体" w:hAnsi="宋体" w:eastAsia="宋体" w:cs="宋体"/>
                <w:color w:val="000000"/>
                <w:kern w:val="0"/>
                <w:sz w:val="21"/>
                <w:szCs w:val="21"/>
                <w:lang w:val="en-US" w:eastAsia="zh-CN" w:bidi="ar"/>
              </w:rPr>
              <w:t>因此对周围水体环境影响甚微，不会改变本区域水环境功能。</w:t>
            </w:r>
          </w:p>
          <w:p w14:paraId="690E201F">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eastAsia="宋体"/>
                <w:lang w:eastAsia="zh-CN"/>
              </w:rPr>
            </w:pPr>
            <w:r>
              <w:rPr>
                <w:rFonts w:hint="eastAsia" w:ascii="宋体" w:hAnsi="宋体" w:eastAsia="宋体" w:cs="宋体"/>
                <w:color w:val="000000"/>
                <w:kern w:val="0"/>
                <w:sz w:val="21"/>
                <w:szCs w:val="21"/>
                <w:lang w:val="en-US" w:eastAsia="zh-CN" w:bidi="ar"/>
              </w:rPr>
              <w:t>建设项目产生的固体废物主要包括除尘器集尘、碎渣、残次品、污泥、机修废油和生活垃圾。其中，除尘器集尘、碎渣、残次品、污泥经收集后回用于生产；机修废油经收集后委托有资质单位处置；生活垃圾由当地环卫部门清运。本项目各类固废均得到妥善处置，不会产生二次污染，对周围环境影响较小，可满足环境管理要求。噪声采取经合理布局、隔声减振等降噪措施，噪声均符合《工业企业厂界环境噪声排放标准》（</w:t>
            </w:r>
            <w:r>
              <w:rPr>
                <w:rFonts w:hint="default" w:ascii="Times New Roman" w:hAnsi="Times New Roman" w:eastAsia="宋体" w:cs="Times New Roman"/>
                <w:color w:val="000000"/>
                <w:kern w:val="0"/>
                <w:sz w:val="21"/>
                <w:szCs w:val="21"/>
                <w:lang w:val="en-US" w:eastAsia="zh-CN" w:bidi="ar"/>
              </w:rPr>
              <w:t>GB12348-2008</w:t>
            </w:r>
            <w:r>
              <w:rPr>
                <w:rFonts w:hint="eastAsia" w:ascii="宋体" w:hAnsi="宋体" w:eastAsia="宋体" w:cs="宋体"/>
                <w:color w:val="000000"/>
                <w:kern w:val="0"/>
                <w:sz w:val="21"/>
                <w:szCs w:val="21"/>
                <w:lang w:val="en-US" w:eastAsia="zh-CN" w:bidi="ar"/>
              </w:rPr>
              <w:t>）中3类标准，不会影响周边声环境质量，对附近居民影响较小。原有项目已搬迁，因此不存在原有环境污染问题。</w:t>
            </w:r>
          </w:p>
          <w:p w14:paraId="50E948AD">
            <w:pPr>
              <w:keepNext w:val="0"/>
              <w:keepLines w:val="0"/>
              <w:widowControl/>
              <w:suppressLineNumbers w:val="0"/>
              <w:jc w:val="left"/>
            </w:pPr>
          </w:p>
          <w:p w14:paraId="76CF3747">
            <w:pPr>
              <w:rPr>
                <w:rFonts w:hint="eastAsia" w:eastAsia="宋体"/>
                <w:lang w:eastAsia="zh-CN"/>
              </w:rPr>
            </w:pPr>
          </w:p>
          <w:p w14:paraId="2FF95B95">
            <w:pPr>
              <w:pStyle w:val="2"/>
              <w:rPr>
                <w:rFonts w:hint="eastAsia" w:eastAsia="宋体"/>
                <w:lang w:eastAsia="zh-CN"/>
              </w:rPr>
            </w:pPr>
          </w:p>
          <w:p w14:paraId="3C6C1C05">
            <w:pPr>
              <w:rPr>
                <w:rFonts w:hint="eastAsia" w:eastAsia="宋体"/>
                <w:lang w:eastAsia="zh-CN"/>
              </w:rPr>
            </w:pPr>
          </w:p>
          <w:p w14:paraId="0883B9F8">
            <w:pPr>
              <w:pStyle w:val="2"/>
              <w:rPr>
                <w:rFonts w:hint="eastAsia"/>
                <w:lang w:eastAsia="zh-CN"/>
              </w:rPr>
            </w:pPr>
          </w:p>
        </w:tc>
      </w:tr>
    </w:tbl>
    <w:p w14:paraId="4AFC633D">
      <w:pPr>
        <w:spacing w:before="156" w:beforeLines="50" w:after="156" w:afterLines="50"/>
        <w:jc w:val="center"/>
        <w:outlineLvl w:val="0"/>
        <w:rPr>
          <w:rFonts w:eastAsia="黑体"/>
          <w:sz w:val="30"/>
          <w:szCs w:val="30"/>
        </w:rPr>
      </w:pPr>
    </w:p>
    <w:p w14:paraId="32037143">
      <w:pPr>
        <w:pStyle w:val="2"/>
      </w:pPr>
    </w:p>
    <w:p w14:paraId="1465483B">
      <w:pPr>
        <w:spacing w:before="156" w:beforeLines="50" w:after="156" w:afterLines="50"/>
        <w:jc w:val="center"/>
        <w:outlineLvl w:val="0"/>
        <w:rPr>
          <w:rFonts w:eastAsia="黑体"/>
          <w:sz w:val="30"/>
          <w:szCs w:val="30"/>
        </w:rPr>
      </w:pPr>
      <w:r>
        <w:rPr>
          <w:rFonts w:eastAsia="黑体"/>
          <w:sz w:val="30"/>
          <w:szCs w:val="30"/>
        </w:rPr>
        <w:t>三、区域环境质量现状、环境保护目标及评价标准</w:t>
      </w:r>
    </w:p>
    <w:tbl>
      <w:tblPr>
        <w:tblStyle w:val="20"/>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8280"/>
      </w:tblGrid>
      <w:tr w14:paraId="7D7E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tcPr>
          <w:p w14:paraId="55F58E32">
            <w:pPr>
              <w:spacing w:line="360" w:lineRule="auto"/>
              <w:jc w:val="center"/>
            </w:pPr>
          </w:p>
          <w:p w14:paraId="2C86BBB4">
            <w:pPr>
              <w:spacing w:line="360" w:lineRule="auto"/>
              <w:jc w:val="center"/>
            </w:pPr>
          </w:p>
          <w:p w14:paraId="568D8413">
            <w:pPr>
              <w:spacing w:line="360" w:lineRule="auto"/>
              <w:jc w:val="center"/>
            </w:pPr>
          </w:p>
          <w:p w14:paraId="0CB7D09F">
            <w:pPr>
              <w:spacing w:line="360" w:lineRule="auto"/>
              <w:jc w:val="center"/>
            </w:pPr>
          </w:p>
          <w:p w14:paraId="1EC9F0CD">
            <w:pPr>
              <w:spacing w:line="360" w:lineRule="auto"/>
              <w:jc w:val="center"/>
            </w:pPr>
          </w:p>
          <w:p w14:paraId="50126A1D">
            <w:pPr>
              <w:spacing w:line="360" w:lineRule="auto"/>
              <w:jc w:val="center"/>
            </w:pPr>
          </w:p>
          <w:p w14:paraId="24D34C47">
            <w:pPr>
              <w:spacing w:line="360" w:lineRule="auto"/>
              <w:jc w:val="center"/>
            </w:pPr>
          </w:p>
          <w:p w14:paraId="13CA76A4">
            <w:pPr>
              <w:spacing w:line="360" w:lineRule="auto"/>
              <w:jc w:val="center"/>
            </w:pPr>
          </w:p>
          <w:p w14:paraId="235CEAD5">
            <w:pPr>
              <w:spacing w:line="360" w:lineRule="auto"/>
              <w:jc w:val="center"/>
              <w:rPr>
                <w:szCs w:val="21"/>
              </w:rPr>
            </w:pPr>
            <w:r>
              <w:rPr>
                <w:szCs w:val="21"/>
              </w:rPr>
              <w:t>区 域 环 境 质 量 现 状</w:t>
            </w:r>
          </w:p>
          <w:p w14:paraId="620D7722">
            <w:pPr>
              <w:pStyle w:val="2"/>
              <w:rPr>
                <w:rFonts w:ascii="Times New Roman" w:hAnsi="Times New Roman"/>
                <w:szCs w:val="24"/>
              </w:rPr>
            </w:pPr>
          </w:p>
          <w:p w14:paraId="66903CDC">
            <w:pPr>
              <w:pStyle w:val="2"/>
              <w:rPr>
                <w:rFonts w:ascii="Times New Roman" w:hAnsi="Times New Roman"/>
                <w:szCs w:val="24"/>
              </w:rPr>
            </w:pPr>
          </w:p>
          <w:p w14:paraId="10CF1056">
            <w:pPr>
              <w:pStyle w:val="2"/>
              <w:rPr>
                <w:rFonts w:ascii="Times New Roman" w:hAnsi="Times New Roman"/>
                <w:szCs w:val="24"/>
              </w:rPr>
            </w:pPr>
          </w:p>
          <w:p w14:paraId="740B5678">
            <w:pPr>
              <w:pStyle w:val="2"/>
              <w:rPr>
                <w:rFonts w:ascii="Times New Roman" w:hAnsi="Times New Roman"/>
                <w:szCs w:val="24"/>
              </w:rPr>
            </w:pPr>
          </w:p>
          <w:p w14:paraId="3847A6D2">
            <w:pPr>
              <w:pStyle w:val="2"/>
              <w:rPr>
                <w:rFonts w:ascii="Times New Roman" w:hAnsi="Times New Roman"/>
                <w:szCs w:val="24"/>
              </w:rPr>
            </w:pPr>
          </w:p>
          <w:p w14:paraId="46E539C1">
            <w:pPr>
              <w:pStyle w:val="2"/>
              <w:rPr>
                <w:rFonts w:ascii="Times New Roman" w:hAnsi="Times New Roman"/>
                <w:szCs w:val="24"/>
              </w:rPr>
            </w:pPr>
          </w:p>
          <w:p w14:paraId="714113F5">
            <w:pPr>
              <w:pStyle w:val="2"/>
              <w:rPr>
                <w:rFonts w:ascii="Times New Roman" w:hAnsi="Times New Roman"/>
                <w:szCs w:val="24"/>
              </w:rPr>
            </w:pPr>
          </w:p>
          <w:p w14:paraId="66A334A4">
            <w:pPr>
              <w:pStyle w:val="2"/>
              <w:rPr>
                <w:rFonts w:ascii="Times New Roman" w:hAnsi="Times New Roman"/>
                <w:szCs w:val="24"/>
              </w:rPr>
            </w:pPr>
          </w:p>
          <w:p w14:paraId="04DF45A7">
            <w:pPr>
              <w:pStyle w:val="2"/>
              <w:rPr>
                <w:rFonts w:ascii="Times New Roman" w:hAnsi="Times New Roman"/>
                <w:szCs w:val="24"/>
              </w:rPr>
            </w:pPr>
          </w:p>
          <w:p w14:paraId="157DF627">
            <w:pPr>
              <w:pStyle w:val="2"/>
              <w:rPr>
                <w:rFonts w:ascii="Times New Roman" w:hAnsi="Times New Roman"/>
                <w:szCs w:val="24"/>
              </w:rPr>
            </w:pPr>
          </w:p>
          <w:p w14:paraId="4F6D2472">
            <w:pPr>
              <w:pStyle w:val="2"/>
              <w:rPr>
                <w:rFonts w:ascii="Times New Roman" w:hAnsi="Times New Roman"/>
                <w:szCs w:val="24"/>
              </w:rPr>
            </w:pPr>
          </w:p>
          <w:p w14:paraId="63CFE8A2">
            <w:pPr>
              <w:pStyle w:val="2"/>
              <w:rPr>
                <w:rFonts w:ascii="Times New Roman" w:hAnsi="Times New Roman"/>
                <w:szCs w:val="24"/>
              </w:rPr>
            </w:pPr>
          </w:p>
        </w:tc>
        <w:tc>
          <w:tcPr>
            <w:tcW w:w="8280" w:type="dxa"/>
          </w:tcPr>
          <w:p w14:paraId="35C518B9">
            <w:pPr>
              <w:spacing w:line="500" w:lineRule="exact"/>
              <w:ind w:firstLine="422" w:firstLineChars="200"/>
              <w:rPr>
                <w:rFonts w:ascii="宋体" w:hAnsi="宋体" w:cs="宋体"/>
                <w:b/>
                <w:bCs/>
                <w:szCs w:val="21"/>
              </w:rPr>
            </w:pPr>
            <w:r>
              <w:rPr>
                <w:rFonts w:hint="eastAsia" w:ascii="宋体" w:hAnsi="宋体" w:cs="宋体"/>
                <w:b/>
                <w:bCs/>
                <w:szCs w:val="21"/>
              </w:rPr>
              <w:t>1、大气环境质量现状</w:t>
            </w:r>
          </w:p>
          <w:p w14:paraId="76A1F596">
            <w:pPr>
              <w:spacing w:line="500" w:lineRule="exact"/>
              <w:ind w:firstLine="420" w:firstLineChars="200"/>
              <w:rPr>
                <w:rFonts w:ascii="宋体" w:hAnsi="宋体" w:cs="宋体"/>
                <w:szCs w:val="21"/>
              </w:rPr>
            </w:pPr>
            <w:r>
              <w:rPr>
                <w:rFonts w:hint="eastAsia" w:ascii="宋体" w:hAnsi="宋体" w:cs="宋体"/>
                <w:szCs w:val="21"/>
              </w:rPr>
              <w:t>（1）常规污染物质量现状</w:t>
            </w:r>
          </w:p>
          <w:p w14:paraId="1D2F89D5">
            <w:pPr>
              <w:spacing w:line="500" w:lineRule="exact"/>
              <w:ind w:firstLine="420" w:firstLineChars="200"/>
              <w:rPr>
                <w:szCs w:val="21"/>
              </w:rPr>
            </w:pPr>
            <w:r>
              <w:rPr>
                <w:szCs w:val="21"/>
              </w:rPr>
              <w:t>本项目可引用《202</w:t>
            </w:r>
            <w:r>
              <w:rPr>
                <w:rFonts w:hint="eastAsia"/>
                <w:szCs w:val="21"/>
                <w:lang w:val="en-US" w:eastAsia="zh-CN"/>
              </w:rPr>
              <w:t>3</w:t>
            </w:r>
            <w:r>
              <w:rPr>
                <w:szCs w:val="21"/>
              </w:rPr>
              <w:t>年度南通市生态环境状况公报》中</w:t>
            </w:r>
            <w:r>
              <w:rPr>
                <w:rFonts w:hint="eastAsia"/>
                <w:szCs w:val="21"/>
                <w:lang w:eastAsia="zh-CN"/>
              </w:rPr>
              <w:t>启东市区</w:t>
            </w:r>
            <w:r>
              <w:rPr>
                <w:szCs w:val="21"/>
              </w:rPr>
              <w:t>统计结果，主要空气污染物指标监测结果见表3-1。</w:t>
            </w:r>
          </w:p>
          <w:p w14:paraId="1DE15734">
            <w:pPr>
              <w:spacing w:line="360" w:lineRule="auto"/>
              <w:jc w:val="center"/>
              <w:rPr>
                <w:b/>
                <w:bCs/>
                <w:szCs w:val="21"/>
              </w:rPr>
            </w:pPr>
            <w:r>
              <w:rPr>
                <w:b/>
                <w:bCs/>
                <w:szCs w:val="21"/>
              </w:rPr>
              <w:t>表 3-1</w:t>
            </w:r>
            <w:r>
              <w:rPr>
                <w:rFonts w:hint="eastAsia"/>
                <w:b/>
                <w:bCs/>
                <w:szCs w:val="21"/>
              </w:rPr>
              <w:t xml:space="preserve"> </w:t>
            </w:r>
            <w:r>
              <w:rPr>
                <w:b/>
                <w:bCs/>
                <w:szCs w:val="21"/>
              </w:rPr>
              <w:t>环境空气质量监测结果</w:t>
            </w:r>
          </w:p>
          <w:tbl>
            <w:tblPr>
              <w:tblStyle w:val="19"/>
              <w:tblW w:w="8056" w:type="dxa"/>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919"/>
              <w:gridCol w:w="2077"/>
              <w:gridCol w:w="954"/>
              <w:gridCol w:w="975"/>
              <w:gridCol w:w="1144"/>
              <w:gridCol w:w="961"/>
            </w:tblGrid>
            <w:tr w14:paraId="56022B81">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499" w:hRule="atLeast"/>
                <w:jc w:val="center"/>
              </w:trPr>
              <w:tc>
                <w:tcPr>
                  <w:tcW w:w="1026" w:type="dxa"/>
                  <w:vAlign w:val="center"/>
                </w:tcPr>
                <w:p w14:paraId="3DFEA12C">
                  <w:pPr>
                    <w:jc w:val="center"/>
                    <w:rPr>
                      <w:sz w:val="18"/>
                      <w:szCs w:val="18"/>
                    </w:rPr>
                  </w:pPr>
                  <w:r>
                    <w:rPr>
                      <w:sz w:val="18"/>
                      <w:szCs w:val="18"/>
                    </w:rPr>
                    <w:t>点位名称</w:t>
                  </w:r>
                </w:p>
              </w:tc>
              <w:tc>
                <w:tcPr>
                  <w:tcW w:w="919" w:type="dxa"/>
                  <w:vAlign w:val="center"/>
                </w:tcPr>
                <w:p w14:paraId="6FB7ED16">
                  <w:pPr>
                    <w:jc w:val="center"/>
                    <w:rPr>
                      <w:sz w:val="18"/>
                      <w:szCs w:val="18"/>
                    </w:rPr>
                  </w:pPr>
                  <w:r>
                    <w:rPr>
                      <w:sz w:val="18"/>
                      <w:szCs w:val="18"/>
                    </w:rPr>
                    <w:t>污染物</w:t>
                  </w:r>
                </w:p>
              </w:tc>
              <w:tc>
                <w:tcPr>
                  <w:tcW w:w="2077" w:type="dxa"/>
                  <w:vAlign w:val="center"/>
                </w:tcPr>
                <w:p w14:paraId="556B00DF">
                  <w:pPr>
                    <w:jc w:val="center"/>
                    <w:rPr>
                      <w:sz w:val="18"/>
                      <w:szCs w:val="18"/>
                    </w:rPr>
                  </w:pPr>
                  <w:r>
                    <w:rPr>
                      <w:sz w:val="18"/>
                      <w:szCs w:val="18"/>
                    </w:rPr>
                    <w:t>年评价指标</w:t>
                  </w:r>
                </w:p>
              </w:tc>
              <w:tc>
                <w:tcPr>
                  <w:tcW w:w="954" w:type="dxa"/>
                  <w:vAlign w:val="center"/>
                </w:tcPr>
                <w:p w14:paraId="2AEA8E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sz w:val="18"/>
                      <w:szCs w:val="18"/>
                    </w:rPr>
                    <w:t>评价标准μg/m</w:t>
                  </w:r>
                  <w:r>
                    <w:rPr>
                      <w:sz w:val="18"/>
                      <w:szCs w:val="18"/>
                      <w:vertAlign w:val="superscript"/>
                    </w:rPr>
                    <w:t>3</w:t>
                  </w:r>
                </w:p>
              </w:tc>
              <w:tc>
                <w:tcPr>
                  <w:tcW w:w="975" w:type="dxa"/>
                  <w:vAlign w:val="center"/>
                </w:tcPr>
                <w:p w14:paraId="526FE8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sz w:val="18"/>
                      <w:szCs w:val="18"/>
                    </w:rPr>
                    <w:t>现状浓度</w:t>
                  </w:r>
                </w:p>
                <w:p w14:paraId="3A1EA5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8"/>
                      <w:szCs w:val="18"/>
                    </w:rPr>
                  </w:pPr>
                  <w:r>
                    <w:rPr>
                      <w:sz w:val="18"/>
                      <w:szCs w:val="18"/>
                    </w:rPr>
                    <w:t>μg/m</w:t>
                  </w:r>
                  <w:r>
                    <w:rPr>
                      <w:sz w:val="18"/>
                      <w:szCs w:val="18"/>
                      <w:vertAlign w:val="superscript"/>
                    </w:rPr>
                    <w:t>3</w:t>
                  </w:r>
                </w:p>
              </w:tc>
              <w:tc>
                <w:tcPr>
                  <w:tcW w:w="1144" w:type="dxa"/>
                  <w:vAlign w:val="center"/>
                </w:tcPr>
                <w:p w14:paraId="5640B16C">
                  <w:pPr>
                    <w:jc w:val="center"/>
                    <w:rPr>
                      <w:sz w:val="18"/>
                      <w:szCs w:val="18"/>
                    </w:rPr>
                  </w:pPr>
                  <w:r>
                    <w:rPr>
                      <w:sz w:val="18"/>
                      <w:szCs w:val="18"/>
                    </w:rPr>
                    <w:t>超标倍数</w:t>
                  </w:r>
                </w:p>
              </w:tc>
              <w:tc>
                <w:tcPr>
                  <w:tcW w:w="961" w:type="dxa"/>
                  <w:vAlign w:val="center"/>
                </w:tcPr>
                <w:p w14:paraId="4EE2CB23">
                  <w:pPr>
                    <w:jc w:val="center"/>
                    <w:rPr>
                      <w:sz w:val="18"/>
                      <w:szCs w:val="18"/>
                    </w:rPr>
                  </w:pPr>
                  <w:r>
                    <w:rPr>
                      <w:sz w:val="18"/>
                      <w:szCs w:val="18"/>
                    </w:rPr>
                    <w:t>达标情况</w:t>
                  </w:r>
                </w:p>
              </w:tc>
            </w:tr>
            <w:tr w14:paraId="5AE55120">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1026" w:type="dxa"/>
                  <w:vMerge w:val="restart"/>
                  <w:vAlign w:val="center"/>
                </w:tcPr>
                <w:p w14:paraId="4F1F1254">
                  <w:pPr>
                    <w:jc w:val="center"/>
                    <w:rPr>
                      <w:sz w:val="18"/>
                      <w:szCs w:val="18"/>
                    </w:rPr>
                  </w:pPr>
                  <w:r>
                    <w:rPr>
                      <w:sz w:val="18"/>
                      <w:szCs w:val="18"/>
                    </w:rPr>
                    <w:t>南通自动监测站</w:t>
                  </w:r>
                </w:p>
              </w:tc>
              <w:tc>
                <w:tcPr>
                  <w:tcW w:w="919" w:type="dxa"/>
                  <w:vAlign w:val="center"/>
                </w:tcPr>
                <w:p w14:paraId="00ED423A">
                  <w:pPr>
                    <w:jc w:val="center"/>
                    <w:rPr>
                      <w:sz w:val="18"/>
                      <w:szCs w:val="18"/>
                    </w:rPr>
                  </w:pPr>
                  <w:r>
                    <w:rPr>
                      <w:sz w:val="18"/>
                      <w:szCs w:val="18"/>
                    </w:rPr>
                    <w:t>SO</w:t>
                  </w:r>
                  <w:r>
                    <w:rPr>
                      <w:sz w:val="18"/>
                      <w:szCs w:val="18"/>
                      <w:vertAlign w:val="subscript"/>
                    </w:rPr>
                    <w:t>2</w:t>
                  </w:r>
                </w:p>
              </w:tc>
              <w:tc>
                <w:tcPr>
                  <w:tcW w:w="2077" w:type="dxa"/>
                  <w:vAlign w:val="center"/>
                </w:tcPr>
                <w:p w14:paraId="249862A2">
                  <w:pPr>
                    <w:jc w:val="center"/>
                    <w:rPr>
                      <w:sz w:val="18"/>
                      <w:szCs w:val="18"/>
                    </w:rPr>
                  </w:pPr>
                  <w:r>
                    <w:rPr>
                      <w:sz w:val="18"/>
                      <w:szCs w:val="18"/>
                    </w:rPr>
                    <w:t>年平均</w:t>
                  </w:r>
                </w:p>
              </w:tc>
              <w:tc>
                <w:tcPr>
                  <w:tcW w:w="954" w:type="dxa"/>
                  <w:vAlign w:val="center"/>
                </w:tcPr>
                <w:p w14:paraId="28CD6732">
                  <w:pPr>
                    <w:jc w:val="center"/>
                    <w:rPr>
                      <w:sz w:val="18"/>
                      <w:szCs w:val="18"/>
                    </w:rPr>
                  </w:pPr>
                  <w:r>
                    <w:rPr>
                      <w:sz w:val="18"/>
                      <w:szCs w:val="18"/>
                    </w:rPr>
                    <w:t>60</w:t>
                  </w:r>
                </w:p>
              </w:tc>
              <w:tc>
                <w:tcPr>
                  <w:tcW w:w="975" w:type="dxa"/>
                  <w:vAlign w:val="center"/>
                </w:tcPr>
                <w:p w14:paraId="47852BB3">
                  <w:pPr>
                    <w:jc w:val="center"/>
                    <w:rPr>
                      <w:rFonts w:hint="eastAsia" w:eastAsia="宋体"/>
                      <w:sz w:val="18"/>
                      <w:szCs w:val="18"/>
                      <w:lang w:eastAsia="zh-CN"/>
                    </w:rPr>
                  </w:pPr>
                  <w:r>
                    <w:rPr>
                      <w:rFonts w:hint="eastAsia"/>
                      <w:sz w:val="18"/>
                      <w:szCs w:val="18"/>
                      <w:lang w:val="en-US" w:eastAsia="zh-CN"/>
                    </w:rPr>
                    <w:t>8</w:t>
                  </w:r>
                </w:p>
              </w:tc>
              <w:tc>
                <w:tcPr>
                  <w:tcW w:w="1144" w:type="dxa"/>
                  <w:vAlign w:val="center"/>
                </w:tcPr>
                <w:p w14:paraId="3CF15ABF">
                  <w:pPr>
                    <w:jc w:val="center"/>
                    <w:rPr>
                      <w:sz w:val="18"/>
                      <w:szCs w:val="18"/>
                    </w:rPr>
                  </w:pPr>
                  <w:r>
                    <w:rPr>
                      <w:sz w:val="18"/>
                      <w:szCs w:val="18"/>
                    </w:rPr>
                    <w:t>0</w:t>
                  </w:r>
                </w:p>
              </w:tc>
              <w:tc>
                <w:tcPr>
                  <w:tcW w:w="961" w:type="dxa"/>
                  <w:vAlign w:val="center"/>
                </w:tcPr>
                <w:p w14:paraId="18887D65">
                  <w:pPr>
                    <w:jc w:val="center"/>
                    <w:rPr>
                      <w:sz w:val="18"/>
                      <w:szCs w:val="18"/>
                    </w:rPr>
                  </w:pPr>
                  <w:r>
                    <w:rPr>
                      <w:sz w:val="18"/>
                      <w:szCs w:val="18"/>
                    </w:rPr>
                    <w:t>达标</w:t>
                  </w:r>
                </w:p>
              </w:tc>
            </w:tr>
            <w:tr w14:paraId="5977AA06">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1026" w:type="dxa"/>
                  <w:vMerge w:val="continue"/>
                  <w:vAlign w:val="center"/>
                </w:tcPr>
                <w:p w14:paraId="32AEF65F">
                  <w:pPr>
                    <w:jc w:val="center"/>
                    <w:rPr>
                      <w:sz w:val="18"/>
                      <w:szCs w:val="18"/>
                    </w:rPr>
                  </w:pPr>
                </w:p>
              </w:tc>
              <w:tc>
                <w:tcPr>
                  <w:tcW w:w="919" w:type="dxa"/>
                  <w:vAlign w:val="center"/>
                </w:tcPr>
                <w:p w14:paraId="7767DBDC">
                  <w:pPr>
                    <w:jc w:val="center"/>
                    <w:rPr>
                      <w:sz w:val="18"/>
                      <w:szCs w:val="18"/>
                    </w:rPr>
                  </w:pPr>
                  <w:r>
                    <w:rPr>
                      <w:sz w:val="18"/>
                      <w:szCs w:val="18"/>
                    </w:rPr>
                    <w:t>NO</w:t>
                  </w:r>
                  <w:r>
                    <w:rPr>
                      <w:sz w:val="18"/>
                      <w:szCs w:val="18"/>
                      <w:vertAlign w:val="subscript"/>
                    </w:rPr>
                    <w:t>2</w:t>
                  </w:r>
                </w:p>
              </w:tc>
              <w:tc>
                <w:tcPr>
                  <w:tcW w:w="2077" w:type="dxa"/>
                  <w:vAlign w:val="center"/>
                </w:tcPr>
                <w:p w14:paraId="2B500675">
                  <w:pPr>
                    <w:jc w:val="center"/>
                    <w:rPr>
                      <w:sz w:val="18"/>
                      <w:szCs w:val="18"/>
                    </w:rPr>
                  </w:pPr>
                  <w:r>
                    <w:rPr>
                      <w:sz w:val="18"/>
                      <w:szCs w:val="18"/>
                    </w:rPr>
                    <w:t>年平均</w:t>
                  </w:r>
                </w:p>
              </w:tc>
              <w:tc>
                <w:tcPr>
                  <w:tcW w:w="954" w:type="dxa"/>
                  <w:vAlign w:val="center"/>
                </w:tcPr>
                <w:p w14:paraId="31C5A66A">
                  <w:pPr>
                    <w:jc w:val="center"/>
                    <w:rPr>
                      <w:sz w:val="18"/>
                      <w:szCs w:val="18"/>
                    </w:rPr>
                  </w:pPr>
                  <w:r>
                    <w:rPr>
                      <w:sz w:val="18"/>
                      <w:szCs w:val="18"/>
                    </w:rPr>
                    <w:t>40</w:t>
                  </w:r>
                </w:p>
              </w:tc>
              <w:tc>
                <w:tcPr>
                  <w:tcW w:w="975" w:type="dxa"/>
                  <w:vAlign w:val="center"/>
                </w:tcPr>
                <w:p w14:paraId="682FAE7C">
                  <w:pPr>
                    <w:jc w:val="center"/>
                    <w:rPr>
                      <w:rFonts w:hint="default" w:eastAsia="宋体"/>
                      <w:sz w:val="18"/>
                      <w:szCs w:val="18"/>
                      <w:lang w:val="en-US" w:eastAsia="zh-CN"/>
                    </w:rPr>
                  </w:pPr>
                  <w:r>
                    <w:rPr>
                      <w:rFonts w:hint="eastAsia"/>
                      <w:sz w:val="18"/>
                      <w:szCs w:val="18"/>
                      <w:lang w:val="en-US" w:eastAsia="zh-CN"/>
                    </w:rPr>
                    <w:t>17</w:t>
                  </w:r>
                </w:p>
              </w:tc>
              <w:tc>
                <w:tcPr>
                  <w:tcW w:w="1144" w:type="dxa"/>
                  <w:vAlign w:val="center"/>
                </w:tcPr>
                <w:p w14:paraId="03F08E28">
                  <w:pPr>
                    <w:jc w:val="center"/>
                    <w:rPr>
                      <w:sz w:val="18"/>
                      <w:szCs w:val="18"/>
                    </w:rPr>
                  </w:pPr>
                  <w:r>
                    <w:rPr>
                      <w:sz w:val="18"/>
                      <w:szCs w:val="18"/>
                    </w:rPr>
                    <w:t>0</w:t>
                  </w:r>
                </w:p>
              </w:tc>
              <w:tc>
                <w:tcPr>
                  <w:tcW w:w="961" w:type="dxa"/>
                  <w:vAlign w:val="center"/>
                </w:tcPr>
                <w:p w14:paraId="28DED759">
                  <w:pPr>
                    <w:jc w:val="center"/>
                    <w:rPr>
                      <w:sz w:val="18"/>
                      <w:szCs w:val="18"/>
                    </w:rPr>
                  </w:pPr>
                  <w:r>
                    <w:rPr>
                      <w:sz w:val="18"/>
                      <w:szCs w:val="18"/>
                    </w:rPr>
                    <w:t>达标</w:t>
                  </w:r>
                </w:p>
              </w:tc>
            </w:tr>
            <w:tr w14:paraId="339C77E8">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1026" w:type="dxa"/>
                  <w:vMerge w:val="continue"/>
                  <w:vAlign w:val="center"/>
                </w:tcPr>
                <w:p w14:paraId="5C8BDF18">
                  <w:pPr>
                    <w:jc w:val="center"/>
                    <w:rPr>
                      <w:sz w:val="18"/>
                      <w:szCs w:val="18"/>
                    </w:rPr>
                  </w:pPr>
                </w:p>
              </w:tc>
              <w:tc>
                <w:tcPr>
                  <w:tcW w:w="919" w:type="dxa"/>
                  <w:vAlign w:val="center"/>
                </w:tcPr>
                <w:p w14:paraId="3AFC6724">
                  <w:pPr>
                    <w:jc w:val="center"/>
                    <w:rPr>
                      <w:sz w:val="18"/>
                      <w:szCs w:val="18"/>
                    </w:rPr>
                  </w:pPr>
                  <w:r>
                    <w:rPr>
                      <w:sz w:val="18"/>
                      <w:szCs w:val="18"/>
                    </w:rPr>
                    <w:t>PM</w:t>
                  </w:r>
                  <w:r>
                    <w:rPr>
                      <w:sz w:val="18"/>
                      <w:szCs w:val="18"/>
                      <w:vertAlign w:val="subscript"/>
                    </w:rPr>
                    <w:t>10</w:t>
                  </w:r>
                </w:p>
              </w:tc>
              <w:tc>
                <w:tcPr>
                  <w:tcW w:w="2077" w:type="dxa"/>
                  <w:vAlign w:val="center"/>
                </w:tcPr>
                <w:p w14:paraId="0BF1D5E1">
                  <w:pPr>
                    <w:jc w:val="center"/>
                    <w:rPr>
                      <w:sz w:val="18"/>
                      <w:szCs w:val="18"/>
                    </w:rPr>
                  </w:pPr>
                  <w:r>
                    <w:rPr>
                      <w:sz w:val="18"/>
                      <w:szCs w:val="18"/>
                    </w:rPr>
                    <w:t>年平均</w:t>
                  </w:r>
                </w:p>
              </w:tc>
              <w:tc>
                <w:tcPr>
                  <w:tcW w:w="954" w:type="dxa"/>
                  <w:vAlign w:val="center"/>
                </w:tcPr>
                <w:p w14:paraId="612CBD48">
                  <w:pPr>
                    <w:jc w:val="center"/>
                    <w:rPr>
                      <w:sz w:val="18"/>
                      <w:szCs w:val="18"/>
                    </w:rPr>
                  </w:pPr>
                  <w:r>
                    <w:rPr>
                      <w:sz w:val="18"/>
                      <w:szCs w:val="18"/>
                    </w:rPr>
                    <w:t>70</w:t>
                  </w:r>
                </w:p>
              </w:tc>
              <w:tc>
                <w:tcPr>
                  <w:tcW w:w="975" w:type="dxa"/>
                  <w:vAlign w:val="center"/>
                </w:tcPr>
                <w:p w14:paraId="09142536">
                  <w:pPr>
                    <w:jc w:val="center"/>
                    <w:rPr>
                      <w:rFonts w:hint="default" w:eastAsia="宋体"/>
                      <w:sz w:val="18"/>
                      <w:szCs w:val="18"/>
                      <w:lang w:val="en-US" w:eastAsia="zh-CN"/>
                    </w:rPr>
                  </w:pPr>
                  <w:r>
                    <w:rPr>
                      <w:rFonts w:hint="eastAsia"/>
                      <w:sz w:val="18"/>
                      <w:szCs w:val="18"/>
                      <w:lang w:val="en-US" w:eastAsia="zh-CN"/>
                    </w:rPr>
                    <w:t>42</w:t>
                  </w:r>
                </w:p>
              </w:tc>
              <w:tc>
                <w:tcPr>
                  <w:tcW w:w="1144" w:type="dxa"/>
                  <w:vAlign w:val="center"/>
                </w:tcPr>
                <w:p w14:paraId="3B30267C">
                  <w:pPr>
                    <w:jc w:val="center"/>
                    <w:rPr>
                      <w:sz w:val="18"/>
                      <w:szCs w:val="18"/>
                    </w:rPr>
                  </w:pPr>
                  <w:r>
                    <w:rPr>
                      <w:sz w:val="18"/>
                      <w:szCs w:val="18"/>
                    </w:rPr>
                    <w:t>0</w:t>
                  </w:r>
                </w:p>
              </w:tc>
              <w:tc>
                <w:tcPr>
                  <w:tcW w:w="961" w:type="dxa"/>
                  <w:vAlign w:val="center"/>
                </w:tcPr>
                <w:p w14:paraId="299D6652">
                  <w:pPr>
                    <w:jc w:val="center"/>
                    <w:rPr>
                      <w:sz w:val="18"/>
                      <w:szCs w:val="18"/>
                    </w:rPr>
                  </w:pPr>
                  <w:r>
                    <w:rPr>
                      <w:sz w:val="18"/>
                      <w:szCs w:val="18"/>
                    </w:rPr>
                    <w:t>达标</w:t>
                  </w:r>
                </w:p>
              </w:tc>
            </w:tr>
            <w:tr w14:paraId="73A020C1">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1026" w:type="dxa"/>
                  <w:vMerge w:val="continue"/>
                  <w:vAlign w:val="center"/>
                </w:tcPr>
                <w:p w14:paraId="305B570D">
                  <w:pPr>
                    <w:jc w:val="center"/>
                    <w:rPr>
                      <w:sz w:val="18"/>
                      <w:szCs w:val="18"/>
                    </w:rPr>
                  </w:pPr>
                </w:p>
              </w:tc>
              <w:tc>
                <w:tcPr>
                  <w:tcW w:w="919" w:type="dxa"/>
                  <w:vAlign w:val="center"/>
                </w:tcPr>
                <w:p w14:paraId="26F4C8FA">
                  <w:pPr>
                    <w:jc w:val="center"/>
                    <w:rPr>
                      <w:sz w:val="18"/>
                      <w:szCs w:val="18"/>
                    </w:rPr>
                  </w:pPr>
                  <w:r>
                    <w:rPr>
                      <w:sz w:val="18"/>
                      <w:szCs w:val="18"/>
                    </w:rPr>
                    <w:t>PM</w:t>
                  </w:r>
                  <w:r>
                    <w:rPr>
                      <w:sz w:val="18"/>
                      <w:szCs w:val="18"/>
                      <w:vertAlign w:val="subscript"/>
                    </w:rPr>
                    <w:t>2.5</w:t>
                  </w:r>
                </w:p>
              </w:tc>
              <w:tc>
                <w:tcPr>
                  <w:tcW w:w="2077" w:type="dxa"/>
                  <w:vAlign w:val="center"/>
                </w:tcPr>
                <w:p w14:paraId="6E223F0B">
                  <w:pPr>
                    <w:jc w:val="center"/>
                    <w:rPr>
                      <w:sz w:val="18"/>
                      <w:szCs w:val="18"/>
                    </w:rPr>
                  </w:pPr>
                  <w:r>
                    <w:rPr>
                      <w:sz w:val="18"/>
                      <w:szCs w:val="18"/>
                    </w:rPr>
                    <w:t>年平均</w:t>
                  </w:r>
                </w:p>
              </w:tc>
              <w:tc>
                <w:tcPr>
                  <w:tcW w:w="954" w:type="dxa"/>
                  <w:vAlign w:val="center"/>
                </w:tcPr>
                <w:p w14:paraId="67D8824C">
                  <w:pPr>
                    <w:jc w:val="center"/>
                    <w:rPr>
                      <w:sz w:val="18"/>
                      <w:szCs w:val="18"/>
                    </w:rPr>
                  </w:pPr>
                  <w:r>
                    <w:rPr>
                      <w:sz w:val="18"/>
                      <w:szCs w:val="18"/>
                    </w:rPr>
                    <w:t>35</w:t>
                  </w:r>
                </w:p>
              </w:tc>
              <w:tc>
                <w:tcPr>
                  <w:tcW w:w="975" w:type="dxa"/>
                  <w:vAlign w:val="center"/>
                </w:tcPr>
                <w:p w14:paraId="32E27F70">
                  <w:pPr>
                    <w:jc w:val="center"/>
                    <w:rPr>
                      <w:rFonts w:hint="default" w:eastAsia="宋体"/>
                      <w:sz w:val="18"/>
                      <w:szCs w:val="18"/>
                      <w:lang w:val="en-US" w:eastAsia="zh-CN"/>
                    </w:rPr>
                  </w:pPr>
                  <w:r>
                    <w:rPr>
                      <w:rFonts w:hint="eastAsia"/>
                      <w:sz w:val="18"/>
                      <w:szCs w:val="18"/>
                      <w:lang w:val="en-US" w:eastAsia="zh-CN"/>
                    </w:rPr>
                    <w:t>24</w:t>
                  </w:r>
                </w:p>
              </w:tc>
              <w:tc>
                <w:tcPr>
                  <w:tcW w:w="1144" w:type="dxa"/>
                  <w:vAlign w:val="center"/>
                </w:tcPr>
                <w:p w14:paraId="445E68AE">
                  <w:pPr>
                    <w:jc w:val="center"/>
                    <w:rPr>
                      <w:sz w:val="18"/>
                      <w:szCs w:val="18"/>
                    </w:rPr>
                  </w:pPr>
                  <w:r>
                    <w:rPr>
                      <w:sz w:val="18"/>
                      <w:szCs w:val="18"/>
                    </w:rPr>
                    <w:t>0</w:t>
                  </w:r>
                </w:p>
              </w:tc>
              <w:tc>
                <w:tcPr>
                  <w:tcW w:w="961" w:type="dxa"/>
                  <w:vAlign w:val="center"/>
                </w:tcPr>
                <w:p w14:paraId="174EC4D8">
                  <w:pPr>
                    <w:jc w:val="center"/>
                    <w:rPr>
                      <w:sz w:val="18"/>
                      <w:szCs w:val="18"/>
                    </w:rPr>
                  </w:pPr>
                  <w:r>
                    <w:rPr>
                      <w:sz w:val="18"/>
                      <w:szCs w:val="18"/>
                    </w:rPr>
                    <w:t>达标</w:t>
                  </w:r>
                </w:p>
              </w:tc>
            </w:tr>
            <w:tr w14:paraId="2BE73ADF">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1026" w:type="dxa"/>
                  <w:vMerge w:val="continue"/>
                  <w:vAlign w:val="center"/>
                </w:tcPr>
                <w:p w14:paraId="04FDEFE3">
                  <w:pPr>
                    <w:jc w:val="center"/>
                    <w:rPr>
                      <w:sz w:val="18"/>
                      <w:szCs w:val="18"/>
                    </w:rPr>
                  </w:pPr>
                </w:p>
              </w:tc>
              <w:tc>
                <w:tcPr>
                  <w:tcW w:w="919" w:type="dxa"/>
                  <w:vAlign w:val="center"/>
                </w:tcPr>
                <w:p w14:paraId="34C44980">
                  <w:pPr>
                    <w:jc w:val="center"/>
                    <w:rPr>
                      <w:sz w:val="18"/>
                      <w:szCs w:val="18"/>
                    </w:rPr>
                  </w:pPr>
                  <w:r>
                    <w:rPr>
                      <w:sz w:val="18"/>
                      <w:szCs w:val="18"/>
                    </w:rPr>
                    <w:t>CO</w:t>
                  </w:r>
                </w:p>
              </w:tc>
              <w:tc>
                <w:tcPr>
                  <w:tcW w:w="2077" w:type="dxa"/>
                  <w:vAlign w:val="center"/>
                </w:tcPr>
                <w:p w14:paraId="5EC1EEC8">
                  <w:pPr>
                    <w:jc w:val="center"/>
                    <w:rPr>
                      <w:sz w:val="18"/>
                      <w:szCs w:val="18"/>
                    </w:rPr>
                  </w:pPr>
                  <w:r>
                    <w:rPr>
                      <w:sz w:val="18"/>
                      <w:szCs w:val="18"/>
                    </w:rPr>
                    <w:t>年平均第95百分位数</w:t>
                  </w:r>
                </w:p>
              </w:tc>
              <w:tc>
                <w:tcPr>
                  <w:tcW w:w="954" w:type="dxa"/>
                  <w:vAlign w:val="center"/>
                </w:tcPr>
                <w:p w14:paraId="34DB7759">
                  <w:pPr>
                    <w:jc w:val="center"/>
                    <w:rPr>
                      <w:sz w:val="18"/>
                      <w:szCs w:val="18"/>
                    </w:rPr>
                  </w:pPr>
                  <w:r>
                    <w:rPr>
                      <w:sz w:val="18"/>
                      <w:szCs w:val="18"/>
                    </w:rPr>
                    <w:t>4mg/m</w:t>
                  </w:r>
                  <w:r>
                    <w:rPr>
                      <w:sz w:val="18"/>
                      <w:szCs w:val="18"/>
                      <w:vertAlign w:val="superscript"/>
                    </w:rPr>
                    <w:t>3</w:t>
                  </w:r>
                </w:p>
              </w:tc>
              <w:tc>
                <w:tcPr>
                  <w:tcW w:w="975" w:type="dxa"/>
                  <w:vAlign w:val="center"/>
                </w:tcPr>
                <w:p w14:paraId="17006EEA">
                  <w:pPr>
                    <w:jc w:val="center"/>
                    <w:rPr>
                      <w:sz w:val="18"/>
                      <w:szCs w:val="18"/>
                    </w:rPr>
                  </w:pPr>
                  <w:r>
                    <w:rPr>
                      <w:rFonts w:hint="eastAsia"/>
                      <w:sz w:val="18"/>
                      <w:szCs w:val="18"/>
                      <w:lang w:val="en-US" w:eastAsia="zh-CN"/>
                    </w:rPr>
                    <w:t>1.0</w:t>
                  </w:r>
                  <w:r>
                    <w:rPr>
                      <w:sz w:val="18"/>
                      <w:szCs w:val="18"/>
                    </w:rPr>
                    <w:t>mg/m</w:t>
                  </w:r>
                  <w:r>
                    <w:rPr>
                      <w:sz w:val="18"/>
                      <w:szCs w:val="18"/>
                      <w:vertAlign w:val="superscript"/>
                    </w:rPr>
                    <w:t>3</w:t>
                  </w:r>
                </w:p>
              </w:tc>
              <w:tc>
                <w:tcPr>
                  <w:tcW w:w="1144" w:type="dxa"/>
                  <w:vAlign w:val="center"/>
                </w:tcPr>
                <w:p w14:paraId="2D8AC851">
                  <w:pPr>
                    <w:jc w:val="center"/>
                    <w:rPr>
                      <w:sz w:val="18"/>
                      <w:szCs w:val="18"/>
                    </w:rPr>
                  </w:pPr>
                  <w:r>
                    <w:rPr>
                      <w:sz w:val="18"/>
                      <w:szCs w:val="18"/>
                    </w:rPr>
                    <w:t>0</w:t>
                  </w:r>
                </w:p>
              </w:tc>
              <w:tc>
                <w:tcPr>
                  <w:tcW w:w="961" w:type="dxa"/>
                  <w:vAlign w:val="center"/>
                </w:tcPr>
                <w:p w14:paraId="13E99CFB">
                  <w:pPr>
                    <w:jc w:val="center"/>
                    <w:rPr>
                      <w:sz w:val="18"/>
                      <w:szCs w:val="18"/>
                    </w:rPr>
                  </w:pPr>
                  <w:r>
                    <w:rPr>
                      <w:sz w:val="18"/>
                      <w:szCs w:val="18"/>
                    </w:rPr>
                    <w:t>达标</w:t>
                  </w:r>
                </w:p>
              </w:tc>
            </w:tr>
            <w:tr w14:paraId="6712395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026" w:type="dxa"/>
                  <w:vMerge w:val="continue"/>
                  <w:vAlign w:val="center"/>
                </w:tcPr>
                <w:p w14:paraId="55FCD654">
                  <w:pPr>
                    <w:jc w:val="center"/>
                    <w:rPr>
                      <w:sz w:val="18"/>
                      <w:szCs w:val="18"/>
                    </w:rPr>
                  </w:pPr>
                </w:p>
              </w:tc>
              <w:tc>
                <w:tcPr>
                  <w:tcW w:w="919" w:type="dxa"/>
                  <w:vAlign w:val="center"/>
                </w:tcPr>
                <w:p w14:paraId="546C545D">
                  <w:pPr>
                    <w:jc w:val="center"/>
                    <w:rPr>
                      <w:sz w:val="18"/>
                      <w:szCs w:val="18"/>
                    </w:rPr>
                  </w:pPr>
                  <w:r>
                    <w:rPr>
                      <w:sz w:val="18"/>
                      <w:szCs w:val="18"/>
                    </w:rPr>
                    <w:t>O</w:t>
                  </w:r>
                  <w:r>
                    <w:rPr>
                      <w:sz w:val="18"/>
                      <w:szCs w:val="18"/>
                      <w:vertAlign w:val="subscript"/>
                    </w:rPr>
                    <w:t>3</w:t>
                  </w:r>
                </w:p>
              </w:tc>
              <w:tc>
                <w:tcPr>
                  <w:tcW w:w="2077" w:type="dxa"/>
                  <w:vAlign w:val="center"/>
                </w:tcPr>
                <w:p w14:paraId="786B6401">
                  <w:pPr>
                    <w:jc w:val="center"/>
                    <w:rPr>
                      <w:sz w:val="18"/>
                      <w:szCs w:val="18"/>
                    </w:rPr>
                  </w:pPr>
                  <w:r>
                    <w:rPr>
                      <w:sz w:val="18"/>
                      <w:szCs w:val="18"/>
                    </w:rPr>
                    <w:t>日最大8小时滑动平均值的第90百分位数</w:t>
                  </w:r>
                </w:p>
              </w:tc>
              <w:tc>
                <w:tcPr>
                  <w:tcW w:w="954" w:type="dxa"/>
                  <w:vAlign w:val="center"/>
                </w:tcPr>
                <w:p w14:paraId="33426DA7">
                  <w:pPr>
                    <w:jc w:val="center"/>
                    <w:rPr>
                      <w:sz w:val="18"/>
                      <w:szCs w:val="18"/>
                    </w:rPr>
                  </w:pPr>
                  <w:r>
                    <w:rPr>
                      <w:sz w:val="18"/>
                      <w:szCs w:val="18"/>
                    </w:rPr>
                    <w:t>160</w:t>
                  </w:r>
                </w:p>
              </w:tc>
              <w:tc>
                <w:tcPr>
                  <w:tcW w:w="975" w:type="dxa"/>
                  <w:vAlign w:val="center"/>
                </w:tcPr>
                <w:p w14:paraId="19825472">
                  <w:pPr>
                    <w:jc w:val="center"/>
                    <w:rPr>
                      <w:rFonts w:hint="default" w:eastAsia="宋体"/>
                      <w:sz w:val="18"/>
                      <w:szCs w:val="18"/>
                      <w:lang w:val="en-US" w:eastAsia="zh-CN"/>
                    </w:rPr>
                  </w:pPr>
                  <w:r>
                    <w:rPr>
                      <w:rFonts w:hint="eastAsia"/>
                      <w:sz w:val="18"/>
                      <w:szCs w:val="18"/>
                      <w:lang w:val="en-US" w:eastAsia="zh-CN"/>
                    </w:rPr>
                    <w:t>160</w:t>
                  </w:r>
                </w:p>
              </w:tc>
              <w:tc>
                <w:tcPr>
                  <w:tcW w:w="1144" w:type="dxa"/>
                  <w:vAlign w:val="center"/>
                </w:tcPr>
                <w:p w14:paraId="6EBC7A3D">
                  <w:pPr>
                    <w:jc w:val="center"/>
                    <w:rPr>
                      <w:rFonts w:hint="default" w:eastAsia="宋体"/>
                      <w:sz w:val="18"/>
                      <w:szCs w:val="18"/>
                      <w:lang w:val="en-US" w:eastAsia="zh-CN"/>
                    </w:rPr>
                  </w:pPr>
                  <w:r>
                    <w:rPr>
                      <w:rFonts w:hint="eastAsia"/>
                      <w:sz w:val="18"/>
                      <w:szCs w:val="18"/>
                      <w:lang w:val="en-US" w:eastAsia="zh-CN"/>
                    </w:rPr>
                    <w:t>0</w:t>
                  </w:r>
                </w:p>
              </w:tc>
              <w:tc>
                <w:tcPr>
                  <w:tcW w:w="961" w:type="dxa"/>
                  <w:vAlign w:val="center"/>
                </w:tcPr>
                <w:p w14:paraId="0B6D7C30">
                  <w:pPr>
                    <w:jc w:val="center"/>
                    <w:rPr>
                      <w:sz w:val="18"/>
                      <w:szCs w:val="18"/>
                    </w:rPr>
                  </w:pPr>
                  <w:r>
                    <w:rPr>
                      <w:sz w:val="18"/>
                      <w:szCs w:val="18"/>
                    </w:rPr>
                    <w:t>达标</w:t>
                  </w:r>
                </w:p>
              </w:tc>
            </w:tr>
          </w:tbl>
          <w:p w14:paraId="0B2E65F5">
            <w:pPr>
              <w:pStyle w:val="2"/>
              <w:keepNext w:val="0"/>
              <w:keepLines w:val="0"/>
              <w:pageBreakBefore w:val="0"/>
              <w:kinsoku/>
              <w:wordWrap/>
              <w:overflowPunct/>
              <w:topLinePunct w:val="0"/>
              <w:autoSpaceDE/>
              <w:autoSpaceDN/>
              <w:bidi w:val="0"/>
              <w:adjustRightInd/>
              <w:snapToGrid/>
              <w:spacing w:after="0" w:line="500" w:lineRule="exact"/>
              <w:ind w:left="0" w:right="0" w:firstLine="420" w:firstLineChars="200"/>
              <w:textAlignment w:val="auto"/>
              <w:rPr>
                <w:rFonts w:hint="default"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由表3-1可知，</w:t>
            </w:r>
            <w:r>
              <w:rPr>
                <w:rFonts w:hint="eastAsia" w:ascii="Times New Roman" w:hAnsi="Times New Roman" w:eastAsia="宋体" w:cs="Times New Roman"/>
                <w:kern w:val="2"/>
                <w:sz w:val="21"/>
                <w:szCs w:val="21"/>
                <w:lang w:val="en-US" w:eastAsia="zh-CN" w:bidi="ar-SA"/>
              </w:rPr>
              <w:t>除臭氧外，其余各污染物基本因子均可满足《环境空气质量标准》（GB3095-2012）中二级标准，臭氧现状浓度超过《环境空气质量标准》（GB3095-2012）中二级标准。因此判定项目所在区域属于达标区。</w:t>
            </w:r>
          </w:p>
          <w:p w14:paraId="2C765565">
            <w:pPr>
              <w:widowControl/>
              <w:spacing w:line="500" w:lineRule="exact"/>
              <w:ind w:firstLine="422" w:firstLineChars="200"/>
              <w:jc w:val="left"/>
              <w:rPr>
                <w:szCs w:val="21"/>
              </w:rPr>
            </w:pPr>
            <w:r>
              <w:rPr>
                <w:b/>
                <w:bCs/>
                <w:color w:val="000000"/>
                <w:kern w:val="0"/>
                <w:szCs w:val="21"/>
                <w:lang w:bidi="ar"/>
              </w:rPr>
              <w:t>2、地表水环境质量现状</w:t>
            </w:r>
          </w:p>
          <w:p w14:paraId="68CB2BD0">
            <w:pPr>
              <w:widowControl/>
              <w:spacing w:line="500" w:lineRule="exact"/>
              <w:ind w:firstLine="420" w:firstLineChars="200"/>
              <w:jc w:val="left"/>
              <w:rPr>
                <w:rFonts w:hint="eastAsia"/>
                <w:kern w:val="0"/>
                <w:szCs w:val="21"/>
                <w:lang w:bidi="ar"/>
              </w:rPr>
            </w:pPr>
            <w:r>
              <w:rPr>
                <w:rFonts w:hint="eastAsia"/>
                <w:color w:val="000000"/>
                <w:kern w:val="0"/>
                <w:szCs w:val="21"/>
                <w:lang w:eastAsia="zh-CN" w:bidi="ar"/>
              </w:rPr>
              <w:t>项目雨水</w:t>
            </w:r>
            <w:r>
              <w:rPr>
                <w:color w:val="000000"/>
                <w:kern w:val="0"/>
                <w:szCs w:val="21"/>
                <w:lang w:bidi="ar"/>
              </w:rPr>
              <w:t>根据《202</w:t>
            </w:r>
            <w:r>
              <w:rPr>
                <w:rFonts w:hint="eastAsia"/>
                <w:color w:val="000000"/>
                <w:kern w:val="0"/>
                <w:szCs w:val="21"/>
                <w:lang w:val="en-US" w:eastAsia="zh-CN" w:bidi="ar"/>
              </w:rPr>
              <w:t>3</w:t>
            </w:r>
            <w:r>
              <w:rPr>
                <w:color w:val="000000"/>
                <w:kern w:val="0"/>
                <w:szCs w:val="21"/>
                <w:lang w:bidi="ar"/>
              </w:rPr>
              <w:t>年度南通市生态环境状况公报》</w:t>
            </w:r>
            <w:r>
              <w:rPr>
                <w:rFonts w:hint="eastAsia"/>
                <w:color w:val="000000"/>
                <w:kern w:val="0"/>
                <w:szCs w:val="21"/>
                <w:lang w:bidi="ar"/>
              </w:rPr>
              <w:t>，</w:t>
            </w:r>
            <w:r>
              <w:rPr>
                <w:rFonts w:hint="eastAsia"/>
                <w:kern w:val="0"/>
                <w:szCs w:val="21"/>
                <w:lang w:bidi="ar"/>
              </w:rPr>
              <w:t>南通市共有16个国家考核断面，均达到或优于《地表水环境质量标准》（GB3838-2002）Ⅲ类标准。55个省考以上断面中，碾砣港闸、聚南大桥、营船港闸、通吕二号桥等19个断面水质符合Ⅱ类标准，孙窑大桥、嫩江路桥、新江海河桥、团结新大桥等36个断面水质符合Ⅲ类标准，优Ⅲ类比例100%，高于省定98.2%的考核标准；无Ⅴ类和劣Ⅴ类断面。</w:t>
            </w:r>
          </w:p>
          <w:p w14:paraId="28081267">
            <w:pPr>
              <w:widowControl/>
              <w:spacing w:line="500" w:lineRule="exact"/>
              <w:ind w:firstLine="420" w:firstLineChars="200"/>
              <w:jc w:val="left"/>
              <w:rPr>
                <w:kern w:val="0"/>
                <w:szCs w:val="21"/>
                <w:lang w:bidi="ar"/>
              </w:rPr>
            </w:pPr>
            <w:r>
              <w:rPr>
                <w:rFonts w:hint="eastAsia"/>
                <w:kern w:val="0"/>
                <w:szCs w:val="21"/>
                <w:lang w:bidi="ar"/>
              </w:rPr>
              <w:t>2.1 饮用水源</w:t>
            </w:r>
          </w:p>
          <w:p w14:paraId="7A5BADF9">
            <w:pPr>
              <w:widowControl/>
              <w:spacing w:line="500" w:lineRule="exact"/>
              <w:ind w:firstLine="420" w:firstLineChars="200"/>
              <w:jc w:val="left"/>
              <w:rPr>
                <w:rFonts w:hint="eastAsia"/>
                <w:kern w:val="0"/>
                <w:szCs w:val="21"/>
                <w:lang w:bidi="ar"/>
              </w:rPr>
            </w:pPr>
            <w:r>
              <w:rPr>
                <w:rFonts w:hint="eastAsia"/>
                <w:kern w:val="0"/>
                <w:szCs w:val="21"/>
                <w:lang w:bidi="ar"/>
              </w:rPr>
              <w:t>全市均以长江水作为饮用水源，长江狼山水源地（对应狼山水厂、崇海水厂）、长江洪港水源地（洪港水厂）、长江长青沙水源地（对应如皋鹏鹞水厂）、长江海门水源地（海门长江水厂）符合地表水Ⅲ类及以上标准，水质优良。全市共计年取水量6.03亿吨，饮用水源地水质达标率均为100%。</w:t>
            </w:r>
          </w:p>
          <w:p w14:paraId="7D9C09B8">
            <w:pPr>
              <w:widowControl/>
              <w:spacing w:line="500" w:lineRule="exact"/>
              <w:ind w:firstLine="420" w:firstLineChars="200"/>
              <w:jc w:val="left"/>
              <w:rPr>
                <w:kern w:val="0"/>
                <w:szCs w:val="21"/>
                <w:lang w:bidi="ar"/>
              </w:rPr>
            </w:pPr>
            <w:r>
              <w:rPr>
                <w:rFonts w:hint="eastAsia"/>
                <w:kern w:val="0"/>
                <w:szCs w:val="21"/>
                <w:lang w:bidi="ar"/>
              </w:rPr>
              <w:t>2.2 长江（南通段）水质</w:t>
            </w:r>
          </w:p>
          <w:p w14:paraId="5758FB17">
            <w:pPr>
              <w:widowControl/>
              <w:spacing w:line="500" w:lineRule="exact"/>
              <w:ind w:firstLine="420" w:firstLineChars="200"/>
              <w:jc w:val="left"/>
              <w:rPr>
                <w:rFonts w:hint="eastAsia"/>
                <w:kern w:val="0"/>
                <w:szCs w:val="21"/>
                <w:lang w:bidi="ar"/>
              </w:rPr>
            </w:pPr>
            <w:r>
              <w:rPr>
                <w:rFonts w:hint="eastAsia"/>
                <w:kern w:val="0"/>
                <w:szCs w:val="21"/>
                <w:lang w:bidi="ar"/>
              </w:rPr>
              <w:t>长江（南通段）水质为Ⅱ类，水质优良。其中，姚港（左岸）、团结闸（左岸）、小李港（左岸）断面水质保持Ⅱ类。</w:t>
            </w:r>
          </w:p>
          <w:p w14:paraId="306178D2">
            <w:pPr>
              <w:widowControl/>
              <w:spacing w:line="500" w:lineRule="exact"/>
              <w:ind w:firstLine="420" w:firstLineChars="200"/>
              <w:jc w:val="left"/>
              <w:rPr>
                <w:kern w:val="0"/>
                <w:szCs w:val="21"/>
                <w:lang w:bidi="ar"/>
              </w:rPr>
            </w:pPr>
            <w:r>
              <w:rPr>
                <w:rFonts w:hint="eastAsia"/>
                <w:kern w:val="0"/>
                <w:szCs w:val="21"/>
                <w:lang w:bidi="ar"/>
              </w:rPr>
              <w:t>2.3 内河水质</w:t>
            </w:r>
          </w:p>
          <w:p w14:paraId="617CC447">
            <w:pPr>
              <w:widowControl/>
              <w:spacing w:line="500" w:lineRule="exact"/>
              <w:ind w:firstLine="420" w:firstLineChars="200"/>
              <w:jc w:val="left"/>
              <w:rPr>
                <w:rFonts w:hint="eastAsia"/>
                <w:kern w:val="0"/>
                <w:szCs w:val="21"/>
                <w:lang w:bidi="ar"/>
              </w:rPr>
            </w:pPr>
            <w:r>
              <w:rPr>
                <w:rFonts w:hint="eastAsia"/>
                <w:kern w:val="0"/>
                <w:szCs w:val="21"/>
                <w:lang w:bidi="ar"/>
              </w:rPr>
              <w:t>南通市境内主要内河中，焦港河、通吕运河、如海运河、九圩港河、通启运河、新江海河、通扬运河、新通扬运河、栟茶运河、北凌河、如泰运河、遥望港水质基本达到Ⅲ类标准。</w:t>
            </w:r>
          </w:p>
          <w:p w14:paraId="29CBC61B">
            <w:pPr>
              <w:widowControl/>
              <w:spacing w:line="500" w:lineRule="exact"/>
              <w:ind w:firstLine="420" w:firstLineChars="200"/>
              <w:jc w:val="left"/>
              <w:rPr>
                <w:kern w:val="0"/>
                <w:szCs w:val="21"/>
                <w:lang w:bidi="ar"/>
              </w:rPr>
            </w:pPr>
            <w:r>
              <w:rPr>
                <w:rFonts w:hint="eastAsia"/>
                <w:kern w:val="0"/>
                <w:szCs w:val="21"/>
                <w:lang w:bidi="ar"/>
              </w:rPr>
              <w:t>2.4 城区主要河流</w:t>
            </w:r>
          </w:p>
          <w:p w14:paraId="75037F3B">
            <w:pPr>
              <w:widowControl/>
              <w:spacing w:line="500" w:lineRule="exact"/>
              <w:ind w:firstLine="420" w:firstLineChars="200"/>
              <w:jc w:val="left"/>
              <w:rPr>
                <w:rFonts w:hint="eastAsia" w:eastAsia="宋体"/>
                <w:kern w:val="0"/>
                <w:szCs w:val="21"/>
                <w:lang w:eastAsia="zh-CN" w:bidi="ar"/>
              </w:rPr>
            </w:pPr>
            <w:r>
              <w:rPr>
                <w:rFonts w:hint="eastAsia"/>
                <w:kern w:val="0"/>
                <w:szCs w:val="21"/>
                <w:lang w:bidi="ar"/>
              </w:rPr>
              <w:t>市区濠河水质总体达到地表水Ⅲ类标准，水质良好；各县（市、区）城区水质在地表水Ⅲ～Ⅳ类之间波动</w:t>
            </w:r>
            <w:r>
              <w:rPr>
                <w:rFonts w:hint="eastAsia"/>
                <w:kern w:val="0"/>
                <w:szCs w:val="21"/>
                <w:lang w:eastAsia="zh-CN" w:bidi="ar"/>
              </w:rPr>
              <w:t>。</w:t>
            </w:r>
          </w:p>
          <w:p w14:paraId="6BBD9139">
            <w:pPr>
              <w:widowControl/>
              <w:spacing w:line="500" w:lineRule="exact"/>
              <w:ind w:firstLine="420" w:firstLineChars="200"/>
              <w:jc w:val="left"/>
              <w:rPr>
                <w:szCs w:val="21"/>
              </w:rPr>
            </w:pPr>
            <w:r>
              <w:rPr>
                <w:color w:val="000000"/>
                <w:kern w:val="0"/>
                <w:szCs w:val="21"/>
                <w:lang w:bidi="ar"/>
              </w:rPr>
              <w:t>根据《南通市“十四五”生态环境保护规划》第四节“坚持三水统筹，巩固提升水环境质量”：以水环境质量持续改善为目标，优化实施以控制断面和水功能区相结合为基础的地表水环境质量目标管理。深入推进河（湖）长制、断面长制，压实压紧河（湖）长制工作责任链条，优化河（湖）长设置，以发现问题、处理问题为导向，切实提升水质改善成效。在确保防洪排涝安全的前提下，强化汛期劣质水管控，防范汛期水环境恶化。到2025年，水生态系统功能逐步恢复，水资源、水生态、水环境统筹推进格局基本形成，全市省考及以上断面优Ⅲ比例确保90%以上、力争达到100%。</w:t>
            </w:r>
          </w:p>
          <w:p w14:paraId="242CB640">
            <w:pPr>
              <w:widowControl/>
              <w:spacing w:line="500" w:lineRule="exact"/>
              <w:ind w:firstLine="420" w:firstLineChars="200"/>
              <w:jc w:val="left"/>
              <w:rPr>
                <w:szCs w:val="21"/>
              </w:rPr>
            </w:pPr>
            <w:r>
              <w:rPr>
                <w:color w:val="000000"/>
                <w:kern w:val="0"/>
                <w:szCs w:val="21"/>
                <w:lang w:bidi="ar"/>
              </w:rPr>
              <w:t>深入推进工业企业排水整治。推进化工、印染、电镀等行业废水治理。加快实施“一园一档”，提高工业园区（集聚区）污水处理水平，加快推进工业废水和生活污水分类收集、分质处理。积极推进工业园区（集中区）污染物排放限值限量管理试点，在常安纺织产业园、通州湾示范区现代纺织产业园、如东产业园等3个园区开展基于水生态环境质量的排污许可量核定试点研究，实现主要污染物排放浓度和总量“双管控”，结合区域水环境质量改善情况，核定并动态调整园区许可排放量。加强特征水污染物监管，建立重点园区有毒有害水污染物名录，严格监控重金属、抗生素、持久性有机毒物和内分泌干扰物等有毒有害物质。全面巩固提升建成区黑臭水体治理成果。在巩固建成区黑臭水体整治的基础上，做好已完成整治的城市黑臭水体长效管理，开展整治效果评估工作，继续实施水质监督检测，强化河道巡查和管养，做好水面岸坡的清理保洁、排口的动态管控治理和活水保质，确保污水不入河、黑臭不反弹。到2021年底，市区建成区水体主要水质指标达到或优于Ⅴ类标准，县（市、区）城市建成区基本消除黑臭水体。</w:t>
            </w:r>
          </w:p>
          <w:p w14:paraId="4E1EF3A3">
            <w:pPr>
              <w:widowControl/>
              <w:spacing w:line="500" w:lineRule="exact"/>
              <w:ind w:firstLine="420" w:firstLineChars="200"/>
              <w:jc w:val="left"/>
              <w:rPr>
                <w:szCs w:val="21"/>
              </w:rPr>
            </w:pPr>
            <w:r>
              <w:rPr>
                <w:color w:val="000000"/>
                <w:kern w:val="0"/>
                <w:szCs w:val="21"/>
                <w:lang w:bidi="ar"/>
              </w:rPr>
              <w:t>实施港口船舶污染综合整治。加强港口码头和船舶修造厂等的绿色岸电、环卫设施、污水处理设施、船舶污染物接收转运及处置设施建设，落实港口船舶污染物接收、转运、处置联合监管机制，加快建立船舶污染物“船－港－城”一体化处理模式。配置完善渔港垃圾收集和转运设施，及时收集、清理、转运并处置渔港</w:t>
            </w:r>
            <w:r>
              <w:rPr>
                <w:rFonts w:hint="eastAsia"/>
                <w:color w:val="000000"/>
                <w:kern w:val="0"/>
                <w:szCs w:val="21"/>
                <w:lang w:eastAsia="zh-CN" w:bidi="ar"/>
              </w:rPr>
              <w:t>及至</w:t>
            </w:r>
            <w:r>
              <w:rPr>
                <w:color w:val="000000"/>
                <w:kern w:val="0"/>
                <w:szCs w:val="21"/>
                <w:lang w:bidi="ar"/>
              </w:rPr>
              <w:t>港渔船产生的垃圾和废弃渔网渔具。2025年底前，主要港口和中心渔港全部落实“一港一策”的污染防治措施，实现污水和垃圾收集处置率达100%。全面组织实施区域治水工程。在控源截污的前提下，按照“以骨干河道为纲，内部河道为网，纲网联动、源水直达，大片独立、小片连通、统一调度、分级管理”的总体要求，科学划分治水片区，合理布设控导工程，构建有纲有网、纲网清晰、高低分开、引排有序的水系新格局，实现河网水系</w:t>
            </w:r>
            <w:r>
              <w:rPr>
                <w:rFonts w:hint="eastAsia"/>
                <w:color w:val="000000"/>
                <w:kern w:val="0"/>
                <w:szCs w:val="21"/>
                <w:lang w:eastAsia="zh-CN" w:bidi="ar"/>
              </w:rPr>
              <w:t>的互联</w:t>
            </w:r>
            <w:r>
              <w:rPr>
                <w:color w:val="000000"/>
                <w:kern w:val="0"/>
                <w:szCs w:val="21"/>
                <w:lang w:bidi="ar"/>
              </w:rPr>
              <w:t>互通和水体的有序流动，各级河道生态水位、生态流量得到有效保证。</w:t>
            </w:r>
          </w:p>
          <w:p w14:paraId="4884294E">
            <w:pPr>
              <w:widowControl/>
              <w:spacing w:line="500" w:lineRule="exact"/>
              <w:ind w:firstLine="420" w:firstLineChars="200"/>
              <w:jc w:val="left"/>
              <w:rPr>
                <w:b/>
                <w:bCs/>
                <w:color w:val="000000"/>
                <w:kern w:val="0"/>
                <w:szCs w:val="21"/>
                <w:lang w:bidi="ar"/>
              </w:rPr>
            </w:pPr>
            <w:r>
              <w:rPr>
                <w:color w:val="000000"/>
                <w:kern w:val="0"/>
                <w:szCs w:val="21"/>
                <w:lang w:bidi="ar"/>
              </w:rPr>
              <w:t>采取上述措施后，</w:t>
            </w:r>
            <w:r>
              <w:rPr>
                <w:rFonts w:hint="eastAsia"/>
                <w:color w:val="000000"/>
                <w:kern w:val="0"/>
                <w:szCs w:val="21"/>
                <w:lang w:bidi="ar"/>
              </w:rPr>
              <w:t>“</w:t>
            </w:r>
            <w:r>
              <w:rPr>
                <w:color w:val="000000"/>
                <w:kern w:val="0"/>
                <w:szCs w:val="21"/>
                <w:lang w:bidi="ar"/>
              </w:rPr>
              <w:t>十四五</w:t>
            </w:r>
            <w:r>
              <w:rPr>
                <w:rFonts w:hint="eastAsia"/>
                <w:color w:val="000000"/>
                <w:kern w:val="0"/>
                <w:szCs w:val="21"/>
                <w:lang w:bidi="ar"/>
              </w:rPr>
              <w:t>”</w:t>
            </w:r>
            <w:r>
              <w:rPr>
                <w:color w:val="000000"/>
                <w:kern w:val="0"/>
                <w:szCs w:val="21"/>
                <w:lang w:bidi="ar"/>
              </w:rPr>
              <w:t>期间，南通市水环境将得到持续改善。</w:t>
            </w:r>
          </w:p>
          <w:p w14:paraId="1AEB53F2">
            <w:pPr>
              <w:widowControl/>
              <w:spacing w:line="500" w:lineRule="exact"/>
              <w:ind w:firstLine="422" w:firstLineChars="200"/>
              <w:jc w:val="left"/>
              <w:rPr>
                <w:szCs w:val="21"/>
              </w:rPr>
            </w:pPr>
            <w:r>
              <w:rPr>
                <w:b/>
                <w:bCs/>
                <w:color w:val="000000"/>
                <w:kern w:val="0"/>
                <w:szCs w:val="21"/>
                <w:lang w:bidi="ar"/>
              </w:rPr>
              <w:t xml:space="preserve">3、声环境质量 </w:t>
            </w:r>
          </w:p>
          <w:p w14:paraId="5683E391">
            <w:pPr>
              <w:adjustRightInd w:val="0"/>
              <w:snapToGrid w:val="0"/>
              <w:spacing w:line="460" w:lineRule="exact"/>
              <w:ind w:firstLine="420" w:firstLineChars="200"/>
              <w:rPr>
                <w:kern w:val="0"/>
                <w:szCs w:val="21"/>
              </w:rPr>
            </w:pPr>
            <w:r>
              <w:rPr>
                <w:rFonts w:hint="eastAsia"/>
                <w:color w:val="auto"/>
                <w:kern w:val="0"/>
                <w:szCs w:val="21"/>
                <w:lang w:bidi="ar"/>
              </w:rPr>
              <w:t>根据《南通市生态环境状况公报（202</w:t>
            </w:r>
            <w:r>
              <w:rPr>
                <w:rFonts w:hint="eastAsia"/>
                <w:color w:val="auto"/>
                <w:kern w:val="0"/>
                <w:szCs w:val="21"/>
                <w:lang w:val="en-US" w:eastAsia="zh-CN" w:bidi="ar"/>
              </w:rPr>
              <w:t>3</w:t>
            </w:r>
            <w:r>
              <w:rPr>
                <w:rFonts w:hint="eastAsia"/>
                <w:color w:val="auto"/>
                <w:kern w:val="0"/>
                <w:szCs w:val="21"/>
                <w:lang w:bidi="ar"/>
              </w:rPr>
              <w:t>年）》，2023年，南通市区区域声环境昼、夜间平均等效声级别值分别为56.5dB(A)、45.2 dB(A)。与2022年相比，南通市区昼间区域声环境等级为三级水平，四县（市）及海门区中，海安市区域声环境昼、夜间平均等效声级别值分别为57.3 dB(A)、47.9 dB(A)，区域声环境等级均处于三级水平。其余县（市、区）昼间区域噪声平均等效声级在50.1～53.7 dB(A)之间，夜间区域噪声平均等效声级在41.7～44.7 dB(A)之间，区域声环境等级均处于二级水平。启东区域声环境等级为二级水平，其余县（市、区）夜间区域声环境等级</w:t>
            </w:r>
            <w:r>
              <w:rPr>
                <w:rFonts w:hint="eastAsia"/>
                <w:color w:val="auto"/>
                <w:kern w:val="0"/>
                <w:szCs w:val="21"/>
                <w:lang w:eastAsia="zh-CN" w:bidi="ar"/>
              </w:rPr>
              <w:t>均处于三级水平</w:t>
            </w:r>
            <w:r>
              <w:rPr>
                <w:rFonts w:hint="eastAsia"/>
                <w:color w:val="auto"/>
                <w:kern w:val="0"/>
                <w:szCs w:val="21"/>
                <w:lang w:bidi="ar"/>
              </w:rPr>
              <w:t>。</w:t>
            </w:r>
          </w:p>
          <w:p w14:paraId="01950A5F">
            <w:pPr>
              <w:widowControl/>
              <w:spacing w:line="500" w:lineRule="exact"/>
              <w:ind w:firstLine="422" w:firstLineChars="200"/>
              <w:jc w:val="left"/>
              <w:rPr>
                <w:szCs w:val="21"/>
              </w:rPr>
            </w:pPr>
            <w:r>
              <w:rPr>
                <w:b/>
                <w:bCs/>
                <w:color w:val="000000"/>
                <w:kern w:val="0"/>
                <w:szCs w:val="21"/>
                <w:lang w:bidi="ar"/>
              </w:rPr>
              <w:t xml:space="preserve">4、生态环境质量 </w:t>
            </w:r>
          </w:p>
          <w:p w14:paraId="1267BF3C">
            <w:pPr>
              <w:widowControl/>
              <w:spacing w:line="500" w:lineRule="exact"/>
              <w:ind w:firstLine="420" w:firstLineChars="200"/>
              <w:jc w:val="left"/>
              <w:rPr>
                <w:rFonts w:hint="eastAsia" w:eastAsia="宋体"/>
                <w:color w:val="000000"/>
                <w:kern w:val="0"/>
                <w:szCs w:val="21"/>
                <w:lang w:val="en-US" w:eastAsia="zh-CN" w:bidi="ar"/>
              </w:rPr>
            </w:pPr>
            <w:r>
              <w:rPr>
                <w:color w:val="000000"/>
                <w:kern w:val="0"/>
                <w:szCs w:val="21"/>
                <w:lang w:bidi="ar"/>
              </w:rPr>
              <w:t>根据《202</w:t>
            </w:r>
            <w:r>
              <w:rPr>
                <w:rFonts w:hint="eastAsia"/>
                <w:color w:val="000000"/>
                <w:kern w:val="0"/>
                <w:szCs w:val="21"/>
                <w:lang w:val="en-US" w:eastAsia="zh-CN" w:bidi="ar"/>
              </w:rPr>
              <w:t>3</w:t>
            </w:r>
            <w:r>
              <w:rPr>
                <w:color w:val="000000"/>
                <w:kern w:val="0"/>
                <w:szCs w:val="21"/>
                <w:lang w:bidi="ar"/>
              </w:rPr>
              <w:t>年度南通市生态环境状况公报》，</w:t>
            </w:r>
            <w:r>
              <w:rPr>
                <w:rFonts w:hint="eastAsia"/>
                <w:color w:val="000000"/>
                <w:kern w:val="0"/>
                <w:szCs w:val="21"/>
                <w:lang w:bidi="ar"/>
              </w:rPr>
              <w:t>2023年南通市生态质量指数为53.51，类别为“三类”，各县（市、区）生态质量指数介于44.83~58.28之间。南通市共有7个县（市、区）参与生态质量评价，其中如东、启东、海安为“二类”，通州、崇川、海门、如皋为“三类”。2023年南通全市除启东、海门、通州上升0.60、0.23和0.18外，其余4个区县EQI均下降；其中如皋、海安、如东、崇川EQI下降分别为-1.01、-0.73、-0.53和-0.03。由于生物多样性指数全省统一值，各县区该指标无差别；崇川生态胁迫指数最高，为100；如东生态格局指数最高，为37.31；海安生态功能指数最高，为83.23</w:t>
            </w:r>
            <w:r>
              <w:rPr>
                <w:rFonts w:hint="eastAsia"/>
                <w:color w:val="000000"/>
                <w:kern w:val="0"/>
                <w:szCs w:val="21"/>
                <w:lang w:eastAsia="zh-CN" w:bidi="ar"/>
              </w:rPr>
              <w:t>。</w:t>
            </w:r>
          </w:p>
          <w:p w14:paraId="042CCF3C">
            <w:pPr>
              <w:widowControl/>
              <w:spacing w:line="500" w:lineRule="exact"/>
              <w:ind w:firstLine="422" w:firstLineChars="200"/>
              <w:jc w:val="left"/>
              <w:rPr>
                <w:szCs w:val="21"/>
              </w:rPr>
            </w:pPr>
            <w:r>
              <w:rPr>
                <w:b/>
                <w:bCs/>
                <w:color w:val="000000"/>
                <w:kern w:val="0"/>
                <w:szCs w:val="21"/>
                <w:lang w:bidi="ar"/>
              </w:rPr>
              <w:t xml:space="preserve">5、地下水环境质量 </w:t>
            </w:r>
          </w:p>
          <w:p w14:paraId="13C1CDF7">
            <w:pPr>
              <w:widowControl/>
              <w:spacing w:line="500" w:lineRule="exact"/>
              <w:ind w:firstLine="420" w:firstLineChars="200"/>
              <w:jc w:val="left"/>
              <w:rPr>
                <w:color w:val="000000"/>
                <w:kern w:val="0"/>
                <w:szCs w:val="21"/>
                <w:lang w:bidi="ar"/>
              </w:rPr>
            </w:pPr>
            <w:r>
              <w:rPr>
                <w:color w:val="000000"/>
                <w:kern w:val="0"/>
                <w:szCs w:val="21"/>
                <w:lang w:bidi="ar"/>
              </w:rPr>
              <w:t>根据《202</w:t>
            </w:r>
            <w:r>
              <w:rPr>
                <w:rFonts w:hint="eastAsia"/>
                <w:color w:val="000000"/>
                <w:kern w:val="0"/>
                <w:szCs w:val="21"/>
                <w:lang w:val="en-US" w:eastAsia="zh-CN" w:bidi="ar"/>
              </w:rPr>
              <w:t>3</w:t>
            </w:r>
            <w:r>
              <w:rPr>
                <w:color w:val="000000"/>
                <w:kern w:val="0"/>
                <w:szCs w:val="21"/>
                <w:lang w:bidi="ar"/>
              </w:rPr>
              <w:t>年度南通市生态环境状况公报》，</w:t>
            </w:r>
            <w:r>
              <w:rPr>
                <w:rFonts w:hint="eastAsia"/>
                <w:color w:val="000000"/>
                <w:kern w:val="0"/>
                <w:szCs w:val="21"/>
                <w:lang w:bidi="ar"/>
              </w:rPr>
              <w:t>2023年，南通市省控以上23个地下水区域监测点位，水质达Ⅲ类的6个，满足Ⅳ类标准的14个，水质为Ⅴ类的3个，分别占比 26.1%、60.9%、13.0%，与2022年相比，地下水水质总体有所好转，Ⅳ类及以上水质占比为87.0%，增加13.3个百分点，相应Ⅴ类比例减少13.3个百分点。</w:t>
            </w:r>
          </w:p>
          <w:p w14:paraId="3ADC3752">
            <w:pPr>
              <w:widowControl/>
              <w:spacing w:line="500" w:lineRule="exact"/>
              <w:ind w:firstLine="420" w:firstLineChars="200"/>
              <w:jc w:val="left"/>
              <w:rPr>
                <w:szCs w:val="21"/>
              </w:rPr>
            </w:pPr>
            <w:r>
              <w:rPr>
                <w:kern w:val="0"/>
                <w:szCs w:val="21"/>
                <w:lang w:bidi="ar"/>
              </w:rPr>
              <w:t>本项目所属国民经济行业类别为</w:t>
            </w:r>
            <w:r>
              <w:rPr>
                <w:rFonts w:hint="eastAsia"/>
                <w:kern w:val="0"/>
                <w:szCs w:val="21"/>
                <w:lang w:val="en-US" w:eastAsia="zh-CN" w:bidi="ar"/>
              </w:rPr>
              <w:t>固体废物治理</w:t>
            </w:r>
            <w:r>
              <w:rPr>
                <w:kern w:val="0"/>
                <w:szCs w:val="21"/>
                <w:lang w:bidi="ar"/>
              </w:rPr>
              <w:t>，非化工行业，</w:t>
            </w:r>
            <w:r>
              <w:rPr>
                <w:rFonts w:hint="eastAsia"/>
                <w:kern w:val="0"/>
                <w:szCs w:val="21"/>
                <w:lang w:eastAsia="zh-CN" w:bidi="ar"/>
              </w:rPr>
              <w:t>在采取分区防渗的条件下</w:t>
            </w:r>
            <w:r>
              <w:rPr>
                <w:kern w:val="0"/>
                <w:szCs w:val="21"/>
                <w:lang w:bidi="ar"/>
              </w:rPr>
              <w:t>，通过加强日常管理，对区域地下水环境污染较小，因此，暂不开展地下水环境现状调查。</w:t>
            </w:r>
          </w:p>
          <w:p w14:paraId="64B8AB8C">
            <w:pPr>
              <w:widowControl/>
              <w:spacing w:line="500" w:lineRule="exact"/>
              <w:ind w:firstLine="422" w:firstLineChars="200"/>
              <w:jc w:val="left"/>
              <w:rPr>
                <w:szCs w:val="21"/>
              </w:rPr>
            </w:pPr>
            <w:r>
              <w:rPr>
                <w:b/>
                <w:bCs/>
                <w:color w:val="000000"/>
                <w:kern w:val="0"/>
                <w:szCs w:val="21"/>
                <w:lang w:bidi="ar"/>
              </w:rPr>
              <w:t xml:space="preserve">6、土壤环境质量 </w:t>
            </w:r>
          </w:p>
          <w:p w14:paraId="66910A23">
            <w:pPr>
              <w:widowControl/>
              <w:spacing w:line="500" w:lineRule="exact"/>
              <w:ind w:firstLine="420" w:firstLineChars="200"/>
              <w:jc w:val="left"/>
              <w:rPr>
                <w:spacing w:val="7"/>
                <w:szCs w:val="21"/>
              </w:rPr>
            </w:pPr>
            <w:r>
              <w:rPr>
                <w:color w:val="000000"/>
                <w:kern w:val="0"/>
                <w:szCs w:val="21"/>
                <w:lang w:bidi="ar"/>
              </w:rPr>
              <w:t>根据《202</w:t>
            </w:r>
            <w:r>
              <w:rPr>
                <w:rFonts w:hint="eastAsia"/>
                <w:color w:val="000000"/>
                <w:kern w:val="0"/>
                <w:szCs w:val="21"/>
                <w:lang w:val="en-US" w:eastAsia="zh-CN" w:bidi="ar"/>
              </w:rPr>
              <w:t>3</w:t>
            </w:r>
            <w:r>
              <w:rPr>
                <w:color w:val="000000"/>
                <w:kern w:val="0"/>
                <w:szCs w:val="21"/>
                <w:lang w:bidi="ar"/>
              </w:rPr>
              <w:t>年度南通市生态环境状况公报》，</w:t>
            </w:r>
            <w:r>
              <w:rPr>
                <w:rFonts w:hint="eastAsia"/>
                <w:color w:val="000000"/>
                <w:kern w:val="0"/>
                <w:szCs w:val="21"/>
                <w:lang w:bidi="ar"/>
              </w:rPr>
              <w:t>2023 年南通市共监测96个国家网土壤环境监测点，包括88个基础点和8个背景点，均为耕地类型，土壤环境质量状况总体良好。与“十三五”期间相比，土壤环境质量未发生显著变化。</w:t>
            </w:r>
            <w:r>
              <w:rPr>
                <w:color w:val="000000"/>
                <w:kern w:val="0"/>
                <w:szCs w:val="21"/>
                <w:lang w:bidi="ar"/>
              </w:rPr>
              <w:t>本项目所属国民经济行业类别为</w:t>
            </w:r>
            <w:r>
              <w:rPr>
                <w:rFonts w:hint="eastAsia"/>
                <w:color w:val="000000"/>
                <w:kern w:val="0"/>
                <w:szCs w:val="21"/>
                <w:lang w:eastAsia="zh-CN" w:bidi="ar"/>
              </w:rPr>
              <w:t>固体废物治理</w:t>
            </w:r>
            <w:r>
              <w:rPr>
                <w:color w:val="000000"/>
                <w:kern w:val="0"/>
                <w:szCs w:val="21"/>
                <w:lang w:bidi="ar"/>
              </w:rPr>
              <w:t>，非化工行业，日常生产过程中，</w:t>
            </w:r>
            <w:r>
              <w:rPr>
                <w:kern w:val="0"/>
                <w:szCs w:val="21"/>
              </w:rPr>
              <w:t>项目对可能产生</w:t>
            </w:r>
            <w:r>
              <w:rPr>
                <w:rFonts w:hint="eastAsia"/>
                <w:kern w:val="0"/>
                <w:szCs w:val="21"/>
                <w:lang w:eastAsia="zh-CN"/>
              </w:rPr>
              <w:t>土壤</w:t>
            </w:r>
            <w:r>
              <w:rPr>
                <w:kern w:val="0"/>
                <w:szCs w:val="21"/>
              </w:rPr>
              <w:t>影响的各项途径均进行有效预防，在确保各项防渗措施得以落实，并加强维护和厂区环境管理的前提下，不存在土壤环境污染途径</w:t>
            </w:r>
            <w:r>
              <w:rPr>
                <w:color w:val="000000"/>
                <w:kern w:val="0"/>
                <w:szCs w:val="21"/>
                <w:lang w:bidi="ar"/>
              </w:rPr>
              <w:t>，因此，暂不开展</w:t>
            </w:r>
            <w:r>
              <w:rPr>
                <w:rFonts w:hint="eastAsia"/>
                <w:color w:val="000000"/>
                <w:kern w:val="0"/>
                <w:szCs w:val="21"/>
                <w:lang w:bidi="ar"/>
              </w:rPr>
              <w:t>土壤</w:t>
            </w:r>
            <w:r>
              <w:rPr>
                <w:color w:val="000000"/>
                <w:kern w:val="0"/>
                <w:szCs w:val="21"/>
                <w:lang w:bidi="ar"/>
              </w:rPr>
              <w:t>环境现状调查。</w:t>
            </w:r>
          </w:p>
        </w:tc>
      </w:tr>
      <w:tr w14:paraId="2A72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0" w:hRule="atLeast"/>
          <w:jc w:val="center"/>
        </w:trPr>
        <w:tc>
          <w:tcPr>
            <w:tcW w:w="794" w:type="dxa"/>
            <w:vAlign w:val="center"/>
          </w:tcPr>
          <w:p w14:paraId="1BFB072E">
            <w:pPr>
              <w:pStyle w:val="2"/>
              <w:rPr>
                <w:rFonts w:ascii="Times New Roman" w:hAnsi="Times New Roman"/>
                <w:szCs w:val="32"/>
              </w:rPr>
            </w:pPr>
          </w:p>
          <w:p w14:paraId="677FA0A1">
            <w:pPr>
              <w:jc w:val="center"/>
              <w:rPr>
                <w:szCs w:val="21"/>
              </w:rPr>
            </w:pPr>
            <w:r>
              <w:rPr>
                <w:szCs w:val="21"/>
              </w:rPr>
              <w:t>环</w:t>
            </w:r>
          </w:p>
          <w:p w14:paraId="3269A862">
            <w:pPr>
              <w:jc w:val="center"/>
              <w:rPr>
                <w:szCs w:val="21"/>
              </w:rPr>
            </w:pPr>
          </w:p>
          <w:p w14:paraId="05E10CC2">
            <w:pPr>
              <w:jc w:val="center"/>
              <w:rPr>
                <w:szCs w:val="21"/>
              </w:rPr>
            </w:pPr>
            <w:r>
              <w:rPr>
                <w:szCs w:val="21"/>
              </w:rPr>
              <w:t>境</w:t>
            </w:r>
          </w:p>
          <w:p w14:paraId="7273C4F5">
            <w:pPr>
              <w:jc w:val="center"/>
              <w:rPr>
                <w:szCs w:val="21"/>
              </w:rPr>
            </w:pPr>
          </w:p>
          <w:p w14:paraId="28BDE84C">
            <w:pPr>
              <w:jc w:val="center"/>
              <w:rPr>
                <w:szCs w:val="21"/>
              </w:rPr>
            </w:pPr>
            <w:r>
              <w:rPr>
                <w:szCs w:val="21"/>
              </w:rPr>
              <w:t>保</w:t>
            </w:r>
          </w:p>
          <w:p w14:paraId="010DE56B">
            <w:pPr>
              <w:jc w:val="center"/>
              <w:rPr>
                <w:szCs w:val="21"/>
              </w:rPr>
            </w:pPr>
          </w:p>
          <w:p w14:paraId="4B8397FA">
            <w:pPr>
              <w:jc w:val="center"/>
              <w:rPr>
                <w:szCs w:val="21"/>
              </w:rPr>
            </w:pPr>
            <w:r>
              <w:rPr>
                <w:szCs w:val="21"/>
              </w:rPr>
              <w:t>护</w:t>
            </w:r>
          </w:p>
          <w:p w14:paraId="2B80AA9C">
            <w:pPr>
              <w:jc w:val="center"/>
              <w:rPr>
                <w:szCs w:val="21"/>
              </w:rPr>
            </w:pPr>
          </w:p>
          <w:p w14:paraId="68DA10F0">
            <w:pPr>
              <w:jc w:val="center"/>
              <w:rPr>
                <w:szCs w:val="21"/>
              </w:rPr>
            </w:pPr>
            <w:r>
              <w:rPr>
                <w:szCs w:val="21"/>
              </w:rPr>
              <w:t>目</w:t>
            </w:r>
          </w:p>
          <w:p w14:paraId="1BCCA857">
            <w:pPr>
              <w:jc w:val="center"/>
              <w:rPr>
                <w:szCs w:val="21"/>
              </w:rPr>
            </w:pPr>
          </w:p>
          <w:p w14:paraId="164D914C">
            <w:pPr>
              <w:jc w:val="center"/>
              <w:rPr>
                <w:szCs w:val="21"/>
              </w:rPr>
            </w:pPr>
            <w:r>
              <w:rPr>
                <w:szCs w:val="21"/>
              </w:rPr>
              <w:t>标</w:t>
            </w:r>
          </w:p>
          <w:p w14:paraId="229B381A">
            <w:pPr>
              <w:pStyle w:val="2"/>
              <w:rPr>
                <w:rFonts w:ascii="Times New Roman" w:hAnsi="Times New Roman"/>
                <w:szCs w:val="32"/>
              </w:rPr>
            </w:pPr>
          </w:p>
        </w:tc>
        <w:tc>
          <w:tcPr>
            <w:tcW w:w="8280" w:type="dxa"/>
          </w:tcPr>
          <w:p w14:paraId="0CAEE624">
            <w:pPr>
              <w:keepNext w:val="0"/>
              <w:keepLines w:val="0"/>
              <w:pageBreakBefore w:val="0"/>
              <w:widowControl/>
              <w:kinsoku/>
              <w:wordWrap/>
              <w:overflowPunct/>
              <w:topLinePunct w:val="0"/>
              <w:autoSpaceDE/>
              <w:autoSpaceDN/>
              <w:bidi w:val="0"/>
              <w:adjustRightInd/>
              <w:snapToGrid/>
              <w:spacing w:line="460" w:lineRule="exact"/>
              <w:ind w:firstLine="422" w:firstLineChars="200"/>
              <w:jc w:val="left"/>
              <w:textAlignment w:val="auto"/>
              <w:rPr>
                <w:rFonts w:hint="eastAsia"/>
                <w:b/>
                <w:bCs/>
              </w:rPr>
            </w:pPr>
            <w:r>
              <w:rPr>
                <w:rFonts w:hint="eastAsia"/>
                <w:b/>
                <w:bCs/>
              </w:rPr>
              <w:t>1、大气环境</w:t>
            </w:r>
          </w:p>
          <w:p w14:paraId="6C972765">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b w:val="0"/>
                <w:bCs w:val="0"/>
              </w:rPr>
            </w:pPr>
            <w:r>
              <w:rPr>
                <w:rFonts w:hint="eastAsia"/>
                <w:b w:val="0"/>
                <w:bCs w:val="0"/>
              </w:rPr>
              <w:t>项目厂界外500米范围内的无环境保护目标。</w:t>
            </w:r>
          </w:p>
          <w:p w14:paraId="3586C117">
            <w:pPr>
              <w:keepNext w:val="0"/>
              <w:keepLines w:val="0"/>
              <w:pageBreakBefore w:val="0"/>
              <w:widowControl/>
              <w:kinsoku/>
              <w:wordWrap/>
              <w:overflowPunct/>
              <w:topLinePunct w:val="0"/>
              <w:autoSpaceDE/>
              <w:autoSpaceDN/>
              <w:bidi w:val="0"/>
              <w:adjustRightInd/>
              <w:snapToGrid/>
              <w:spacing w:line="460" w:lineRule="exact"/>
              <w:ind w:firstLine="422" w:firstLineChars="200"/>
              <w:jc w:val="left"/>
              <w:textAlignment w:val="auto"/>
              <w:rPr>
                <w:rFonts w:hint="eastAsia"/>
                <w:b/>
                <w:bCs/>
              </w:rPr>
            </w:pPr>
            <w:r>
              <w:rPr>
                <w:rFonts w:hint="eastAsia"/>
                <w:b/>
                <w:bCs/>
              </w:rPr>
              <w:t>2、声环境</w:t>
            </w:r>
          </w:p>
          <w:p w14:paraId="0799AA46">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b w:val="0"/>
                <w:bCs w:val="0"/>
              </w:rPr>
            </w:pPr>
            <w:r>
              <w:rPr>
                <w:rFonts w:hint="eastAsia"/>
                <w:b w:val="0"/>
                <w:bCs w:val="0"/>
              </w:rPr>
              <w:t>项目厂界外50米范围内无环境保护目标。</w:t>
            </w:r>
          </w:p>
          <w:p w14:paraId="5A4B1107">
            <w:pPr>
              <w:keepNext w:val="0"/>
              <w:keepLines w:val="0"/>
              <w:pageBreakBefore w:val="0"/>
              <w:widowControl/>
              <w:kinsoku/>
              <w:wordWrap/>
              <w:overflowPunct/>
              <w:topLinePunct w:val="0"/>
              <w:autoSpaceDE/>
              <w:autoSpaceDN/>
              <w:bidi w:val="0"/>
              <w:adjustRightInd/>
              <w:snapToGrid/>
              <w:spacing w:line="460" w:lineRule="exact"/>
              <w:ind w:firstLine="422" w:firstLineChars="200"/>
              <w:jc w:val="left"/>
              <w:textAlignment w:val="auto"/>
              <w:rPr>
                <w:rFonts w:hint="eastAsia"/>
                <w:b/>
                <w:bCs/>
              </w:rPr>
            </w:pPr>
            <w:r>
              <w:rPr>
                <w:rFonts w:hint="eastAsia"/>
                <w:b/>
                <w:bCs/>
              </w:rPr>
              <w:t>3、地下水环境</w:t>
            </w:r>
          </w:p>
          <w:p w14:paraId="2EFA3672">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b w:val="0"/>
                <w:bCs w:val="0"/>
              </w:rPr>
            </w:pPr>
            <w:r>
              <w:rPr>
                <w:rFonts w:hint="eastAsia"/>
                <w:b w:val="0"/>
                <w:bCs w:val="0"/>
              </w:rPr>
              <w:t>项目厂界外500米范围内无地下水环境保护目标。</w:t>
            </w:r>
          </w:p>
          <w:p w14:paraId="1F946F9C">
            <w:pPr>
              <w:keepNext w:val="0"/>
              <w:keepLines w:val="0"/>
              <w:pageBreakBefore w:val="0"/>
              <w:widowControl/>
              <w:kinsoku/>
              <w:wordWrap/>
              <w:overflowPunct/>
              <w:topLinePunct w:val="0"/>
              <w:autoSpaceDE/>
              <w:autoSpaceDN/>
              <w:bidi w:val="0"/>
              <w:adjustRightInd/>
              <w:snapToGrid/>
              <w:spacing w:line="460" w:lineRule="exact"/>
              <w:ind w:firstLine="422" w:firstLineChars="200"/>
              <w:jc w:val="left"/>
              <w:textAlignment w:val="auto"/>
              <w:rPr>
                <w:rFonts w:hint="eastAsia"/>
                <w:b/>
                <w:bCs/>
              </w:rPr>
            </w:pPr>
            <w:r>
              <w:rPr>
                <w:rFonts w:hint="eastAsia"/>
                <w:b/>
                <w:bCs/>
              </w:rPr>
              <w:t>4、生态环境</w:t>
            </w:r>
          </w:p>
          <w:p w14:paraId="211ED626">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eastAsia="宋体"/>
                <w:b w:val="0"/>
                <w:bCs w:val="0"/>
                <w:color w:val="000000"/>
                <w:kern w:val="0"/>
                <w:szCs w:val="21"/>
                <w:lang w:eastAsia="zh-CN" w:bidi="ar"/>
              </w:rPr>
            </w:pPr>
            <w:r>
              <w:rPr>
                <w:rFonts w:hint="eastAsia"/>
                <w:b w:val="0"/>
                <w:bCs w:val="0"/>
              </w:rPr>
              <w:t>本项目不涉及生态环境保护目标。</w:t>
            </w:r>
          </w:p>
          <w:p w14:paraId="43A39433">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color w:val="000000"/>
                <w:kern w:val="0"/>
                <w:szCs w:val="21"/>
                <w:lang w:bidi="ar"/>
              </w:rPr>
            </w:pPr>
          </w:p>
          <w:p w14:paraId="2A01F56A">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color w:val="000000"/>
                <w:kern w:val="0"/>
                <w:szCs w:val="21"/>
                <w:lang w:bidi="ar"/>
              </w:rPr>
            </w:pPr>
          </w:p>
          <w:p w14:paraId="21938294">
            <w:pPr>
              <w:keepNext w:val="0"/>
              <w:keepLines w:val="0"/>
              <w:pageBreakBefore w:val="0"/>
              <w:widowControl/>
              <w:kinsoku/>
              <w:wordWrap/>
              <w:overflowPunct/>
              <w:topLinePunct w:val="0"/>
              <w:autoSpaceDE/>
              <w:autoSpaceDN/>
              <w:bidi w:val="0"/>
              <w:adjustRightInd/>
              <w:snapToGrid/>
              <w:spacing w:line="460" w:lineRule="exact"/>
              <w:jc w:val="left"/>
              <w:textAlignment w:val="auto"/>
              <w:rPr>
                <w:color w:val="000000"/>
                <w:kern w:val="0"/>
                <w:szCs w:val="21"/>
                <w:lang w:bidi="ar"/>
              </w:rPr>
            </w:pPr>
          </w:p>
          <w:p w14:paraId="30A5B115">
            <w:pPr>
              <w:pStyle w:val="2"/>
            </w:pPr>
          </w:p>
        </w:tc>
      </w:tr>
      <w:tr w14:paraId="3FEE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1" w:hRule="atLeast"/>
          <w:jc w:val="center"/>
        </w:trPr>
        <w:tc>
          <w:tcPr>
            <w:tcW w:w="794" w:type="dxa"/>
            <w:vAlign w:val="center"/>
          </w:tcPr>
          <w:p w14:paraId="2FC77844">
            <w:pPr>
              <w:jc w:val="center"/>
              <w:rPr>
                <w:szCs w:val="21"/>
              </w:rPr>
            </w:pPr>
          </w:p>
          <w:p w14:paraId="15952372">
            <w:pPr>
              <w:jc w:val="center"/>
              <w:rPr>
                <w:szCs w:val="21"/>
              </w:rPr>
            </w:pPr>
          </w:p>
          <w:p w14:paraId="4A949378">
            <w:pPr>
              <w:pStyle w:val="2"/>
              <w:jc w:val="center"/>
              <w:rPr>
                <w:rFonts w:ascii="Times New Roman" w:hAnsi="Times New Roman"/>
                <w:sz w:val="21"/>
                <w:szCs w:val="21"/>
              </w:rPr>
            </w:pPr>
          </w:p>
          <w:p w14:paraId="2383A752">
            <w:pPr>
              <w:jc w:val="center"/>
              <w:rPr>
                <w:szCs w:val="21"/>
              </w:rPr>
            </w:pPr>
          </w:p>
          <w:p w14:paraId="2DC24596">
            <w:pPr>
              <w:pStyle w:val="2"/>
              <w:jc w:val="center"/>
              <w:rPr>
                <w:rFonts w:ascii="Times New Roman" w:hAnsi="Times New Roman"/>
                <w:sz w:val="21"/>
                <w:szCs w:val="21"/>
              </w:rPr>
            </w:pPr>
          </w:p>
          <w:p w14:paraId="60685666">
            <w:pPr>
              <w:jc w:val="center"/>
              <w:rPr>
                <w:szCs w:val="21"/>
              </w:rPr>
            </w:pPr>
          </w:p>
          <w:p w14:paraId="44A2A9CC">
            <w:pPr>
              <w:pStyle w:val="2"/>
              <w:jc w:val="center"/>
              <w:rPr>
                <w:rFonts w:ascii="Times New Roman" w:hAnsi="Times New Roman"/>
                <w:sz w:val="21"/>
                <w:szCs w:val="21"/>
              </w:rPr>
            </w:pPr>
          </w:p>
          <w:p w14:paraId="29B10BE3">
            <w:pPr>
              <w:jc w:val="center"/>
              <w:rPr>
                <w:szCs w:val="21"/>
              </w:rPr>
            </w:pPr>
          </w:p>
          <w:p w14:paraId="37C9C865">
            <w:pPr>
              <w:pStyle w:val="2"/>
              <w:jc w:val="center"/>
              <w:rPr>
                <w:rFonts w:ascii="Times New Roman" w:hAnsi="Times New Roman"/>
                <w:sz w:val="21"/>
                <w:szCs w:val="21"/>
              </w:rPr>
            </w:pPr>
          </w:p>
          <w:p w14:paraId="084EA012">
            <w:pPr>
              <w:jc w:val="center"/>
              <w:rPr>
                <w:szCs w:val="21"/>
              </w:rPr>
            </w:pPr>
          </w:p>
          <w:p w14:paraId="5EB50012">
            <w:pPr>
              <w:pStyle w:val="2"/>
              <w:jc w:val="center"/>
              <w:rPr>
                <w:rFonts w:ascii="Times New Roman" w:hAnsi="Times New Roman"/>
                <w:sz w:val="21"/>
                <w:szCs w:val="21"/>
              </w:rPr>
            </w:pPr>
          </w:p>
          <w:p w14:paraId="28D99984">
            <w:pPr>
              <w:jc w:val="center"/>
              <w:rPr>
                <w:szCs w:val="21"/>
              </w:rPr>
            </w:pPr>
          </w:p>
          <w:p w14:paraId="45907308">
            <w:pPr>
              <w:pStyle w:val="2"/>
              <w:jc w:val="center"/>
              <w:rPr>
                <w:rFonts w:ascii="Times New Roman" w:hAnsi="Times New Roman"/>
                <w:sz w:val="21"/>
                <w:szCs w:val="21"/>
              </w:rPr>
            </w:pPr>
          </w:p>
          <w:p w14:paraId="17AD74C1">
            <w:pPr>
              <w:jc w:val="center"/>
              <w:rPr>
                <w:szCs w:val="21"/>
              </w:rPr>
            </w:pPr>
          </w:p>
          <w:p w14:paraId="1A102151">
            <w:pPr>
              <w:pStyle w:val="2"/>
              <w:jc w:val="center"/>
              <w:rPr>
                <w:rFonts w:ascii="Times New Roman" w:hAnsi="Times New Roman"/>
                <w:sz w:val="21"/>
                <w:szCs w:val="21"/>
              </w:rPr>
            </w:pPr>
          </w:p>
          <w:p w14:paraId="776F1760">
            <w:pPr>
              <w:jc w:val="center"/>
              <w:rPr>
                <w:szCs w:val="21"/>
              </w:rPr>
            </w:pPr>
          </w:p>
          <w:p w14:paraId="4CC25A66">
            <w:pPr>
              <w:pStyle w:val="2"/>
              <w:jc w:val="center"/>
              <w:rPr>
                <w:rFonts w:ascii="Times New Roman" w:hAnsi="Times New Roman"/>
                <w:sz w:val="21"/>
                <w:szCs w:val="21"/>
              </w:rPr>
            </w:pPr>
          </w:p>
          <w:p w14:paraId="21760A41">
            <w:pPr>
              <w:jc w:val="center"/>
              <w:rPr>
                <w:szCs w:val="21"/>
              </w:rPr>
            </w:pPr>
            <w:r>
              <w:rPr>
                <w:szCs w:val="21"/>
              </w:rPr>
              <w:t>污 染 物 排 放 控 制 标 准</w:t>
            </w:r>
          </w:p>
          <w:p w14:paraId="4626C816">
            <w:pPr>
              <w:pStyle w:val="2"/>
              <w:jc w:val="center"/>
              <w:rPr>
                <w:rFonts w:ascii="Times New Roman" w:hAnsi="Times New Roman"/>
              </w:rPr>
            </w:pPr>
          </w:p>
          <w:p w14:paraId="636AA951">
            <w:pPr>
              <w:pStyle w:val="2"/>
              <w:jc w:val="center"/>
              <w:rPr>
                <w:rFonts w:ascii="Times New Roman" w:hAnsi="Times New Roman"/>
              </w:rPr>
            </w:pPr>
          </w:p>
          <w:p w14:paraId="1B0B8927">
            <w:pPr>
              <w:pStyle w:val="2"/>
              <w:jc w:val="center"/>
              <w:rPr>
                <w:rFonts w:ascii="Times New Roman" w:hAnsi="Times New Roman"/>
              </w:rPr>
            </w:pPr>
          </w:p>
          <w:p w14:paraId="0B7B0E35">
            <w:pPr>
              <w:pStyle w:val="2"/>
              <w:jc w:val="center"/>
              <w:rPr>
                <w:rFonts w:ascii="Times New Roman" w:hAnsi="Times New Roman"/>
              </w:rPr>
            </w:pPr>
          </w:p>
          <w:p w14:paraId="019D8BA9">
            <w:pPr>
              <w:pStyle w:val="2"/>
              <w:jc w:val="center"/>
              <w:rPr>
                <w:rFonts w:ascii="Times New Roman" w:hAnsi="Times New Roman"/>
              </w:rPr>
            </w:pPr>
          </w:p>
          <w:p w14:paraId="38EE5A3B">
            <w:pPr>
              <w:pStyle w:val="2"/>
              <w:jc w:val="center"/>
              <w:rPr>
                <w:rFonts w:ascii="Times New Roman" w:hAnsi="Times New Roman"/>
              </w:rPr>
            </w:pPr>
          </w:p>
          <w:p w14:paraId="014E20C8">
            <w:pPr>
              <w:pStyle w:val="2"/>
              <w:jc w:val="center"/>
              <w:rPr>
                <w:rFonts w:ascii="Times New Roman" w:hAnsi="Times New Roman"/>
              </w:rPr>
            </w:pPr>
          </w:p>
          <w:p w14:paraId="749927BA">
            <w:pPr>
              <w:pStyle w:val="2"/>
              <w:jc w:val="center"/>
              <w:rPr>
                <w:rFonts w:ascii="Times New Roman" w:hAnsi="Times New Roman"/>
              </w:rPr>
            </w:pPr>
          </w:p>
          <w:p w14:paraId="2D866E50">
            <w:pPr>
              <w:pStyle w:val="2"/>
              <w:jc w:val="center"/>
              <w:rPr>
                <w:rFonts w:ascii="Times New Roman" w:hAnsi="Times New Roman"/>
              </w:rPr>
            </w:pPr>
          </w:p>
          <w:p w14:paraId="4E560D09">
            <w:pPr>
              <w:pStyle w:val="2"/>
              <w:jc w:val="center"/>
              <w:rPr>
                <w:rFonts w:ascii="Times New Roman" w:hAnsi="Times New Roman"/>
              </w:rPr>
            </w:pPr>
          </w:p>
          <w:p w14:paraId="47F6F6E3">
            <w:pPr>
              <w:pStyle w:val="2"/>
              <w:jc w:val="center"/>
              <w:rPr>
                <w:rFonts w:ascii="Times New Roman" w:hAnsi="Times New Roman"/>
              </w:rPr>
            </w:pPr>
          </w:p>
          <w:p w14:paraId="453255F4">
            <w:pPr>
              <w:pStyle w:val="2"/>
              <w:jc w:val="center"/>
              <w:rPr>
                <w:rFonts w:ascii="Times New Roman" w:hAnsi="Times New Roman"/>
              </w:rPr>
            </w:pPr>
          </w:p>
          <w:p w14:paraId="13DA1DF0">
            <w:pPr>
              <w:pStyle w:val="2"/>
              <w:jc w:val="center"/>
              <w:rPr>
                <w:rFonts w:ascii="Times New Roman" w:hAnsi="Times New Roman"/>
              </w:rPr>
            </w:pPr>
          </w:p>
        </w:tc>
        <w:tc>
          <w:tcPr>
            <w:tcW w:w="8280" w:type="dxa"/>
          </w:tcPr>
          <w:p w14:paraId="428EED2E">
            <w:pPr>
              <w:spacing w:line="500" w:lineRule="exact"/>
              <w:ind w:firstLine="422" w:firstLineChars="200"/>
              <w:rPr>
                <w:b/>
                <w:bCs/>
                <w:szCs w:val="21"/>
              </w:rPr>
            </w:pPr>
            <w:r>
              <w:rPr>
                <w:b/>
                <w:bCs/>
                <w:szCs w:val="21"/>
              </w:rPr>
              <w:t xml:space="preserve">1、大气污染物排放标准 </w:t>
            </w:r>
          </w:p>
          <w:p w14:paraId="22252226">
            <w:pPr>
              <w:spacing w:line="500" w:lineRule="exact"/>
              <w:ind w:firstLine="420" w:firstLineChars="200"/>
              <w:rPr>
                <w:szCs w:val="21"/>
              </w:rPr>
            </w:pPr>
            <w:r>
              <w:rPr>
                <w:rFonts w:hint="eastAsia"/>
                <w:szCs w:val="21"/>
                <w:lang w:eastAsia="zh-CN"/>
              </w:rPr>
              <w:t>厂界</w:t>
            </w:r>
            <w:r>
              <w:rPr>
                <w:rFonts w:hint="eastAsia"/>
                <w:szCs w:val="21"/>
              </w:rPr>
              <w:t>颗粒物执行</w:t>
            </w:r>
            <w:r>
              <w:rPr>
                <w:szCs w:val="21"/>
              </w:rPr>
              <w:t>江苏省《大气污染物综合排放标准》（DB32/4041-2021）中表1、表3标准</w:t>
            </w:r>
            <w:r>
              <w:rPr>
                <w:rFonts w:hint="eastAsia"/>
                <w:szCs w:val="21"/>
              </w:rPr>
              <w:t>，</w:t>
            </w:r>
            <w:r>
              <w:rPr>
                <w:rFonts w:hint="eastAsia"/>
                <w:szCs w:val="21"/>
                <w:lang w:eastAsia="zh-CN"/>
              </w:rPr>
              <w:t>，</w:t>
            </w:r>
            <w:r>
              <w:rPr>
                <w:szCs w:val="21"/>
              </w:rPr>
              <w:t>具体见表3-</w:t>
            </w:r>
            <w:r>
              <w:rPr>
                <w:rFonts w:hint="eastAsia"/>
                <w:szCs w:val="21"/>
                <w:lang w:val="en-US" w:eastAsia="zh-CN"/>
              </w:rPr>
              <w:t>4</w:t>
            </w:r>
            <w:r>
              <w:rPr>
                <w:szCs w:val="21"/>
              </w:rPr>
              <w:t>。</w:t>
            </w:r>
          </w:p>
          <w:p w14:paraId="36E0E2F4">
            <w:pPr>
              <w:spacing w:line="360" w:lineRule="auto"/>
              <w:ind w:firstLine="422" w:firstLineChars="200"/>
              <w:jc w:val="center"/>
              <w:rPr>
                <w:b/>
                <w:bCs/>
                <w:szCs w:val="21"/>
              </w:rPr>
            </w:pPr>
            <w:r>
              <w:rPr>
                <w:b/>
                <w:bCs/>
                <w:szCs w:val="21"/>
              </w:rPr>
              <w:t>表3-</w:t>
            </w:r>
            <w:r>
              <w:rPr>
                <w:rFonts w:hint="eastAsia"/>
                <w:b/>
                <w:bCs/>
                <w:szCs w:val="21"/>
                <w:lang w:val="en-US" w:eastAsia="zh-CN"/>
              </w:rPr>
              <w:t>4</w:t>
            </w:r>
            <w:r>
              <w:rPr>
                <w:b/>
                <w:bCs/>
                <w:szCs w:val="21"/>
              </w:rPr>
              <w:t xml:space="preserve"> 大气污染物排放执行标准</w:t>
            </w:r>
          </w:p>
          <w:tbl>
            <w:tblPr>
              <w:tblStyle w:val="19"/>
              <w:tblW w:w="807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13"/>
              <w:gridCol w:w="1387"/>
              <w:gridCol w:w="1346"/>
              <w:gridCol w:w="1627"/>
              <w:gridCol w:w="1979"/>
            </w:tblGrid>
            <w:tr w14:paraId="69C6F0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25" w:type="dxa"/>
                  <w:noWrap/>
                  <w:vAlign w:val="center"/>
                </w:tcPr>
                <w:p w14:paraId="1B8D499A">
                  <w:pPr>
                    <w:jc w:val="center"/>
                    <w:rPr>
                      <w:sz w:val="18"/>
                      <w:szCs w:val="18"/>
                    </w:rPr>
                  </w:pPr>
                  <w:r>
                    <w:rPr>
                      <w:sz w:val="18"/>
                      <w:szCs w:val="18"/>
                    </w:rPr>
                    <w:t>污染物</w:t>
                  </w:r>
                </w:p>
              </w:tc>
              <w:tc>
                <w:tcPr>
                  <w:tcW w:w="913" w:type="dxa"/>
                  <w:noWrap/>
                  <w:vAlign w:val="center"/>
                </w:tcPr>
                <w:p w14:paraId="4F7658A9">
                  <w:pPr>
                    <w:jc w:val="center"/>
                    <w:rPr>
                      <w:sz w:val="18"/>
                      <w:szCs w:val="18"/>
                    </w:rPr>
                  </w:pPr>
                  <w:r>
                    <w:rPr>
                      <w:sz w:val="18"/>
                      <w:szCs w:val="18"/>
                    </w:rPr>
                    <w:t>排气筒高度（m）</w:t>
                  </w:r>
                </w:p>
              </w:tc>
              <w:tc>
                <w:tcPr>
                  <w:tcW w:w="1387" w:type="dxa"/>
                  <w:noWrap/>
                  <w:vAlign w:val="center"/>
                </w:tcPr>
                <w:p w14:paraId="75FA3A92">
                  <w:pPr>
                    <w:jc w:val="center"/>
                    <w:rPr>
                      <w:sz w:val="18"/>
                      <w:szCs w:val="18"/>
                    </w:rPr>
                  </w:pPr>
                  <w:r>
                    <w:rPr>
                      <w:sz w:val="18"/>
                      <w:szCs w:val="18"/>
                    </w:rPr>
                    <w:t>最高允许排放速率（kg/h）</w:t>
                  </w:r>
                </w:p>
              </w:tc>
              <w:tc>
                <w:tcPr>
                  <w:tcW w:w="1346" w:type="dxa"/>
                  <w:noWrap/>
                  <w:vAlign w:val="center"/>
                </w:tcPr>
                <w:p w14:paraId="59FAA9F6">
                  <w:pPr>
                    <w:jc w:val="center"/>
                    <w:rPr>
                      <w:sz w:val="18"/>
                      <w:szCs w:val="18"/>
                    </w:rPr>
                  </w:pPr>
                  <w:r>
                    <w:rPr>
                      <w:sz w:val="18"/>
                      <w:szCs w:val="18"/>
                    </w:rPr>
                    <w:t>最高允许排放浓度</w:t>
                  </w:r>
                  <w:r>
                    <w:rPr>
                      <w:rFonts w:hint="eastAsia"/>
                      <w:sz w:val="18"/>
                      <w:szCs w:val="18"/>
                    </w:rPr>
                    <w:t>（</w:t>
                  </w:r>
                  <w:r>
                    <w:rPr>
                      <w:sz w:val="18"/>
                      <w:szCs w:val="18"/>
                    </w:rPr>
                    <w:t>mg/m</w:t>
                  </w:r>
                  <w:r>
                    <w:rPr>
                      <w:sz w:val="18"/>
                      <w:szCs w:val="18"/>
                      <w:vertAlign w:val="superscript"/>
                    </w:rPr>
                    <w:t>3</w:t>
                  </w:r>
                  <w:r>
                    <w:rPr>
                      <w:sz w:val="18"/>
                      <w:szCs w:val="18"/>
                    </w:rPr>
                    <w:t>）</w:t>
                  </w:r>
                </w:p>
              </w:tc>
              <w:tc>
                <w:tcPr>
                  <w:tcW w:w="1627" w:type="dxa"/>
                  <w:noWrap/>
                  <w:vAlign w:val="center"/>
                </w:tcPr>
                <w:p w14:paraId="21EDE3F2">
                  <w:pPr>
                    <w:jc w:val="center"/>
                    <w:rPr>
                      <w:sz w:val="18"/>
                      <w:szCs w:val="18"/>
                    </w:rPr>
                  </w:pPr>
                  <w:r>
                    <w:rPr>
                      <w:sz w:val="18"/>
                      <w:szCs w:val="18"/>
                    </w:rPr>
                    <w:t>无组织排放监控浓度限值</w:t>
                  </w:r>
                  <w:r>
                    <w:rPr>
                      <w:rFonts w:hint="eastAsia"/>
                      <w:sz w:val="18"/>
                      <w:szCs w:val="18"/>
                    </w:rPr>
                    <w:t>（</w:t>
                  </w:r>
                  <w:r>
                    <w:rPr>
                      <w:sz w:val="18"/>
                      <w:szCs w:val="18"/>
                    </w:rPr>
                    <w:t>mg/m</w:t>
                  </w:r>
                  <w:r>
                    <w:rPr>
                      <w:sz w:val="18"/>
                      <w:szCs w:val="18"/>
                      <w:vertAlign w:val="superscript"/>
                    </w:rPr>
                    <w:t>3</w:t>
                  </w:r>
                  <w:r>
                    <w:rPr>
                      <w:sz w:val="18"/>
                      <w:szCs w:val="18"/>
                    </w:rPr>
                    <w:t>）</w:t>
                  </w:r>
                </w:p>
              </w:tc>
              <w:tc>
                <w:tcPr>
                  <w:tcW w:w="1979" w:type="dxa"/>
                  <w:noWrap/>
                  <w:vAlign w:val="center"/>
                </w:tcPr>
                <w:p w14:paraId="06C83D70">
                  <w:pPr>
                    <w:jc w:val="center"/>
                    <w:rPr>
                      <w:sz w:val="18"/>
                      <w:szCs w:val="18"/>
                    </w:rPr>
                  </w:pPr>
                  <w:r>
                    <w:rPr>
                      <w:sz w:val="18"/>
                      <w:szCs w:val="18"/>
                    </w:rPr>
                    <w:t>标准来源</w:t>
                  </w:r>
                </w:p>
              </w:tc>
            </w:tr>
            <w:tr w14:paraId="33B7F7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25" w:type="dxa"/>
                  <w:noWrap/>
                  <w:vAlign w:val="center"/>
                </w:tcPr>
                <w:p w14:paraId="53566CFF">
                  <w:pPr>
                    <w:jc w:val="center"/>
                    <w:rPr>
                      <w:sz w:val="18"/>
                      <w:szCs w:val="18"/>
                    </w:rPr>
                  </w:pPr>
                  <w:r>
                    <w:rPr>
                      <w:sz w:val="18"/>
                      <w:szCs w:val="18"/>
                    </w:rPr>
                    <w:t>颗粒物</w:t>
                  </w:r>
                </w:p>
              </w:tc>
              <w:tc>
                <w:tcPr>
                  <w:tcW w:w="913" w:type="dxa"/>
                  <w:noWrap/>
                  <w:vAlign w:val="center"/>
                </w:tcPr>
                <w:p w14:paraId="05C66F07">
                  <w:pPr>
                    <w:jc w:val="center"/>
                    <w:rPr>
                      <w:sz w:val="18"/>
                      <w:szCs w:val="18"/>
                    </w:rPr>
                  </w:pPr>
                  <w:r>
                    <w:rPr>
                      <w:rFonts w:hint="eastAsia"/>
                      <w:sz w:val="18"/>
                      <w:szCs w:val="18"/>
                    </w:rPr>
                    <w:t>15</w:t>
                  </w:r>
                </w:p>
              </w:tc>
              <w:tc>
                <w:tcPr>
                  <w:tcW w:w="1387" w:type="dxa"/>
                  <w:noWrap/>
                  <w:vAlign w:val="center"/>
                </w:tcPr>
                <w:p w14:paraId="3A167367">
                  <w:pPr>
                    <w:jc w:val="center"/>
                    <w:rPr>
                      <w:sz w:val="18"/>
                      <w:szCs w:val="18"/>
                    </w:rPr>
                  </w:pPr>
                  <w:r>
                    <w:rPr>
                      <w:sz w:val="18"/>
                      <w:szCs w:val="18"/>
                    </w:rPr>
                    <w:t>1</w:t>
                  </w:r>
                </w:p>
              </w:tc>
              <w:tc>
                <w:tcPr>
                  <w:tcW w:w="1346" w:type="dxa"/>
                  <w:noWrap/>
                  <w:vAlign w:val="center"/>
                </w:tcPr>
                <w:p w14:paraId="012DDBFB">
                  <w:pPr>
                    <w:jc w:val="center"/>
                    <w:rPr>
                      <w:sz w:val="18"/>
                      <w:szCs w:val="18"/>
                    </w:rPr>
                  </w:pPr>
                  <w:r>
                    <w:rPr>
                      <w:sz w:val="18"/>
                      <w:szCs w:val="18"/>
                    </w:rPr>
                    <w:t>20</w:t>
                  </w:r>
                </w:p>
              </w:tc>
              <w:tc>
                <w:tcPr>
                  <w:tcW w:w="1627" w:type="dxa"/>
                  <w:noWrap/>
                  <w:vAlign w:val="center"/>
                </w:tcPr>
                <w:p w14:paraId="7E75B15D">
                  <w:pPr>
                    <w:jc w:val="center"/>
                    <w:rPr>
                      <w:sz w:val="18"/>
                      <w:szCs w:val="18"/>
                    </w:rPr>
                  </w:pPr>
                  <w:r>
                    <w:rPr>
                      <w:sz w:val="18"/>
                      <w:szCs w:val="18"/>
                    </w:rPr>
                    <w:t>0.5</w:t>
                  </w:r>
                </w:p>
              </w:tc>
              <w:tc>
                <w:tcPr>
                  <w:tcW w:w="1979" w:type="dxa"/>
                  <w:noWrap/>
                  <w:vAlign w:val="center"/>
                </w:tcPr>
                <w:p w14:paraId="6A754305">
                  <w:pPr>
                    <w:jc w:val="center"/>
                    <w:rPr>
                      <w:sz w:val="18"/>
                      <w:szCs w:val="18"/>
                    </w:rPr>
                  </w:pPr>
                  <w:r>
                    <w:rPr>
                      <w:sz w:val="18"/>
                      <w:szCs w:val="18"/>
                    </w:rPr>
                    <w:t>江苏省《大气污染物综合排放标准》（DB32/4041-2021）</w:t>
                  </w:r>
                </w:p>
              </w:tc>
            </w:tr>
          </w:tbl>
          <w:p w14:paraId="1AF87A61">
            <w:pPr>
              <w:spacing w:line="500" w:lineRule="exact"/>
              <w:ind w:firstLine="420" w:firstLineChars="200"/>
              <w:rPr>
                <w:rFonts w:hint="eastAsia" w:hAnsi="宋体"/>
                <w:b/>
                <w:szCs w:val="21"/>
              </w:rPr>
            </w:pPr>
            <w:r>
              <w:rPr>
                <w:rFonts w:hint="eastAsia"/>
                <w:bCs/>
                <w:szCs w:val="21"/>
              </w:rPr>
              <w:t>项目新建食堂，</w:t>
            </w:r>
            <w:r>
              <w:rPr>
                <w:rFonts w:hint="eastAsia"/>
                <w:lang w:eastAsia="zh-CN"/>
              </w:rPr>
              <w:t>设置</w:t>
            </w:r>
            <w:r>
              <w:rPr>
                <w:rFonts w:hint="eastAsia"/>
                <w:lang w:val="en-US" w:eastAsia="zh-CN"/>
              </w:rPr>
              <w:t>1个基准灶头，</w:t>
            </w:r>
            <w:r>
              <w:rPr>
                <w:rFonts w:hint="eastAsia"/>
                <w:bCs/>
                <w:szCs w:val="21"/>
              </w:rPr>
              <w:t>食堂油烟执行</w:t>
            </w:r>
            <w:bookmarkStart w:id="4" w:name="OLE_LINK71"/>
            <w:bookmarkStart w:id="5" w:name="OLE_LINK70"/>
            <w:r>
              <w:rPr>
                <w:rFonts w:hint="eastAsia"/>
                <w:bCs/>
                <w:szCs w:val="21"/>
              </w:rPr>
              <w:t>《饮食业油烟排放标准（试行）》（GB18483-2001）</w:t>
            </w:r>
            <w:bookmarkEnd w:id="4"/>
            <w:bookmarkEnd w:id="5"/>
            <w:r>
              <w:rPr>
                <w:rFonts w:hint="eastAsia"/>
                <w:bCs/>
                <w:szCs w:val="21"/>
                <w:lang w:eastAsia="zh-CN"/>
              </w:rPr>
              <w:t>小</w:t>
            </w:r>
            <w:r>
              <w:rPr>
                <w:rFonts w:hint="eastAsia"/>
                <w:bCs/>
                <w:szCs w:val="21"/>
              </w:rPr>
              <w:t>型灶头标准，详见表</w:t>
            </w:r>
            <w:r>
              <w:rPr>
                <w:bCs/>
                <w:szCs w:val="21"/>
              </w:rPr>
              <w:t>3</w:t>
            </w:r>
            <w:r>
              <w:rPr>
                <w:rFonts w:hint="eastAsia"/>
                <w:bCs/>
                <w:szCs w:val="21"/>
              </w:rPr>
              <w:t>-</w:t>
            </w:r>
            <w:r>
              <w:rPr>
                <w:rFonts w:hint="eastAsia"/>
                <w:bCs/>
                <w:szCs w:val="21"/>
                <w:lang w:val="en-US" w:eastAsia="zh-CN"/>
              </w:rPr>
              <w:t>9</w:t>
            </w:r>
            <w:r>
              <w:rPr>
                <w:rFonts w:hint="eastAsia"/>
                <w:bCs/>
                <w:szCs w:val="21"/>
              </w:rPr>
              <w:t>。</w:t>
            </w:r>
          </w:p>
          <w:p w14:paraId="23053E3F">
            <w:pPr>
              <w:spacing w:line="500" w:lineRule="exact"/>
              <w:jc w:val="center"/>
              <w:rPr>
                <w:rFonts w:hAnsi="宋体"/>
                <w:szCs w:val="21"/>
              </w:rPr>
            </w:pPr>
            <w:r>
              <w:rPr>
                <w:rFonts w:hAnsi="宋体"/>
                <w:b/>
                <w:szCs w:val="21"/>
              </w:rPr>
              <w:t>表3</w:t>
            </w:r>
            <w:r>
              <w:rPr>
                <w:rFonts w:hint="eastAsia" w:hAnsi="宋体"/>
                <w:b/>
                <w:szCs w:val="21"/>
              </w:rPr>
              <w:t>-</w:t>
            </w:r>
            <w:r>
              <w:rPr>
                <w:rFonts w:hint="eastAsia" w:hAnsi="宋体"/>
                <w:b/>
                <w:szCs w:val="21"/>
                <w:lang w:val="en-US" w:eastAsia="zh-CN"/>
              </w:rPr>
              <w:t>9</w:t>
            </w:r>
            <w:r>
              <w:rPr>
                <w:rFonts w:hint="eastAsia" w:hAnsi="宋体"/>
                <w:b/>
                <w:szCs w:val="21"/>
              </w:rPr>
              <w:t xml:space="preserve"> 饮食业油烟排放标准</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537"/>
              <w:gridCol w:w="1507"/>
              <w:gridCol w:w="26"/>
              <w:gridCol w:w="1532"/>
              <w:gridCol w:w="47"/>
              <w:gridCol w:w="1415"/>
            </w:tblGrid>
            <w:tr w14:paraId="079487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194" w:type="pct"/>
                  <w:noWrap w:val="0"/>
                  <w:vAlign w:val="center"/>
                </w:tcPr>
                <w:p w14:paraId="617D969D">
                  <w:pPr>
                    <w:jc w:val="center"/>
                    <w:rPr>
                      <w:sz w:val="18"/>
                      <w:szCs w:val="18"/>
                    </w:rPr>
                  </w:pPr>
                  <w:r>
                    <w:rPr>
                      <w:sz w:val="18"/>
                      <w:szCs w:val="18"/>
                    </w:rPr>
                    <w:t>规模</w:t>
                  </w:r>
                </w:p>
              </w:tc>
              <w:tc>
                <w:tcPr>
                  <w:tcW w:w="950" w:type="pct"/>
                  <w:gridSpan w:val="2"/>
                  <w:noWrap w:val="0"/>
                  <w:vAlign w:val="center"/>
                </w:tcPr>
                <w:p w14:paraId="03C211DB">
                  <w:pPr>
                    <w:jc w:val="center"/>
                    <w:rPr>
                      <w:sz w:val="18"/>
                      <w:szCs w:val="18"/>
                    </w:rPr>
                  </w:pPr>
                  <w:r>
                    <w:rPr>
                      <w:sz w:val="18"/>
                      <w:szCs w:val="18"/>
                    </w:rPr>
                    <w:t>小</w:t>
                  </w:r>
                  <w:r>
                    <w:rPr>
                      <w:rFonts w:hint="eastAsia"/>
                      <w:sz w:val="18"/>
                      <w:szCs w:val="18"/>
                    </w:rPr>
                    <w:t>型</w:t>
                  </w:r>
                </w:p>
              </w:tc>
              <w:tc>
                <w:tcPr>
                  <w:tcW w:w="950" w:type="pct"/>
                  <w:noWrap w:val="0"/>
                  <w:vAlign w:val="center"/>
                </w:tcPr>
                <w:p w14:paraId="10027C42">
                  <w:pPr>
                    <w:jc w:val="center"/>
                    <w:rPr>
                      <w:sz w:val="18"/>
                      <w:szCs w:val="18"/>
                    </w:rPr>
                  </w:pPr>
                  <w:r>
                    <w:rPr>
                      <w:sz w:val="18"/>
                      <w:szCs w:val="18"/>
                    </w:rPr>
                    <w:t>中型</w:t>
                  </w:r>
                </w:p>
              </w:tc>
              <w:tc>
                <w:tcPr>
                  <w:tcW w:w="906" w:type="pct"/>
                  <w:gridSpan w:val="2"/>
                  <w:noWrap w:val="0"/>
                  <w:vAlign w:val="center"/>
                </w:tcPr>
                <w:p w14:paraId="56EA5DE1">
                  <w:pPr>
                    <w:jc w:val="center"/>
                    <w:rPr>
                      <w:sz w:val="18"/>
                      <w:szCs w:val="18"/>
                    </w:rPr>
                  </w:pPr>
                  <w:r>
                    <w:rPr>
                      <w:sz w:val="18"/>
                      <w:szCs w:val="18"/>
                    </w:rPr>
                    <w:t>大型</w:t>
                  </w:r>
                </w:p>
              </w:tc>
            </w:tr>
            <w:tr w14:paraId="29C5A4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194" w:type="pct"/>
                  <w:noWrap w:val="0"/>
                  <w:vAlign w:val="center"/>
                </w:tcPr>
                <w:p w14:paraId="78B50748">
                  <w:pPr>
                    <w:jc w:val="center"/>
                    <w:rPr>
                      <w:sz w:val="18"/>
                      <w:szCs w:val="18"/>
                    </w:rPr>
                  </w:pPr>
                  <w:r>
                    <w:rPr>
                      <w:sz w:val="18"/>
                      <w:szCs w:val="18"/>
                    </w:rPr>
                    <w:t>基准灶头数</w:t>
                  </w:r>
                </w:p>
              </w:tc>
              <w:tc>
                <w:tcPr>
                  <w:tcW w:w="950" w:type="pct"/>
                  <w:gridSpan w:val="2"/>
                  <w:noWrap w:val="0"/>
                  <w:vAlign w:val="center"/>
                </w:tcPr>
                <w:p w14:paraId="53C571F1">
                  <w:pPr>
                    <w:jc w:val="center"/>
                    <w:rPr>
                      <w:sz w:val="18"/>
                      <w:szCs w:val="18"/>
                    </w:rPr>
                  </w:pPr>
                  <w:r>
                    <w:rPr>
                      <w:sz w:val="18"/>
                      <w:szCs w:val="18"/>
                    </w:rPr>
                    <w:t>≥</w:t>
                  </w:r>
                  <w:r>
                    <w:rPr>
                      <w:rFonts w:hint="eastAsia"/>
                      <w:sz w:val="18"/>
                      <w:szCs w:val="18"/>
                    </w:rPr>
                    <w:t>1</w:t>
                  </w:r>
                  <w:r>
                    <w:rPr>
                      <w:sz w:val="18"/>
                      <w:szCs w:val="18"/>
                    </w:rPr>
                    <w:t>，＜3</w:t>
                  </w:r>
                </w:p>
              </w:tc>
              <w:tc>
                <w:tcPr>
                  <w:tcW w:w="950" w:type="pct"/>
                  <w:noWrap w:val="0"/>
                  <w:vAlign w:val="center"/>
                </w:tcPr>
                <w:p w14:paraId="6C349E87">
                  <w:pPr>
                    <w:jc w:val="center"/>
                    <w:rPr>
                      <w:sz w:val="18"/>
                      <w:szCs w:val="18"/>
                    </w:rPr>
                  </w:pPr>
                  <w:r>
                    <w:rPr>
                      <w:sz w:val="18"/>
                      <w:szCs w:val="18"/>
                    </w:rPr>
                    <w:t>≥</w:t>
                  </w:r>
                  <w:r>
                    <w:rPr>
                      <w:rFonts w:hint="eastAsia"/>
                      <w:sz w:val="18"/>
                      <w:szCs w:val="18"/>
                    </w:rPr>
                    <w:t>3</w:t>
                  </w:r>
                  <w:r>
                    <w:rPr>
                      <w:sz w:val="18"/>
                      <w:szCs w:val="18"/>
                    </w:rPr>
                    <w:t>，＜6</w:t>
                  </w:r>
                </w:p>
              </w:tc>
              <w:tc>
                <w:tcPr>
                  <w:tcW w:w="906" w:type="pct"/>
                  <w:gridSpan w:val="2"/>
                  <w:noWrap w:val="0"/>
                  <w:vAlign w:val="center"/>
                </w:tcPr>
                <w:p w14:paraId="635BE1FC">
                  <w:pPr>
                    <w:jc w:val="center"/>
                    <w:rPr>
                      <w:sz w:val="18"/>
                      <w:szCs w:val="18"/>
                    </w:rPr>
                  </w:pPr>
                  <w:r>
                    <w:rPr>
                      <w:sz w:val="18"/>
                      <w:szCs w:val="18"/>
                    </w:rPr>
                    <w:t>≥</w:t>
                  </w:r>
                  <w:r>
                    <w:rPr>
                      <w:rFonts w:hint="eastAsia"/>
                      <w:sz w:val="18"/>
                      <w:szCs w:val="18"/>
                    </w:rPr>
                    <w:t>6</w:t>
                  </w:r>
                </w:p>
              </w:tc>
            </w:tr>
            <w:tr w14:paraId="0FB14E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194" w:type="pct"/>
                  <w:noWrap w:val="0"/>
                  <w:vAlign w:val="center"/>
                </w:tcPr>
                <w:p w14:paraId="48DCD24A">
                  <w:pPr>
                    <w:jc w:val="center"/>
                    <w:rPr>
                      <w:sz w:val="18"/>
                      <w:szCs w:val="18"/>
                    </w:rPr>
                  </w:pPr>
                  <w:r>
                    <w:rPr>
                      <w:sz w:val="18"/>
                      <w:szCs w:val="18"/>
                    </w:rPr>
                    <w:t>对应灶头总功率  10</w:t>
                  </w:r>
                  <w:r>
                    <w:rPr>
                      <w:rFonts w:hint="eastAsia"/>
                      <w:sz w:val="18"/>
                      <w:szCs w:val="18"/>
                      <w:vertAlign w:val="superscript"/>
                    </w:rPr>
                    <w:t>8</w:t>
                  </w:r>
                  <w:r>
                    <w:rPr>
                      <w:sz w:val="18"/>
                      <w:szCs w:val="18"/>
                    </w:rPr>
                    <w:t>J</w:t>
                  </w:r>
                  <w:r>
                    <w:rPr>
                      <w:rFonts w:hint="eastAsia"/>
                      <w:sz w:val="18"/>
                      <w:szCs w:val="18"/>
                    </w:rPr>
                    <w:t>/</w:t>
                  </w:r>
                  <w:r>
                    <w:rPr>
                      <w:sz w:val="18"/>
                      <w:szCs w:val="18"/>
                    </w:rPr>
                    <w:t>h</w:t>
                  </w:r>
                </w:p>
              </w:tc>
              <w:tc>
                <w:tcPr>
                  <w:tcW w:w="950" w:type="pct"/>
                  <w:gridSpan w:val="2"/>
                  <w:noWrap w:val="0"/>
                  <w:vAlign w:val="center"/>
                </w:tcPr>
                <w:p w14:paraId="23A3DC58">
                  <w:pPr>
                    <w:jc w:val="center"/>
                    <w:rPr>
                      <w:sz w:val="18"/>
                      <w:szCs w:val="18"/>
                    </w:rPr>
                  </w:pPr>
                  <w:r>
                    <w:rPr>
                      <w:sz w:val="18"/>
                      <w:szCs w:val="18"/>
                    </w:rPr>
                    <w:t>1.67，＜5</w:t>
                  </w:r>
                  <w:r>
                    <w:rPr>
                      <w:rFonts w:hint="eastAsia"/>
                      <w:sz w:val="18"/>
                      <w:szCs w:val="18"/>
                    </w:rPr>
                    <w:t>.</w:t>
                  </w:r>
                  <w:r>
                    <w:rPr>
                      <w:sz w:val="18"/>
                      <w:szCs w:val="18"/>
                    </w:rPr>
                    <w:t>00</w:t>
                  </w:r>
                </w:p>
              </w:tc>
              <w:tc>
                <w:tcPr>
                  <w:tcW w:w="950" w:type="pct"/>
                  <w:noWrap w:val="0"/>
                  <w:vAlign w:val="center"/>
                </w:tcPr>
                <w:p w14:paraId="73686AE1">
                  <w:pPr>
                    <w:jc w:val="center"/>
                    <w:rPr>
                      <w:sz w:val="18"/>
                      <w:szCs w:val="18"/>
                    </w:rPr>
                  </w:pPr>
                  <w:r>
                    <w:rPr>
                      <w:sz w:val="18"/>
                      <w:szCs w:val="18"/>
                    </w:rPr>
                    <w:t>≥5.</w:t>
                  </w:r>
                  <w:r>
                    <w:rPr>
                      <w:rFonts w:hint="eastAsia"/>
                      <w:sz w:val="18"/>
                      <w:szCs w:val="18"/>
                    </w:rPr>
                    <w:t>0</w:t>
                  </w:r>
                  <w:r>
                    <w:rPr>
                      <w:sz w:val="18"/>
                      <w:szCs w:val="18"/>
                    </w:rPr>
                    <w:t>0</w:t>
                  </w:r>
                  <w:r>
                    <w:rPr>
                      <w:rFonts w:hint="eastAsia"/>
                      <w:sz w:val="18"/>
                      <w:szCs w:val="18"/>
                    </w:rPr>
                    <w:t>，</w:t>
                  </w:r>
                  <w:r>
                    <w:rPr>
                      <w:sz w:val="18"/>
                      <w:szCs w:val="18"/>
                    </w:rPr>
                    <w:t>＜10</w:t>
                  </w:r>
                </w:p>
              </w:tc>
              <w:tc>
                <w:tcPr>
                  <w:tcW w:w="906" w:type="pct"/>
                  <w:gridSpan w:val="2"/>
                  <w:noWrap w:val="0"/>
                  <w:vAlign w:val="center"/>
                </w:tcPr>
                <w:p w14:paraId="3106B3D9">
                  <w:pPr>
                    <w:jc w:val="center"/>
                    <w:rPr>
                      <w:sz w:val="18"/>
                      <w:szCs w:val="18"/>
                    </w:rPr>
                  </w:pPr>
                  <w:r>
                    <w:rPr>
                      <w:sz w:val="18"/>
                      <w:szCs w:val="18"/>
                    </w:rPr>
                    <w:t>≥10</w:t>
                  </w:r>
                </w:p>
              </w:tc>
            </w:tr>
            <w:tr w14:paraId="5E0E96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194" w:type="pct"/>
                  <w:noWrap w:val="0"/>
                  <w:vAlign w:val="center"/>
                </w:tcPr>
                <w:p w14:paraId="35B8464C">
                  <w:pPr>
                    <w:jc w:val="center"/>
                    <w:rPr>
                      <w:sz w:val="18"/>
                      <w:szCs w:val="18"/>
                    </w:rPr>
                  </w:pPr>
                  <w:r>
                    <w:rPr>
                      <w:sz w:val="18"/>
                      <w:szCs w:val="18"/>
                    </w:rPr>
                    <w:t>对应排气罩灶面总投影面积（m</w:t>
                  </w:r>
                  <w:r>
                    <w:rPr>
                      <w:sz w:val="18"/>
                      <w:szCs w:val="18"/>
                      <w:vertAlign w:val="superscript"/>
                    </w:rPr>
                    <w:t>2</w:t>
                  </w:r>
                  <w:r>
                    <w:rPr>
                      <w:sz w:val="18"/>
                      <w:szCs w:val="18"/>
                    </w:rPr>
                    <w:t>）</w:t>
                  </w:r>
                </w:p>
              </w:tc>
              <w:tc>
                <w:tcPr>
                  <w:tcW w:w="950" w:type="pct"/>
                  <w:gridSpan w:val="2"/>
                  <w:noWrap w:val="0"/>
                  <w:vAlign w:val="center"/>
                </w:tcPr>
                <w:p w14:paraId="3F0FE9FB">
                  <w:pPr>
                    <w:jc w:val="center"/>
                    <w:rPr>
                      <w:sz w:val="18"/>
                      <w:szCs w:val="18"/>
                    </w:rPr>
                  </w:pPr>
                  <w:r>
                    <w:rPr>
                      <w:sz w:val="18"/>
                      <w:szCs w:val="18"/>
                    </w:rPr>
                    <w:t>≥1.1，＜3.3</w:t>
                  </w:r>
                </w:p>
              </w:tc>
              <w:tc>
                <w:tcPr>
                  <w:tcW w:w="950" w:type="pct"/>
                  <w:noWrap w:val="0"/>
                  <w:vAlign w:val="center"/>
                </w:tcPr>
                <w:p w14:paraId="61A7CA7F">
                  <w:pPr>
                    <w:jc w:val="center"/>
                    <w:rPr>
                      <w:sz w:val="18"/>
                      <w:szCs w:val="18"/>
                    </w:rPr>
                  </w:pPr>
                  <w:r>
                    <w:rPr>
                      <w:sz w:val="18"/>
                      <w:szCs w:val="18"/>
                    </w:rPr>
                    <w:t>≥3.3，＜</w:t>
                  </w:r>
                  <w:r>
                    <w:rPr>
                      <w:rFonts w:hint="eastAsia"/>
                      <w:sz w:val="18"/>
                      <w:szCs w:val="18"/>
                    </w:rPr>
                    <w:t>6</w:t>
                  </w:r>
                  <w:r>
                    <w:rPr>
                      <w:sz w:val="18"/>
                      <w:szCs w:val="18"/>
                    </w:rPr>
                    <w:t>.6</w:t>
                  </w:r>
                </w:p>
              </w:tc>
              <w:tc>
                <w:tcPr>
                  <w:tcW w:w="906" w:type="pct"/>
                  <w:gridSpan w:val="2"/>
                  <w:noWrap w:val="0"/>
                  <w:vAlign w:val="center"/>
                </w:tcPr>
                <w:p w14:paraId="58EE010D">
                  <w:pPr>
                    <w:jc w:val="center"/>
                    <w:rPr>
                      <w:sz w:val="18"/>
                      <w:szCs w:val="18"/>
                    </w:rPr>
                  </w:pPr>
                  <w:r>
                    <w:rPr>
                      <w:sz w:val="18"/>
                      <w:szCs w:val="18"/>
                    </w:rPr>
                    <w:t>≥</w:t>
                  </w:r>
                  <w:r>
                    <w:rPr>
                      <w:rFonts w:hint="eastAsia"/>
                      <w:sz w:val="18"/>
                      <w:szCs w:val="18"/>
                    </w:rPr>
                    <w:t>6</w:t>
                  </w:r>
                  <w:r>
                    <w:rPr>
                      <w:sz w:val="18"/>
                      <w:szCs w:val="18"/>
                    </w:rPr>
                    <w:t>.</w:t>
                  </w:r>
                  <w:r>
                    <w:rPr>
                      <w:rFonts w:hint="eastAsia"/>
                      <w:sz w:val="18"/>
                      <w:szCs w:val="18"/>
                    </w:rPr>
                    <w:t>6</w:t>
                  </w:r>
                </w:p>
              </w:tc>
            </w:tr>
            <w:tr w14:paraId="1C572F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194" w:type="pct"/>
                  <w:noWrap w:val="0"/>
                  <w:vAlign w:val="center"/>
                </w:tcPr>
                <w:p w14:paraId="3D2484FB">
                  <w:pPr>
                    <w:jc w:val="center"/>
                    <w:rPr>
                      <w:sz w:val="18"/>
                      <w:szCs w:val="18"/>
                    </w:rPr>
                  </w:pPr>
                  <w:r>
                    <w:rPr>
                      <w:sz w:val="18"/>
                      <w:szCs w:val="18"/>
                    </w:rPr>
                    <w:t>最高允许排放浓度（mg/m</w:t>
                  </w:r>
                  <w:r>
                    <w:rPr>
                      <w:sz w:val="18"/>
                      <w:szCs w:val="18"/>
                      <w:vertAlign w:val="superscript"/>
                    </w:rPr>
                    <w:t>3</w:t>
                  </w:r>
                  <w:r>
                    <w:rPr>
                      <w:sz w:val="18"/>
                      <w:szCs w:val="18"/>
                    </w:rPr>
                    <w:t>）</w:t>
                  </w:r>
                </w:p>
              </w:tc>
              <w:tc>
                <w:tcPr>
                  <w:tcW w:w="2806" w:type="pct"/>
                  <w:gridSpan w:val="5"/>
                  <w:noWrap w:val="0"/>
                  <w:vAlign w:val="center"/>
                </w:tcPr>
                <w:p w14:paraId="472C6264">
                  <w:pPr>
                    <w:jc w:val="center"/>
                    <w:rPr>
                      <w:sz w:val="18"/>
                      <w:szCs w:val="18"/>
                    </w:rPr>
                  </w:pPr>
                  <w:r>
                    <w:rPr>
                      <w:rFonts w:hint="eastAsia"/>
                      <w:sz w:val="18"/>
                      <w:szCs w:val="18"/>
                    </w:rPr>
                    <w:t>2</w:t>
                  </w:r>
                  <w:r>
                    <w:rPr>
                      <w:sz w:val="18"/>
                      <w:szCs w:val="18"/>
                    </w:rPr>
                    <w:t>.0</w:t>
                  </w:r>
                </w:p>
              </w:tc>
            </w:tr>
            <w:tr w14:paraId="601E59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194" w:type="pct"/>
                  <w:noWrap w:val="0"/>
                  <w:vAlign w:val="center"/>
                </w:tcPr>
                <w:p w14:paraId="6B348A9B">
                  <w:pPr>
                    <w:jc w:val="center"/>
                    <w:rPr>
                      <w:sz w:val="18"/>
                      <w:szCs w:val="18"/>
                    </w:rPr>
                  </w:pPr>
                  <w:r>
                    <w:rPr>
                      <w:sz w:val="18"/>
                      <w:szCs w:val="18"/>
                    </w:rPr>
                    <w:t>净化设施最低去除率</w:t>
                  </w:r>
                  <w:r>
                    <w:rPr>
                      <w:rFonts w:hint="eastAsia"/>
                      <w:sz w:val="18"/>
                      <w:szCs w:val="18"/>
                    </w:rPr>
                    <w:t>（</w:t>
                  </w:r>
                  <w:r>
                    <w:rPr>
                      <w:sz w:val="18"/>
                      <w:szCs w:val="18"/>
                    </w:rPr>
                    <w:t>%）</w:t>
                  </w:r>
                </w:p>
              </w:tc>
              <w:tc>
                <w:tcPr>
                  <w:tcW w:w="934" w:type="pct"/>
                  <w:noWrap w:val="0"/>
                  <w:vAlign w:val="center"/>
                </w:tcPr>
                <w:p w14:paraId="3235C123">
                  <w:pPr>
                    <w:jc w:val="center"/>
                    <w:rPr>
                      <w:sz w:val="18"/>
                      <w:szCs w:val="18"/>
                    </w:rPr>
                  </w:pPr>
                  <w:r>
                    <w:rPr>
                      <w:rFonts w:hint="eastAsia"/>
                      <w:sz w:val="18"/>
                      <w:szCs w:val="18"/>
                    </w:rPr>
                    <w:t>6</w:t>
                  </w:r>
                  <w:r>
                    <w:rPr>
                      <w:sz w:val="18"/>
                      <w:szCs w:val="18"/>
                    </w:rPr>
                    <w:t>0</w:t>
                  </w:r>
                </w:p>
              </w:tc>
              <w:tc>
                <w:tcPr>
                  <w:tcW w:w="995" w:type="pct"/>
                  <w:gridSpan w:val="3"/>
                  <w:noWrap w:val="0"/>
                  <w:vAlign w:val="center"/>
                </w:tcPr>
                <w:p w14:paraId="15AFDC1A">
                  <w:pPr>
                    <w:jc w:val="center"/>
                    <w:rPr>
                      <w:sz w:val="18"/>
                      <w:szCs w:val="18"/>
                    </w:rPr>
                  </w:pPr>
                  <w:r>
                    <w:rPr>
                      <w:sz w:val="18"/>
                      <w:szCs w:val="18"/>
                    </w:rPr>
                    <w:t>7</w:t>
                  </w:r>
                  <w:r>
                    <w:rPr>
                      <w:rFonts w:hint="eastAsia"/>
                      <w:sz w:val="18"/>
                      <w:szCs w:val="18"/>
                    </w:rPr>
                    <w:t>5</w:t>
                  </w:r>
                </w:p>
              </w:tc>
              <w:tc>
                <w:tcPr>
                  <w:tcW w:w="877" w:type="pct"/>
                  <w:noWrap w:val="0"/>
                  <w:vAlign w:val="center"/>
                </w:tcPr>
                <w:p w14:paraId="4B4DD319">
                  <w:pPr>
                    <w:jc w:val="center"/>
                    <w:rPr>
                      <w:sz w:val="18"/>
                      <w:szCs w:val="18"/>
                    </w:rPr>
                  </w:pPr>
                  <w:r>
                    <w:rPr>
                      <w:rFonts w:hint="eastAsia"/>
                      <w:sz w:val="18"/>
                      <w:szCs w:val="18"/>
                    </w:rPr>
                    <w:t>80</w:t>
                  </w:r>
                </w:p>
              </w:tc>
            </w:tr>
          </w:tbl>
          <w:p w14:paraId="657C3E26">
            <w:pPr>
              <w:keepNext w:val="0"/>
              <w:keepLines w:val="0"/>
              <w:pageBreakBefore w:val="0"/>
              <w:widowControl w:val="0"/>
              <w:kinsoku/>
              <w:wordWrap/>
              <w:overflowPunct/>
              <w:topLinePunct w:val="0"/>
              <w:autoSpaceDE/>
              <w:autoSpaceDN/>
              <w:bidi w:val="0"/>
              <w:spacing w:line="480" w:lineRule="exact"/>
              <w:ind w:firstLine="422" w:firstLineChars="200"/>
              <w:textAlignment w:val="auto"/>
              <w:rPr>
                <w:b/>
                <w:bCs/>
                <w:szCs w:val="21"/>
              </w:rPr>
            </w:pPr>
            <w:r>
              <w:rPr>
                <w:b/>
                <w:bCs/>
                <w:szCs w:val="21"/>
              </w:rPr>
              <w:t>2、废水污染物排放标准</w:t>
            </w:r>
          </w:p>
          <w:p w14:paraId="250BE8C1">
            <w:pPr>
              <w:adjustRightInd w:val="0"/>
              <w:snapToGrid w:val="0"/>
              <w:spacing w:line="500" w:lineRule="exact"/>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项目</w:t>
            </w:r>
            <w:r>
              <w:rPr>
                <w:rFonts w:hint="default" w:ascii="Times New Roman" w:hAnsi="Times New Roman" w:cs="Times New Roman"/>
                <w:kern w:val="0"/>
                <w:szCs w:val="21"/>
                <w:lang w:eastAsia="zh-CN"/>
              </w:rPr>
              <w:t>生活污水经化粪池</w:t>
            </w:r>
            <w:r>
              <w:rPr>
                <w:rFonts w:hint="default" w:ascii="Times New Roman" w:hAnsi="Times New Roman" w:cs="Times New Roman"/>
                <w:kern w:val="0"/>
                <w:szCs w:val="21"/>
              </w:rPr>
              <w:t>预处理后，</w:t>
            </w:r>
            <w:r>
              <w:rPr>
                <w:rFonts w:hint="default" w:ascii="Times New Roman" w:hAnsi="Times New Roman" w:cs="Times New Roman"/>
                <w:kern w:val="0"/>
                <w:szCs w:val="21"/>
                <w:lang w:eastAsia="zh-CN"/>
              </w:rPr>
              <w:t>与食堂废水</w:t>
            </w:r>
            <w:r>
              <w:rPr>
                <w:rFonts w:hint="default" w:ascii="Times New Roman" w:hAnsi="Times New Roman" w:cs="Times New Roman"/>
                <w:kern w:val="0"/>
                <w:szCs w:val="21"/>
              </w:rPr>
              <w:t>接管至</w:t>
            </w:r>
            <w:r>
              <w:rPr>
                <w:rFonts w:hint="default" w:ascii="Times New Roman" w:hAnsi="Times New Roman" w:cs="Times New Roman"/>
                <w:color w:val="auto"/>
                <w:kern w:val="0"/>
                <w:szCs w:val="21"/>
                <w:lang w:val="en-US" w:eastAsia="zh-CN"/>
              </w:rPr>
              <w:t>联合水务（启东）有限公司</w:t>
            </w:r>
            <w:r>
              <w:rPr>
                <w:rFonts w:hint="default" w:ascii="Times New Roman" w:hAnsi="Times New Roman" w:cs="Times New Roman"/>
                <w:kern w:val="0"/>
                <w:szCs w:val="21"/>
              </w:rPr>
              <w:t>集中处理。预处理后的混合废水水质达到《污水综合排放标准》（GB8978-1996）表4中三级标准，氨氮、总氮和总磷达到《污水排入城镇下水道水质标准》（GB/T31962-2015）表1中B等级标准，具体标准见表3-</w:t>
            </w:r>
            <w:r>
              <w:rPr>
                <w:rFonts w:hint="default" w:ascii="Times New Roman" w:hAnsi="Times New Roman" w:cs="Times New Roman"/>
                <w:kern w:val="0"/>
                <w:szCs w:val="21"/>
                <w:lang w:val="en-US" w:eastAsia="zh-CN"/>
              </w:rPr>
              <w:t>9</w:t>
            </w:r>
            <w:r>
              <w:rPr>
                <w:rFonts w:hint="default" w:ascii="Times New Roman" w:hAnsi="Times New Roman" w:cs="Times New Roman"/>
                <w:kern w:val="0"/>
                <w:szCs w:val="21"/>
              </w:rPr>
              <w:t>。项目后期雨水管控要求执行</w:t>
            </w:r>
            <w:r>
              <w:rPr>
                <w:rFonts w:hint="default" w:ascii="Times New Roman" w:hAnsi="Times New Roman" w:cs="Times New Roman"/>
                <w:kern w:val="0"/>
                <w:szCs w:val="21"/>
                <w:lang w:eastAsia="zh-CN"/>
              </w:rPr>
              <w:t>《地表水环境质量标准》（</w:t>
            </w:r>
            <w:r>
              <w:rPr>
                <w:rFonts w:hint="default" w:ascii="Times New Roman" w:hAnsi="Times New Roman" w:cs="Times New Roman"/>
                <w:kern w:val="0"/>
                <w:szCs w:val="21"/>
                <w:lang w:val="en-US" w:eastAsia="zh-CN"/>
              </w:rPr>
              <w:t>GB3838-2002</w:t>
            </w:r>
            <w:r>
              <w:rPr>
                <w:rFonts w:hint="default" w:ascii="Times New Roman" w:hAnsi="Times New Roman" w:cs="Times New Roman"/>
                <w:kern w:val="0"/>
                <w:szCs w:val="21"/>
                <w:lang w:eastAsia="zh-CN"/>
              </w:rPr>
              <w:t>）中</w:t>
            </w:r>
            <w:r>
              <w:rPr>
                <w:rFonts w:hint="default" w:ascii="Times New Roman" w:hAnsi="Times New Roman" w:eastAsia="宋体" w:cs="Times New Roman"/>
                <w:kern w:val="0"/>
                <w:szCs w:val="21"/>
                <w:lang w:eastAsia="zh-CN"/>
              </w:rPr>
              <w:t>Ⅲ类标准</w:t>
            </w:r>
            <w:r>
              <w:rPr>
                <w:rFonts w:hint="default" w:ascii="Times New Roman" w:hAnsi="Times New Roman" w:cs="Times New Roman"/>
                <w:kern w:val="0"/>
                <w:szCs w:val="21"/>
              </w:rPr>
              <w:t>。</w:t>
            </w:r>
          </w:p>
          <w:p w14:paraId="014C1DC5">
            <w:pPr>
              <w:spacing w:line="500" w:lineRule="exact"/>
              <w:ind w:firstLine="422" w:firstLineChars="200"/>
              <w:jc w:val="center"/>
              <w:rPr>
                <w:b/>
                <w:szCs w:val="21"/>
              </w:rPr>
            </w:pPr>
            <w:r>
              <w:rPr>
                <w:b/>
                <w:szCs w:val="21"/>
              </w:rPr>
              <w:t xml:space="preserve">  表</w:t>
            </w:r>
            <w:r>
              <w:rPr>
                <w:rFonts w:hint="eastAsia"/>
                <w:b/>
                <w:szCs w:val="21"/>
              </w:rPr>
              <w:t>3-</w:t>
            </w:r>
            <w:r>
              <w:rPr>
                <w:rFonts w:hint="eastAsia"/>
                <w:b/>
                <w:szCs w:val="21"/>
                <w:lang w:val="en-US" w:eastAsia="zh-CN"/>
              </w:rPr>
              <w:t xml:space="preserve">9 </w:t>
            </w:r>
            <w:r>
              <w:rPr>
                <w:b/>
                <w:szCs w:val="21"/>
              </w:rPr>
              <w:t xml:space="preserve">废水排放标准       </w:t>
            </w:r>
            <w:r>
              <w:rPr>
                <w:szCs w:val="21"/>
              </w:rPr>
              <w:t>单位：mg/L，pH无量纲</w:t>
            </w:r>
          </w:p>
          <w:tbl>
            <w:tblPr>
              <w:tblStyle w:val="19"/>
              <w:tblW w:w="8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02"/>
              <w:gridCol w:w="1002"/>
              <w:gridCol w:w="1002"/>
              <w:gridCol w:w="1003"/>
              <w:gridCol w:w="1002"/>
              <w:gridCol w:w="1002"/>
              <w:gridCol w:w="1003"/>
              <w:gridCol w:w="1003"/>
            </w:tblGrid>
            <w:tr w14:paraId="4334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2" w:hRule="atLeast"/>
                <w:jc w:val="center"/>
              </w:trPr>
              <w:tc>
                <w:tcPr>
                  <w:tcW w:w="1002" w:type="dxa"/>
                  <w:tcBorders>
                    <w:top w:val="single" w:color="auto" w:sz="12" w:space="0"/>
                    <w:left w:val="nil"/>
                  </w:tcBorders>
                  <w:noWrap w:val="0"/>
                  <w:vAlign w:val="center"/>
                </w:tcPr>
                <w:p w14:paraId="3173D58E">
                  <w:pPr>
                    <w:jc w:val="center"/>
                    <w:rPr>
                      <w:sz w:val="18"/>
                      <w:szCs w:val="18"/>
                    </w:rPr>
                  </w:pPr>
                  <w:r>
                    <w:rPr>
                      <w:sz w:val="18"/>
                      <w:szCs w:val="18"/>
                    </w:rPr>
                    <w:t>项目</w:t>
                  </w:r>
                </w:p>
              </w:tc>
              <w:tc>
                <w:tcPr>
                  <w:tcW w:w="1002" w:type="dxa"/>
                  <w:tcBorders>
                    <w:top w:val="single" w:color="auto" w:sz="12" w:space="0"/>
                    <w:right w:val="single" w:color="auto" w:sz="2" w:space="0"/>
                  </w:tcBorders>
                  <w:noWrap w:val="0"/>
                  <w:vAlign w:val="center"/>
                </w:tcPr>
                <w:p w14:paraId="36D1C34F">
                  <w:pPr>
                    <w:adjustRightInd w:val="0"/>
                    <w:snapToGrid w:val="0"/>
                    <w:jc w:val="center"/>
                    <w:rPr>
                      <w:sz w:val="18"/>
                      <w:szCs w:val="18"/>
                    </w:rPr>
                  </w:pPr>
                  <w:r>
                    <w:rPr>
                      <w:rStyle w:val="24"/>
                      <w:sz w:val="18"/>
                      <w:szCs w:val="18"/>
                    </w:rPr>
                    <w:t>pH</w:t>
                  </w:r>
                </w:p>
              </w:tc>
              <w:tc>
                <w:tcPr>
                  <w:tcW w:w="1002" w:type="dxa"/>
                  <w:tcBorders>
                    <w:top w:val="single" w:color="auto" w:sz="12" w:space="0"/>
                  </w:tcBorders>
                  <w:noWrap w:val="0"/>
                  <w:vAlign w:val="center"/>
                </w:tcPr>
                <w:p w14:paraId="34827C00">
                  <w:pPr>
                    <w:adjustRightInd w:val="0"/>
                    <w:snapToGrid w:val="0"/>
                    <w:jc w:val="center"/>
                    <w:rPr>
                      <w:sz w:val="18"/>
                      <w:szCs w:val="18"/>
                    </w:rPr>
                  </w:pPr>
                  <w:r>
                    <w:rPr>
                      <w:rStyle w:val="24"/>
                      <w:sz w:val="18"/>
                      <w:szCs w:val="18"/>
                    </w:rPr>
                    <w:t>C</w:t>
                  </w:r>
                  <w:r>
                    <w:rPr>
                      <w:sz w:val="18"/>
                      <w:szCs w:val="18"/>
                    </w:rPr>
                    <w:t>OD</w:t>
                  </w:r>
                </w:p>
              </w:tc>
              <w:tc>
                <w:tcPr>
                  <w:tcW w:w="1003" w:type="dxa"/>
                  <w:tcBorders>
                    <w:top w:val="single" w:color="auto" w:sz="12" w:space="0"/>
                  </w:tcBorders>
                  <w:noWrap w:val="0"/>
                  <w:vAlign w:val="center"/>
                </w:tcPr>
                <w:p w14:paraId="359290AD">
                  <w:pPr>
                    <w:adjustRightInd w:val="0"/>
                    <w:snapToGrid w:val="0"/>
                    <w:jc w:val="center"/>
                    <w:rPr>
                      <w:sz w:val="18"/>
                      <w:szCs w:val="18"/>
                    </w:rPr>
                  </w:pPr>
                  <w:r>
                    <w:rPr>
                      <w:sz w:val="18"/>
                      <w:szCs w:val="18"/>
                    </w:rPr>
                    <w:t>SS</w:t>
                  </w:r>
                </w:p>
              </w:tc>
              <w:tc>
                <w:tcPr>
                  <w:tcW w:w="1002" w:type="dxa"/>
                  <w:tcBorders>
                    <w:top w:val="single" w:color="auto" w:sz="12" w:space="0"/>
                    <w:right w:val="nil"/>
                  </w:tcBorders>
                  <w:noWrap w:val="0"/>
                  <w:vAlign w:val="center"/>
                </w:tcPr>
                <w:p w14:paraId="28BDE24B">
                  <w:pPr>
                    <w:adjustRightInd w:val="0"/>
                    <w:snapToGrid w:val="0"/>
                    <w:jc w:val="center"/>
                    <w:rPr>
                      <w:sz w:val="18"/>
                      <w:szCs w:val="18"/>
                    </w:rPr>
                  </w:pPr>
                  <w:r>
                    <w:rPr>
                      <w:sz w:val="18"/>
                      <w:szCs w:val="18"/>
                    </w:rPr>
                    <w:t>NH</w:t>
                  </w:r>
                  <w:r>
                    <w:rPr>
                      <w:sz w:val="18"/>
                      <w:szCs w:val="18"/>
                      <w:vertAlign w:val="subscript"/>
                    </w:rPr>
                    <w:t>3</w:t>
                  </w:r>
                  <w:r>
                    <w:rPr>
                      <w:sz w:val="18"/>
                      <w:szCs w:val="18"/>
                    </w:rPr>
                    <w:t>-N</w:t>
                  </w:r>
                </w:p>
              </w:tc>
              <w:tc>
                <w:tcPr>
                  <w:tcW w:w="1002" w:type="dxa"/>
                  <w:tcBorders>
                    <w:top w:val="single" w:color="auto" w:sz="12" w:space="0"/>
                    <w:right w:val="nil"/>
                  </w:tcBorders>
                  <w:noWrap w:val="0"/>
                  <w:vAlign w:val="center"/>
                </w:tcPr>
                <w:p w14:paraId="0C17EC7C">
                  <w:pPr>
                    <w:adjustRightInd w:val="0"/>
                    <w:snapToGrid w:val="0"/>
                    <w:jc w:val="center"/>
                    <w:rPr>
                      <w:sz w:val="18"/>
                      <w:szCs w:val="18"/>
                    </w:rPr>
                  </w:pPr>
                  <w:r>
                    <w:rPr>
                      <w:sz w:val="18"/>
                      <w:szCs w:val="18"/>
                    </w:rPr>
                    <w:t>TP</w:t>
                  </w:r>
                </w:p>
              </w:tc>
              <w:tc>
                <w:tcPr>
                  <w:tcW w:w="1003" w:type="dxa"/>
                  <w:tcBorders>
                    <w:top w:val="single" w:color="auto" w:sz="12" w:space="0"/>
                    <w:right w:val="nil"/>
                  </w:tcBorders>
                  <w:noWrap w:val="0"/>
                  <w:vAlign w:val="center"/>
                </w:tcPr>
                <w:p w14:paraId="6D9B8522">
                  <w:pPr>
                    <w:adjustRightInd w:val="0"/>
                    <w:snapToGrid w:val="0"/>
                    <w:jc w:val="center"/>
                    <w:rPr>
                      <w:sz w:val="18"/>
                      <w:szCs w:val="18"/>
                    </w:rPr>
                  </w:pPr>
                  <w:r>
                    <w:rPr>
                      <w:rFonts w:hint="eastAsia"/>
                      <w:sz w:val="18"/>
                      <w:szCs w:val="18"/>
                    </w:rPr>
                    <w:t>TN</w:t>
                  </w:r>
                </w:p>
              </w:tc>
              <w:tc>
                <w:tcPr>
                  <w:tcW w:w="1003" w:type="dxa"/>
                  <w:tcBorders>
                    <w:top w:val="single" w:color="auto" w:sz="12" w:space="0"/>
                    <w:right w:val="nil"/>
                  </w:tcBorders>
                  <w:noWrap w:val="0"/>
                  <w:vAlign w:val="center"/>
                </w:tcPr>
                <w:p w14:paraId="486ECE8E">
                  <w:pPr>
                    <w:adjustRightInd w:val="0"/>
                    <w:snapToGrid w:val="0"/>
                    <w:jc w:val="center"/>
                    <w:rPr>
                      <w:sz w:val="18"/>
                      <w:szCs w:val="18"/>
                    </w:rPr>
                  </w:pPr>
                  <w:r>
                    <w:rPr>
                      <w:sz w:val="18"/>
                      <w:szCs w:val="18"/>
                    </w:rPr>
                    <w:t>动植物油</w:t>
                  </w:r>
                </w:p>
              </w:tc>
            </w:tr>
            <w:tr w14:paraId="5127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0" w:hRule="atLeast"/>
                <w:jc w:val="center"/>
              </w:trPr>
              <w:tc>
                <w:tcPr>
                  <w:tcW w:w="1002" w:type="dxa"/>
                  <w:tcBorders>
                    <w:left w:val="nil"/>
                    <w:bottom w:val="single" w:color="auto" w:sz="12" w:space="0"/>
                  </w:tcBorders>
                  <w:noWrap w:val="0"/>
                  <w:vAlign w:val="center"/>
                </w:tcPr>
                <w:p w14:paraId="570E956B">
                  <w:pPr>
                    <w:jc w:val="center"/>
                    <w:rPr>
                      <w:sz w:val="18"/>
                      <w:szCs w:val="18"/>
                    </w:rPr>
                  </w:pPr>
                  <w:r>
                    <w:rPr>
                      <w:sz w:val="18"/>
                      <w:szCs w:val="18"/>
                    </w:rPr>
                    <w:t>执行标准</w:t>
                  </w:r>
                </w:p>
              </w:tc>
              <w:tc>
                <w:tcPr>
                  <w:tcW w:w="1002" w:type="dxa"/>
                  <w:tcBorders>
                    <w:bottom w:val="single" w:color="auto" w:sz="12" w:space="0"/>
                    <w:right w:val="single" w:color="auto" w:sz="4" w:space="0"/>
                  </w:tcBorders>
                  <w:noWrap w:val="0"/>
                  <w:vAlign w:val="center"/>
                </w:tcPr>
                <w:p w14:paraId="6EDAB4F4">
                  <w:pPr>
                    <w:adjustRightInd w:val="0"/>
                    <w:snapToGrid w:val="0"/>
                    <w:jc w:val="center"/>
                    <w:rPr>
                      <w:sz w:val="18"/>
                      <w:szCs w:val="18"/>
                    </w:rPr>
                  </w:pPr>
                  <w:r>
                    <w:rPr>
                      <w:sz w:val="18"/>
                      <w:szCs w:val="18"/>
                    </w:rPr>
                    <w:t>6</w:t>
                  </w:r>
                  <w:r>
                    <w:rPr>
                      <w:rFonts w:hint="eastAsia"/>
                      <w:sz w:val="18"/>
                      <w:szCs w:val="18"/>
                    </w:rPr>
                    <w:t>~</w:t>
                  </w:r>
                  <w:r>
                    <w:rPr>
                      <w:sz w:val="18"/>
                      <w:szCs w:val="18"/>
                    </w:rPr>
                    <w:t>9</w:t>
                  </w:r>
                </w:p>
              </w:tc>
              <w:tc>
                <w:tcPr>
                  <w:tcW w:w="1002" w:type="dxa"/>
                  <w:tcBorders>
                    <w:bottom w:val="single" w:color="auto" w:sz="12" w:space="0"/>
                  </w:tcBorders>
                  <w:noWrap w:val="0"/>
                  <w:vAlign w:val="center"/>
                </w:tcPr>
                <w:p w14:paraId="18FE3AC4">
                  <w:pPr>
                    <w:adjustRightInd w:val="0"/>
                    <w:snapToGrid w:val="0"/>
                    <w:jc w:val="center"/>
                    <w:rPr>
                      <w:sz w:val="18"/>
                      <w:szCs w:val="18"/>
                    </w:rPr>
                  </w:pPr>
                  <w:r>
                    <w:rPr>
                      <w:sz w:val="18"/>
                      <w:szCs w:val="18"/>
                    </w:rPr>
                    <w:t>500</w:t>
                  </w:r>
                </w:p>
              </w:tc>
              <w:tc>
                <w:tcPr>
                  <w:tcW w:w="1003" w:type="dxa"/>
                  <w:tcBorders>
                    <w:bottom w:val="single" w:color="auto" w:sz="12" w:space="0"/>
                  </w:tcBorders>
                  <w:noWrap w:val="0"/>
                  <w:vAlign w:val="center"/>
                </w:tcPr>
                <w:p w14:paraId="65C8666D">
                  <w:pPr>
                    <w:adjustRightInd w:val="0"/>
                    <w:snapToGrid w:val="0"/>
                    <w:jc w:val="center"/>
                    <w:rPr>
                      <w:sz w:val="18"/>
                      <w:szCs w:val="18"/>
                    </w:rPr>
                  </w:pPr>
                  <w:r>
                    <w:rPr>
                      <w:sz w:val="18"/>
                      <w:szCs w:val="18"/>
                    </w:rPr>
                    <w:t>400</w:t>
                  </w:r>
                </w:p>
              </w:tc>
              <w:tc>
                <w:tcPr>
                  <w:tcW w:w="1002" w:type="dxa"/>
                  <w:tcBorders>
                    <w:bottom w:val="single" w:color="auto" w:sz="12" w:space="0"/>
                    <w:right w:val="nil"/>
                  </w:tcBorders>
                  <w:noWrap w:val="0"/>
                  <w:vAlign w:val="center"/>
                </w:tcPr>
                <w:p w14:paraId="652079CC">
                  <w:pPr>
                    <w:adjustRightInd w:val="0"/>
                    <w:snapToGrid w:val="0"/>
                    <w:jc w:val="center"/>
                    <w:rPr>
                      <w:sz w:val="18"/>
                      <w:szCs w:val="18"/>
                    </w:rPr>
                  </w:pPr>
                  <w:r>
                    <w:rPr>
                      <w:sz w:val="18"/>
                      <w:szCs w:val="18"/>
                    </w:rPr>
                    <w:t>45</w:t>
                  </w:r>
                </w:p>
              </w:tc>
              <w:tc>
                <w:tcPr>
                  <w:tcW w:w="1002" w:type="dxa"/>
                  <w:tcBorders>
                    <w:bottom w:val="single" w:color="auto" w:sz="12" w:space="0"/>
                    <w:right w:val="nil"/>
                  </w:tcBorders>
                  <w:noWrap w:val="0"/>
                  <w:vAlign w:val="center"/>
                </w:tcPr>
                <w:p w14:paraId="04FC3266">
                  <w:pPr>
                    <w:adjustRightInd w:val="0"/>
                    <w:snapToGrid w:val="0"/>
                    <w:jc w:val="center"/>
                    <w:rPr>
                      <w:sz w:val="18"/>
                      <w:szCs w:val="18"/>
                    </w:rPr>
                  </w:pPr>
                  <w:r>
                    <w:rPr>
                      <w:rStyle w:val="24"/>
                      <w:sz w:val="18"/>
                      <w:szCs w:val="18"/>
                    </w:rPr>
                    <w:t>8</w:t>
                  </w:r>
                </w:p>
              </w:tc>
              <w:tc>
                <w:tcPr>
                  <w:tcW w:w="1003" w:type="dxa"/>
                  <w:tcBorders>
                    <w:bottom w:val="single" w:color="auto" w:sz="12" w:space="0"/>
                    <w:right w:val="nil"/>
                  </w:tcBorders>
                  <w:noWrap w:val="0"/>
                  <w:vAlign w:val="center"/>
                </w:tcPr>
                <w:p w14:paraId="484C89DA">
                  <w:pPr>
                    <w:adjustRightInd w:val="0"/>
                    <w:snapToGrid w:val="0"/>
                    <w:jc w:val="center"/>
                    <w:rPr>
                      <w:sz w:val="18"/>
                      <w:szCs w:val="18"/>
                    </w:rPr>
                  </w:pPr>
                  <w:r>
                    <w:rPr>
                      <w:rFonts w:hint="eastAsia"/>
                      <w:sz w:val="18"/>
                      <w:szCs w:val="18"/>
                    </w:rPr>
                    <w:t>70</w:t>
                  </w:r>
                </w:p>
              </w:tc>
              <w:tc>
                <w:tcPr>
                  <w:tcW w:w="1003" w:type="dxa"/>
                  <w:tcBorders>
                    <w:bottom w:val="single" w:color="auto" w:sz="12" w:space="0"/>
                    <w:right w:val="nil"/>
                  </w:tcBorders>
                  <w:noWrap w:val="0"/>
                  <w:vAlign w:val="center"/>
                </w:tcPr>
                <w:p w14:paraId="436D33A2">
                  <w:pPr>
                    <w:adjustRightInd w:val="0"/>
                    <w:snapToGrid w:val="0"/>
                    <w:jc w:val="center"/>
                    <w:rPr>
                      <w:sz w:val="18"/>
                      <w:szCs w:val="18"/>
                    </w:rPr>
                  </w:pPr>
                  <w:r>
                    <w:rPr>
                      <w:rFonts w:hint="eastAsia"/>
                      <w:sz w:val="18"/>
                      <w:szCs w:val="18"/>
                    </w:rPr>
                    <w:t>100</w:t>
                  </w:r>
                </w:p>
              </w:tc>
            </w:tr>
          </w:tbl>
          <w:p w14:paraId="47FA092F">
            <w:pPr>
              <w:adjustRightInd w:val="0"/>
              <w:snapToGrid w:val="0"/>
              <w:spacing w:line="500" w:lineRule="exact"/>
              <w:ind w:firstLine="420" w:firstLineChars="200"/>
              <w:rPr>
                <w:b/>
                <w:szCs w:val="21"/>
              </w:rPr>
            </w:pPr>
            <w:r>
              <w:rPr>
                <w:rFonts w:hint="eastAsia"/>
                <w:color w:val="auto"/>
                <w:kern w:val="0"/>
                <w:szCs w:val="21"/>
                <w:lang w:val="en-US" w:eastAsia="zh-CN"/>
              </w:rPr>
              <w:t>联合水务（启东）有限公司</w:t>
            </w:r>
            <w:r>
              <w:rPr>
                <w:rFonts w:hint="eastAsia"/>
                <w:kern w:val="0"/>
                <w:szCs w:val="21"/>
              </w:rPr>
              <w:t>对污水进行深度处理，处理达《城镇污水处理厂污染物排放标准》（</w:t>
            </w:r>
            <w:r>
              <w:rPr>
                <w:rFonts w:hint="eastAsia"/>
                <w:kern w:val="0"/>
                <w:szCs w:val="21"/>
                <w:lang w:val="en-US" w:eastAsia="zh-CN"/>
              </w:rPr>
              <w:t>GB 18918-2002</w:t>
            </w:r>
            <w:r>
              <w:rPr>
                <w:rFonts w:hint="eastAsia"/>
                <w:kern w:val="0"/>
                <w:szCs w:val="21"/>
              </w:rPr>
              <w:t>）</w:t>
            </w:r>
            <w:r>
              <w:rPr>
                <w:rFonts w:hint="eastAsia"/>
                <w:kern w:val="0"/>
                <w:szCs w:val="21"/>
                <w:lang w:eastAsia="zh-CN"/>
              </w:rPr>
              <w:t>表</w:t>
            </w:r>
            <w:r>
              <w:rPr>
                <w:rFonts w:hint="eastAsia"/>
                <w:kern w:val="0"/>
                <w:szCs w:val="21"/>
                <w:lang w:val="en-US" w:eastAsia="zh-CN"/>
              </w:rPr>
              <w:t>1一级</w:t>
            </w:r>
            <w:r>
              <w:rPr>
                <w:rFonts w:hint="eastAsia"/>
                <w:kern w:val="0"/>
                <w:szCs w:val="21"/>
              </w:rPr>
              <w:t>A标准后排放，具体标准见表3-</w:t>
            </w:r>
            <w:r>
              <w:rPr>
                <w:rFonts w:hint="eastAsia"/>
                <w:kern w:val="0"/>
                <w:szCs w:val="21"/>
                <w:lang w:val="en-US" w:eastAsia="zh-CN"/>
              </w:rPr>
              <w:t>10</w:t>
            </w:r>
            <w:r>
              <w:rPr>
                <w:rFonts w:hint="eastAsia"/>
                <w:kern w:val="0"/>
                <w:szCs w:val="21"/>
              </w:rPr>
              <w:t>。</w:t>
            </w:r>
          </w:p>
          <w:p w14:paraId="4DA80AE0">
            <w:pPr>
              <w:spacing w:line="500" w:lineRule="exact"/>
              <w:ind w:firstLine="422" w:firstLineChars="200"/>
              <w:jc w:val="center"/>
            </w:pPr>
            <w:r>
              <w:rPr>
                <w:b/>
                <w:szCs w:val="21"/>
              </w:rPr>
              <w:t>表</w:t>
            </w:r>
            <w:r>
              <w:rPr>
                <w:rFonts w:hint="eastAsia"/>
                <w:b/>
                <w:szCs w:val="21"/>
              </w:rPr>
              <w:t>3-</w:t>
            </w:r>
            <w:r>
              <w:rPr>
                <w:rFonts w:hint="eastAsia"/>
                <w:b/>
                <w:szCs w:val="21"/>
                <w:lang w:val="en-US" w:eastAsia="zh-CN"/>
              </w:rPr>
              <w:t xml:space="preserve">10 </w:t>
            </w:r>
            <w:r>
              <w:rPr>
                <w:b/>
                <w:szCs w:val="21"/>
              </w:rPr>
              <w:t xml:space="preserve">城镇污水处理厂污染物排放标准       </w:t>
            </w:r>
            <w:r>
              <w:rPr>
                <w:szCs w:val="21"/>
              </w:rPr>
              <w:t>单位：mg/L</w:t>
            </w:r>
          </w:p>
          <w:tbl>
            <w:tblPr>
              <w:tblStyle w:val="19"/>
              <w:tblW w:w="81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25"/>
              <w:gridCol w:w="1175"/>
              <w:gridCol w:w="1300"/>
              <w:gridCol w:w="937"/>
              <w:gridCol w:w="1163"/>
              <w:gridCol w:w="1163"/>
            </w:tblGrid>
            <w:tr w14:paraId="0A713D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208" w:type="dxa"/>
                  <w:noWrap w:val="0"/>
                  <w:vAlign w:val="center"/>
                </w:tcPr>
                <w:p w14:paraId="4D534087">
                  <w:pPr>
                    <w:jc w:val="center"/>
                    <w:rPr>
                      <w:rFonts w:hint="eastAsia" w:eastAsia="宋体"/>
                      <w:b/>
                      <w:bCs/>
                      <w:color w:val="auto"/>
                      <w:sz w:val="18"/>
                      <w:szCs w:val="18"/>
                      <w:lang w:eastAsia="zh-CN"/>
                    </w:rPr>
                  </w:pPr>
                  <w:r>
                    <w:rPr>
                      <w:rFonts w:hint="eastAsia"/>
                      <w:b/>
                      <w:bCs/>
                      <w:color w:val="auto"/>
                      <w:sz w:val="18"/>
                      <w:szCs w:val="18"/>
                      <w:lang w:eastAsia="zh-CN"/>
                    </w:rPr>
                    <w:t>污染物</w:t>
                  </w:r>
                </w:p>
              </w:tc>
              <w:tc>
                <w:tcPr>
                  <w:tcW w:w="1225" w:type="dxa"/>
                  <w:noWrap w:val="0"/>
                  <w:vAlign w:val="center"/>
                </w:tcPr>
                <w:p w14:paraId="7B917CC2">
                  <w:pPr>
                    <w:jc w:val="center"/>
                    <w:rPr>
                      <w:rFonts w:hint="default" w:eastAsia="宋体"/>
                      <w:b/>
                      <w:bCs/>
                      <w:color w:val="auto"/>
                      <w:sz w:val="18"/>
                      <w:szCs w:val="18"/>
                      <w:lang w:val="en-US" w:eastAsia="zh-CN"/>
                    </w:rPr>
                  </w:pPr>
                  <w:r>
                    <w:rPr>
                      <w:rFonts w:hint="eastAsia"/>
                      <w:b/>
                      <w:bCs/>
                      <w:color w:val="auto"/>
                      <w:sz w:val="18"/>
                      <w:szCs w:val="18"/>
                      <w:lang w:val="en-US" w:eastAsia="zh-CN"/>
                    </w:rPr>
                    <w:t>COD</w:t>
                  </w:r>
                </w:p>
              </w:tc>
              <w:tc>
                <w:tcPr>
                  <w:tcW w:w="1175" w:type="dxa"/>
                  <w:noWrap w:val="0"/>
                  <w:vAlign w:val="center"/>
                </w:tcPr>
                <w:p w14:paraId="121F3DB7">
                  <w:pPr>
                    <w:jc w:val="center"/>
                    <w:rPr>
                      <w:rFonts w:hint="default" w:eastAsia="宋体"/>
                      <w:b/>
                      <w:bCs/>
                      <w:color w:val="auto"/>
                      <w:sz w:val="18"/>
                      <w:szCs w:val="18"/>
                      <w:lang w:val="en-US" w:eastAsia="zh-CN"/>
                    </w:rPr>
                  </w:pPr>
                  <w:r>
                    <w:rPr>
                      <w:rFonts w:hint="eastAsia"/>
                      <w:b/>
                      <w:bCs/>
                      <w:color w:val="auto"/>
                      <w:sz w:val="18"/>
                      <w:szCs w:val="18"/>
                      <w:lang w:val="en-US" w:eastAsia="zh-CN"/>
                    </w:rPr>
                    <w:t>SS</w:t>
                  </w:r>
                </w:p>
              </w:tc>
              <w:tc>
                <w:tcPr>
                  <w:tcW w:w="1300" w:type="dxa"/>
                  <w:noWrap w:val="0"/>
                  <w:vAlign w:val="center"/>
                </w:tcPr>
                <w:p w14:paraId="0A89FCC6">
                  <w:pPr>
                    <w:jc w:val="center"/>
                    <w:rPr>
                      <w:rFonts w:hint="default" w:eastAsia="宋体"/>
                      <w:b/>
                      <w:bCs/>
                      <w:color w:val="auto"/>
                      <w:sz w:val="18"/>
                      <w:szCs w:val="18"/>
                      <w:lang w:val="en-US" w:eastAsia="zh-CN"/>
                    </w:rPr>
                  </w:pPr>
                  <w:r>
                    <w:rPr>
                      <w:rFonts w:hint="eastAsia"/>
                      <w:b/>
                      <w:bCs/>
                      <w:color w:val="auto"/>
                      <w:sz w:val="18"/>
                      <w:szCs w:val="18"/>
                      <w:lang w:val="en-US" w:eastAsia="zh-CN"/>
                    </w:rPr>
                    <w:t>NH</w:t>
                  </w:r>
                  <w:r>
                    <w:rPr>
                      <w:rFonts w:hint="eastAsia"/>
                      <w:b/>
                      <w:bCs/>
                      <w:color w:val="auto"/>
                      <w:sz w:val="18"/>
                      <w:szCs w:val="18"/>
                      <w:vertAlign w:val="subscript"/>
                      <w:lang w:val="en-US" w:eastAsia="zh-CN"/>
                    </w:rPr>
                    <w:t>3</w:t>
                  </w:r>
                  <w:r>
                    <w:rPr>
                      <w:rFonts w:hint="eastAsia"/>
                      <w:b/>
                      <w:bCs/>
                      <w:color w:val="auto"/>
                      <w:sz w:val="18"/>
                      <w:szCs w:val="18"/>
                      <w:lang w:val="en-US" w:eastAsia="zh-CN"/>
                    </w:rPr>
                    <w:t>-N</w:t>
                  </w:r>
                </w:p>
              </w:tc>
              <w:tc>
                <w:tcPr>
                  <w:tcW w:w="937" w:type="dxa"/>
                  <w:noWrap w:val="0"/>
                  <w:vAlign w:val="center"/>
                </w:tcPr>
                <w:p w14:paraId="25589CE9">
                  <w:pPr>
                    <w:jc w:val="center"/>
                    <w:rPr>
                      <w:rFonts w:hint="default" w:eastAsia="宋体"/>
                      <w:b/>
                      <w:bCs/>
                      <w:color w:val="auto"/>
                      <w:sz w:val="18"/>
                      <w:szCs w:val="18"/>
                      <w:lang w:val="en-US" w:eastAsia="zh-CN"/>
                    </w:rPr>
                  </w:pPr>
                  <w:r>
                    <w:rPr>
                      <w:rFonts w:hint="eastAsia"/>
                      <w:b/>
                      <w:bCs/>
                      <w:color w:val="auto"/>
                      <w:sz w:val="18"/>
                      <w:szCs w:val="18"/>
                      <w:lang w:val="en-US" w:eastAsia="zh-CN"/>
                    </w:rPr>
                    <w:t>TP</w:t>
                  </w:r>
                </w:p>
              </w:tc>
              <w:tc>
                <w:tcPr>
                  <w:tcW w:w="1163" w:type="dxa"/>
                  <w:noWrap w:val="0"/>
                  <w:vAlign w:val="center"/>
                </w:tcPr>
                <w:p w14:paraId="5A55B172">
                  <w:pPr>
                    <w:jc w:val="center"/>
                    <w:rPr>
                      <w:rFonts w:hint="default" w:eastAsia="宋体"/>
                      <w:b/>
                      <w:bCs/>
                      <w:color w:val="auto"/>
                      <w:sz w:val="18"/>
                      <w:szCs w:val="18"/>
                      <w:lang w:val="en-US" w:eastAsia="zh-CN"/>
                    </w:rPr>
                  </w:pPr>
                  <w:r>
                    <w:rPr>
                      <w:rFonts w:hint="eastAsia"/>
                      <w:b/>
                      <w:bCs/>
                      <w:color w:val="auto"/>
                      <w:sz w:val="18"/>
                      <w:szCs w:val="18"/>
                      <w:lang w:val="en-US" w:eastAsia="zh-CN"/>
                    </w:rPr>
                    <w:t>TN</w:t>
                  </w:r>
                </w:p>
              </w:tc>
              <w:tc>
                <w:tcPr>
                  <w:tcW w:w="1163" w:type="dxa"/>
                  <w:noWrap w:val="0"/>
                  <w:vAlign w:val="center"/>
                </w:tcPr>
                <w:p w14:paraId="07E30DDA">
                  <w:pPr>
                    <w:jc w:val="center"/>
                    <w:rPr>
                      <w:rFonts w:hint="eastAsia"/>
                      <w:b/>
                      <w:bCs/>
                      <w:color w:val="auto"/>
                      <w:sz w:val="18"/>
                      <w:szCs w:val="18"/>
                      <w:lang w:val="en-US" w:eastAsia="zh-CN"/>
                    </w:rPr>
                  </w:pPr>
                  <w:r>
                    <w:rPr>
                      <w:rFonts w:hint="eastAsia"/>
                      <w:b/>
                      <w:bCs/>
                      <w:color w:val="auto"/>
                      <w:sz w:val="18"/>
                      <w:szCs w:val="18"/>
                      <w:lang w:val="en-US" w:eastAsia="zh-CN"/>
                    </w:rPr>
                    <w:t>动植物油</w:t>
                  </w:r>
                </w:p>
              </w:tc>
            </w:tr>
            <w:tr w14:paraId="0023AE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08" w:type="dxa"/>
                  <w:noWrap w:val="0"/>
                  <w:vAlign w:val="center"/>
                </w:tcPr>
                <w:p w14:paraId="731BF4AB">
                  <w:pPr>
                    <w:jc w:val="center"/>
                    <w:rPr>
                      <w:rFonts w:hint="eastAsia" w:eastAsia="宋体"/>
                      <w:color w:val="auto"/>
                      <w:sz w:val="18"/>
                      <w:szCs w:val="18"/>
                      <w:lang w:val="en-US" w:eastAsia="zh-CN"/>
                    </w:rPr>
                  </w:pPr>
                  <w:r>
                    <w:rPr>
                      <w:rFonts w:hint="eastAsia"/>
                      <w:color w:val="auto"/>
                      <w:sz w:val="18"/>
                      <w:szCs w:val="18"/>
                      <w:lang w:val="en-US" w:eastAsia="zh-CN"/>
                    </w:rPr>
                    <w:t>标准值</w:t>
                  </w:r>
                </w:p>
              </w:tc>
              <w:tc>
                <w:tcPr>
                  <w:tcW w:w="1225" w:type="dxa"/>
                  <w:noWrap w:val="0"/>
                  <w:vAlign w:val="center"/>
                </w:tcPr>
                <w:p w14:paraId="44C88F6F">
                  <w:pPr>
                    <w:jc w:val="center"/>
                    <w:rPr>
                      <w:rFonts w:hint="default" w:eastAsia="宋体"/>
                      <w:color w:val="auto"/>
                      <w:sz w:val="18"/>
                      <w:szCs w:val="18"/>
                      <w:lang w:val="en-US" w:eastAsia="zh-CN"/>
                    </w:rPr>
                  </w:pPr>
                  <w:r>
                    <w:rPr>
                      <w:rFonts w:hint="eastAsia"/>
                      <w:color w:val="auto"/>
                      <w:sz w:val="18"/>
                      <w:szCs w:val="18"/>
                      <w:lang w:val="en-US" w:eastAsia="zh-CN"/>
                    </w:rPr>
                    <w:t>50</w:t>
                  </w:r>
                </w:p>
              </w:tc>
              <w:tc>
                <w:tcPr>
                  <w:tcW w:w="1175" w:type="dxa"/>
                  <w:noWrap w:val="0"/>
                  <w:vAlign w:val="center"/>
                </w:tcPr>
                <w:p w14:paraId="0898A692">
                  <w:pPr>
                    <w:jc w:val="center"/>
                    <w:rPr>
                      <w:rFonts w:hint="default" w:eastAsia="宋体"/>
                      <w:color w:val="auto"/>
                      <w:sz w:val="18"/>
                      <w:szCs w:val="18"/>
                      <w:lang w:val="en-US" w:eastAsia="zh-CN"/>
                    </w:rPr>
                  </w:pPr>
                  <w:r>
                    <w:rPr>
                      <w:rFonts w:hint="eastAsia"/>
                      <w:color w:val="auto"/>
                      <w:sz w:val="18"/>
                      <w:szCs w:val="18"/>
                      <w:lang w:val="en-US" w:eastAsia="zh-CN"/>
                    </w:rPr>
                    <w:t>10</w:t>
                  </w:r>
                </w:p>
              </w:tc>
              <w:tc>
                <w:tcPr>
                  <w:tcW w:w="1300" w:type="dxa"/>
                  <w:noWrap w:val="0"/>
                  <w:vAlign w:val="center"/>
                </w:tcPr>
                <w:p w14:paraId="669248D7">
                  <w:pPr>
                    <w:jc w:val="center"/>
                    <w:rPr>
                      <w:rFonts w:hint="eastAsia" w:eastAsia="宋体"/>
                      <w:color w:val="auto"/>
                      <w:sz w:val="18"/>
                      <w:szCs w:val="18"/>
                      <w:lang w:eastAsia="zh-CN"/>
                    </w:rPr>
                  </w:pPr>
                  <w:r>
                    <w:rPr>
                      <w:rFonts w:hint="eastAsia"/>
                      <w:color w:val="auto"/>
                      <w:sz w:val="18"/>
                      <w:szCs w:val="18"/>
                      <w:lang w:val="en-US" w:eastAsia="zh-CN"/>
                    </w:rPr>
                    <w:t>5（8）</w:t>
                  </w:r>
                </w:p>
              </w:tc>
              <w:tc>
                <w:tcPr>
                  <w:tcW w:w="937" w:type="dxa"/>
                  <w:noWrap w:val="0"/>
                  <w:vAlign w:val="center"/>
                </w:tcPr>
                <w:p w14:paraId="4E008B9E">
                  <w:pPr>
                    <w:jc w:val="center"/>
                    <w:rPr>
                      <w:rFonts w:hint="default" w:eastAsia="宋体"/>
                      <w:color w:val="auto"/>
                      <w:sz w:val="18"/>
                      <w:szCs w:val="18"/>
                      <w:lang w:val="en-US" w:eastAsia="zh-CN"/>
                    </w:rPr>
                  </w:pPr>
                  <w:r>
                    <w:rPr>
                      <w:rFonts w:hint="eastAsia"/>
                      <w:color w:val="auto"/>
                      <w:sz w:val="18"/>
                      <w:szCs w:val="18"/>
                      <w:lang w:val="en-US" w:eastAsia="zh-CN"/>
                    </w:rPr>
                    <w:t>0.5</w:t>
                  </w:r>
                </w:p>
              </w:tc>
              <w:tc>
                <w:tcPr>
                  <w:tcW w:w="1163" w:type="dxa"/>
                  <w:noWrap w:val="0"/>
                  <w:vAlign w:val="center"/>
                </w:tcPr>
                <w:p w14:paraId="173EED45">
                  <w:pPr>
                    <w:jc w:val="center"/>
                    <w:rPr>
                      <w:rFonts w:hint="default" w:eastAsia="宋体"/>
                      <w:color w:val="auto"/>
                      <w:sz w:val="18"/>
                      <w:szCs w:val="18"/>
                      <w:lang w:val="en-US" w:eastAsia="zh-CN"/>
                    </w:rPr>
                  </w:pPr>
                  <w:r>
                    <w:rPr>
                      <w:rFonts w:hint="eastAsia"/>
                      <w:color w:val="auto"/>
                      <w:sz w:val="18"/>
                      <w:szCs w:val="18"/>
                      <w:lang w:val="en-US" w:eastAsia="zh-CN"/>
                    </w:rPr>
                    <w:t>15</w:t>
                  </w:r>
                </w:p>
              </w:tc>
              <w:tc>
                <w:tcPr>
                  <w:tcW w:w="1163" w:type="dxa"/>
                  <w:noWrap w:val="0"/>
                  <w:vAlign w:val="center"/>
                </w:tcPr>
                <w:p w14:paraId="4557CA32">
                  <w:pPr>
                    <w:jc w:val="center"/>
                    <w:rPr>
                      <w:rFonts w:hint="default"/>
                      <w:color w:val="auto"/>
                      <w:sz w:val="18"/>
                      <w:szCs w:val="18"/>
                      <w:lang w:val="en-US" w:eastAsia="zh-CN"/>
                    </w:rPr>
                  </w:pPr>
                  <w:r>
                    <w:rPr>
                      <w:rFonts w:hint="eastAsia"/>
                      <w:b w:val="0"/>
                      <w:bCs w:val="0"/>
                      <w:color w:val="auto"/>
                      <w:sz w:val="18"/>
                      <w:szCs w:val="18"/>
                      <w:lang w:val="en-US" w:eastAsia="zh-CN"/>
                    </w:rPr>
                    <w:t>1</w:t>
                  </w:r>
                </w:p>
              </w:tc>
            </w:tr>
            <w:tr w14:paraId="709FED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71" w:type="dxa"/>
                  <w:gridSpan w:val="7"/>
                  <w:noWrap w:val="0"/>
                  <w:vAlign w:val="center"/>
                </w:tcPr>
                <w:p w14:paraId="48B120E3">
                  <w:pPr>
                    <w:jc w:val="both"/>
                    <w:rPr>
                      <w:rFonts w:hint="eastAsia"/>
                      <w:color w:val="auto"/>
                      <w:sz w:val="18"/>
                      <w:szCs w:val="18"/>
                      <w:lang w:val="en-US" w:eastAsia="zh-CN"/>
                    </w:rPr>
                  </w:pPr>
                  <w:r>
                    <w:rPr>
                      <w:rFonts w:hint="eastAsia"/>
                      <w:color w:val="auto"/>
                      <w:sz w:val="18"/>
                      <w:szCs w:val="18"/>
                      <w:lang w:val="en-US" w:eastAsia="zh-CN"/>
                    </w:rPr>
                    <w:t>注：括号外数值为水温</w:t>
                  </w:r>
                  <w:r>
                    <w:rPr>
                      <w:rFonts w:hint="eastAsia" w:ascii="宋体" w:hAnsi="宋体" w:eastAsia="宋体" w:cs="宋体"/>
                      <w:color w:val="auto"/>
                      <w:sz w:val="18"/>
                      <w:szCs w:val="18"/>
                      <w:lang w:val="en-US" w:eastAsia="zh-CN"/>
                    </w:rPr>
                    <w:t>&gt;</w:t>
                  </w:r>
                  <w:r>
                    <w:rPr>
                      <w:rFonts w:hint="eastAsia"/>
                      <w:color w:val="auto"/>
                      <w:sz w:val="18"/>
                      <w:szCs w:val="18"/>
                      <w:lang w:val="en-US" w:eastAsia="zh-CN"/>
                    </w:rPr>
                    <w:t>12</w:t>
                  </w:r>
                  <w:r>
                    <w:rPr>
                      <w:rFonts w:hint="eastAsia" w:ascii="宋体" w:hAnsi="宋体" w:eastAsia="宋体" w:cs="宋体"/>
                      <w:color w:val="auto"/>
                      <w:sz w:val="18"/>
                      <w:szCs w:val="18"/>
                      <w:lang w:val="en-US" w:eastAsia="zh-CN"/>
                    </w:rPr>
                    <w:t>℃</w:t>
                  </w:r>
                  <w:r>
                    <w:rPr>
                      <w:rFonts w:hint="eastAsia"/>
                      <w:color w:val="auto"/>
                      <w:sz w:val="18"/>
                      <w:szCs w:val="18"/>
                      <w:lang w:val="en-US" w:eastAsia="zh-CN"/>
                    </w:rPr>
                    <w:t>时的控制指标，括号内的数值为水温</w:t>
                  </w:r>
                  <w:r>
                    <w:rPr>
                      <w:rFonts w:hint="default" w:ascii="Arial" w:hAnsi="Arial" w:cs="Arial"/>
                      <w:color w:val="auto"/>
                      <w:sz w:val="18"/>
                      <w:szCs w:val="18"/>
                      <w:lang w:val="en-US" w:eastAsia="zh-CN"/>
                    </w:rPr>
                    <w:t>≤</w:t>
                  </w:r>
                  <w:r>
                    <w:rPr>
                      <w:rFonts w:hint="eastAsia"/>
                      <w:color w:val="auto"/>
                      <w:sz w:val="18"/>
                      <w:szCs w:val="18"/>
                      <w:lang w:val="en-US" w:eastAsia="zh-CN"/>
                    </w:rPr>
                    <w:t>12</w:t>
                  </w:r>
                  <w:r>
                    <w:rPr>
                      <w:rFonts w:hint="eastAsia" w:ascii="宋体" w:hAnsi="宋体" w:eastAsia="宋体" w:cs="宋体"/>
                      <w:color w:val="auto"/>
                      <w:sz w:val="18"/>
                      <w:szCs w:val="18"/>
                      <w:lang w:val="en-US" w:eastAsia="zh-CN"/>
                    </w:rPr>
                    <w:t>℃</w:t>
                  </w:r>
                  <w:r>
                    <w:rPr>
                      <w:rFonts w:hint="eastAsia"/>
                      <w:color w:val="auto"/>
                      <w:sz w:val="18"/>
                      <w:szCs w:val="18"/>
                      <w:lang w:val="en-US" w:eastAsia="zh-CN"/>
                    </w:rPr>
                    <w:t>时的控制指标</w:t>
                  </w:r>
                </w:p>
              </w:tc>
            </w:tr>
          </w:tbl>
          <w:p w14:paraId="525B0FAD">
            <w:pPr>
              <w:spacing w:line="500" w:lineRule="exact"/>
              <w:ind w:firstLine="422" w:firstLineChars="200"/>
              <w:rPr>
                <w:b/>
                <w:bCs/>
                <w:szCs w:val="21"/>
              </w:rPr>
            </w:pPr>
            <w:r>
              <w:rPr>
                <w:b/>
                <w:bCs/>
                <w:szCs w:val="21"/>
              </w:rPr>
              <w:t xml:space="preserve">3、噪声排放标准 </w:t>
            </w:r>
          </w:p>
          <w:p w14:paraId="6D61C6D7">
            <w:pPr>
              <w:spacing w:line="500" w:lineRule="exact"/>
              <w:ind w:firstLine="420" w:firstLineChars="200"/>
              <w:rPr>
                <w:szCs w:val="21"/>
              </w:rPr>
            </w:pPr>
            <w:r>
              <w:rPr>
                <w:szCs w:val="21"/>
              </w:rPr>
              <w:t>项目位于3类区，运营期项目厂界噪声执行《工业企业厂界环境噪声排放标准》（GB12348-2008）中3类标准具体标准值见表3-</w:t>
            </w:r>
            <w:r>
              <w:rPr>
                <w:rFonts w:hint="eastAsia"/>
                <w:szCs w:val="21"/>
                <w:lang w:val="en-US" w:eastAsia="zh-CN"/>
              </w:rPr>
              <w:t>11</w:t>
            </w:r>
            <w:r>
              <w:rPr>
                <w:szCs w:val="21"/>
              </w:rPr>
              <w:t>。</w:t>
            </w:r>
          </w:p>
          <w:p w14:paraId="5362457E">
            <w:pPr>
              <w:spacing w:line="360" w:lineRule="auto"/>
              <w:jc w:val="center"/>
              <w:rPr>
                <w:b/>
                <w:bCs/>
                <w:szCs w:val="21"/>
              </w:rPr>
            </w:pPr>
            <w:r>
              <w:rPr>
                <w:b/>
                <w:bCs/>
                <w:szCs w:val="21"/>
              </w:rPr>
              <w:t>表3-</w:t>
            </w:r>
            <w:r>
              <w:rPr>
                <w:rFonts w:hint="eastAsia"/>
                <w:b/>
                <w:bCs/>
                <w:szCs w:val="21"/>
                <w:lang w:val="en-US" w:eastAsia="zh-CN"/>
              </w:rPr>
              <w:t>11</w:t>
            </w:r>
            <w:r>
              <w:rPr>
                <w:b/>
                <w:bCs/>
                <w:szCs w:val="21"/>
              </w:rPr>
              <w:t xml:space="preserve"> 工业企业厂界环境噪声排放标准   单位：dB（A）</w:t>
            </w:r>
          </w:p>
          <w:tbl>
            <w:tblPr>
              <w:tblStyle w:val="19"/>
              <w:tblW w:w="805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343"/>
              <w:gridCol w:w="2686"/>
              <w:gridCol w:w="2687"/>
            </w:tblGrid>
            <w:tr w14:paraId="57D332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342" w:type="dxa"/>
                  <w:noWrap w:val="0"/>
                  <w:vAlign w:val="center"/>
                </w:tcPr>
                <w:p w14:paraId="7AB35F07">
                  <w:pPr>
                    <w:jc w:val="center"/>
                    <w:rPr>
                      <w:sz w:val="18"/>
                      <w:szCs w:val="18"/>
                    </w:rPr>
                  </w:pPr>
                  <w:r>
                    <w:rPr>
                      <w:rFonts w:hint="eastAsia"/>
                      <w:sz w:val="18"/>
                      <w:szCs w:val="18"/>
                    </w:rPr>
                    <w:t xml:space="preserve">/ </w:t>
                  </w:r>
                </w:p>
              </w:tc>
              <w:tc>
                <w:tcPr>
                  <w:tcW w:w="1343" w:type="dxa"/>
                  <w:noWrap w:val="0"/>
                  <w:vAlign w:val="center"/>
                </w:tcPr>
                <w:p w14:paraId="621A1908">
                  <w:pPr>
                    <w:jc w:val="center"/>
                    <w:rPr>
                      <w:sz w:val="18"/>
                      <w:szCs w:val="18"/>
                    </w:rPr>
                  </w:pPr>
                  <w:r>
                    <w:rPr>
                      <w:sz w:val="18"/>
                      <w:szCs w:val="18"/>
                    </w:rPr>
                    <w:t>类别</w:t>
                  </w:r>
                </w:p>
              </w:tc>
              <w:tc>
                <w:tcPr>
                  <w:tcW w:w="2686" w:type="dxa"/>
                  <w:noWrap w:val="0"/>
                  <w:vAlign w:val="center"/>
                </w:tcPr>
                <w:p w14:paraId="0E2076B8">
                  <w:pPr>
                    <w:jc w:val="center"/>
                    <w:rPr>
                      <w:sz w:val="18"/>
                      <w:szCs w:val="18"/>
                    </w:rPr>
                  </w:pPr>
                  <w:r>
                    <w:rPr>
                      <w:sz w:val="18"/>
                      <w:szCs w:val="18"/>
                    </w:rPr>
                    <w:t>昼间</w:t>
                  </w:r>
                </w:p>
              </w:tc>
              <w:tc>
                <w:tcPr>
                  <w:tcW w:w="2687" w:type="dxa"/>
                  <w:noWrap w:val="0"/>
                  <w:vAlign w:val="center"/>
                </w:tcPr>
                <w:p w14:paraId="116D27FE">
                  <w:pPr>
                    <w:jc w:val="center"/>
                    <w:rPr>
                      <w:sz w:val="18"/>
                      <w:szCs w:val="18"/>
                    </w:rPr>
                  </w:pPr>
                  <w:r>
                    <w:rPr>
                      <w:sz w:val="18"/>
                      <w:szCs w:val="18"/>
                    </w:rPr>
                    <w:t>夜间</w:t>
                  </w:r>
                </w:p>
              </w:tc>
            </w:tr>
            <w:tr w14:paraId="0B4348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42" w:type="dxa"/>
                  <w:noWrap w:val="0"/>
                  <w:vAlign w:val="center"/>
                </w:tcPr>
                <w:p w14:paraId="21E8BE8B">
                  <w:pPr>
                    <w:jc w:val="center"/>
                    <w:rPr>
                      <w:sz w:val="18"/>
                      <w:szCs w:val="18"/>
                    </w:rPr>
                  </w:pPr>
                  <w:r>
                    <w:rPr>
                      <w:sz w:val="18"/>
                      <w:szCs w:val="18"/>
                    </w:rPr>
                    <w:t>运营期</w:t>
                  </w:r>
                </w:p>
              </w:tc>
              <w:tc>
                <w:tcPr>
                  <w:tcW w:w="1343" w:type="dxa"/>
                  <w:noWrap w:val="0"/>
                  <w:vAlign w:val="center"/>
                </w:tcPr>
                <w:p w14:paraId="01747DFF">
                  <w:pPr>
                    <w:jc w:val="center"/>
                    <w:rPr>
                      <w:sz w:val="18"/>
                      <w:szCs w:val="18"/>
                    </w:rPr>
                  </w:pPr>
                  <w:r>
                    <w:rPr>
                      <w:sz w:val="18"/>
                      <w:szCs w:val="18"/>
                    </w:rPr>
                    <w:t>3类</w:t>
                  </w:r>
                </w:p>
              </w:tc>
              <w:tc>
                <w:tcPr>
                  <w:tcW w:w="2686" w:type="dxa"/>
                  <w:noWrap w:val="0"/>
                  <w:vAlign w:val="center"/>
                </w:tcPr>
                <w:p w14:paraId="0E62843B">
                  <w:pPr>
                    <w:jc w:val="center"/>
                    <w:rPr>
                      <w:sz w:val="18"/>
                      <w:szCs w:val="18"/>
                    </w:rPr>
                  </w:pPr>
                  <w:r>
                    <w:rPr>
                      <w:sz w:val="18"/>
                      <w:szCs w:val="18"/>
                    </w:rPr>
                    <w:t>65</w:t>
                  </w:r>
                </w:p>
              </w:tc>
              <w:tc>
                <w:tcPr>
                  <w:tcW w:w="2687" w:type="dxa"/>
                  <w:noWrap w:val="0"/>
                  <w:vAlign w:val="center"/>
                </w:tcPr>
                <w:p w14:paraId="2EA52DE5">
                  <w:pPr>
                    <w:jc w:val="center"/>
                    <w:rPr>
                      <w:sz w:val="18"/>
                      <w:szCs w:val="18"/>
                    </w:rPr>
                  </w:pPr>
                  <w:r>
                    <w:rPr>
                      <w:sz w:val="18"/>
                      <w:szCs w:val="18"/>
                    </w:rPr>
                    <w:t>55</w:t>
                  </w:r>
                </w:p>
              </w:tc>
            </w:tr>
          </w:tbl>
          <w:p w14:paraId="53F9E382">
            <w:pPr>
              <w:spacing w:line="500" w:lineRule="exact"/>
              <w:ind w:firstLine="420" w:firstLineChars="200"/>
              <w:rPr>
                <w:szCs w:val="21"/>
              </w:rPr>
            </w:pPr>
            <w:r>
              <w:rPr>
                <w:szCs w:val="21"/>
              </w:rPr>
              <w:t>注：*夜间噪声最大声级不得超过15dB（A）</w:t>
            </w:r>
          </w:p>
          <w:p w14:paraId="02CA2C7A">
            <w:pPr>
              <w:spacing w:line="500" w:lineRule="exact"/>
              <w:ind w:firstLine="422" w:firstLineChars="200"/>
              <w:rPr>
                <w:b/>
                <w:bCs/>
                <w:szCs w:val="21"/>
              </w:rPr>
            </w:pPr>
            <w:r>
              <w:rPr>
                <w:b/>
                <w:bCs/>
                <w:szCs w:val="21"/>
              </w:rPr>
              <w:t xml:space="preserve">4、固废贮存 </w:t>
            </w:r>
          </w:p>
          <w:p w14:paraId="3A871580">
            <w:pPr>
              <w:spacing w:line="500" w:lineRule="exact"/>
              <w:ind w:firstLine="420" w:firstLineChars="200"/>
              <w:rPr>
                <w:szCs w:val="21"/>
              </w:rPr>
            </w:pPr>
            <w:r>
              <w:rPr>
                <w:szCs w:val="21"/>
              </w:rPr>
              <w:t>本项目产生的一般工业固体废物贮存执行《一般工业固体废物贮存和填埋污染控制标准》（GB 18599-2020）相关要求；危险废物贮存执行《危险废物贮存污染控制标准》（GB18597-2023）的要求；同时按照《危险废物收集贮存运输技术规范》（HJ2025-2012）中相关规定要求进行危险废物的包装、贮存设施的选址、设计、运行、安全防护、监测和关闭等。</w:t>
            </w:r>
          </w:p>
        </w:tc>
      </w:tr>
      <w:tr w14:paraId="5A3B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2" w:hRule="atLeast"/>
          <w:jc w:val="center"/>
        </w:trPr>
        <w:tc>
          <w:tcPr>
            <w:tcW w:w="794" w:type="dxa"/>
            <w:vAlign w:val="center"/>
          </w:tcPr>
          <w:p w14:paraId="6DA6F655">
            <w:pPr>
              <w:rPr>
                <w:sz w:val="24"/>
              </w:rPr>
            </w:pPr>
          </w:p>
          <w:p w14:paraId="170233AA">
            <w:pPr>
              <w:jc w:val="center"/>
              <w:rPr>
                <w:szCs w:val="21"/>
              </w:rPr>
            </w:pPr>
            <w:r>
              <w:rPr>
                <w:szCs w:val="21"/>
              </w:rPr>
              <w:t>总</w:t>
            </w:r>
          </w:p>
          <w:p w14:paraId="588FA404">
            <w:pPr>
              <w:jc w:val="center"/>
              <w:rPr>
                <w:szCs w:val="21"/>
              </w:rPr>
            </w:pPr>
            <w:r>
              <w:rPr>
                <w:szCs w:val="21"/>
              </w:rPr>
              <w:t>量</w:t>
            </w:r>
          </w:p>
          <w:p w14:paraId="7A4C5DAD">
            <w:pPr>
              <w:jc w:val="center"/>
              <w:rPr>
                <w:szCs w:val="21"/>
              </w:rPr>
            </w:pPr>
            <w:r>
              <w:rPr>
                <w:szCs w:val="21"/>
              </w:rPr>
              <w:t>控</w:t>
            </w:r>
          </w:p>
          <w:p w14:paraId="7791D7FA">
            <w:pPr>
              <w:jc w:val="center"/>
              <w:rPr>
                <w:szCs w:val="21"/>
              </w:rPr>
            </w:pPr>
            <w:r>
              <w:rPr>
                <w:szCs w:val="21"/>
              </w:rPr>
              <w:t>制</w:t>
            </w:r>
          </w:p>
          <w:p w14:paraId="4D32F14A">
            <w:pPr>
              <w:jc w:val="center"/>
              <w:rPr>
                <w:szCs w:val="21"/>
              </w:rPr>
            </w:pPr>
            <w:r>
              <w:rPr>
                <w:szCs w:val="21"/>
              </w:rPr>
              <w:t>指</w:t>
            </w:r>
          </w:p>
          <w:p w14:paraId="3790FDDA">
            <w:pPr>
              <w:jc w:val="center"/>
              <w:rPr>
                <w:sz w:val="24"/>
              </w:rPr>
            </w:pPr>
            <w:r>
              <w:rPr>
                <w:szCs w:val="21"/>
              </w:rPr>
              <w:t>标</w:t>
            </w:r>
          </w:p>
        </w:tc>
        <w:tc>
          <w:tcPr>
            <w:tcW w:w="8280" w:type="dxa"/>
          </w:tcPr>
          <w:p w14:paraId="5AA317C6">
            <w:pPr>
              <w:numPr>
                <w:ilvl w:val="0"/>
                <w:numId w:val="5"/>
              </w:numPr>
              <w:adjustRightInd w:val="0"/>
              <w:snapToGrid w:val="0"/>
              <w:spacing w:line="500" w:lineRule="exact"/>
              <w:ind w:firstLine="420" w:firstLineChars="200"/>
              <w:rPr>
                <w:color w:val="auto"/>
              </w:rPr>
            </w:pPr>
            <w:r>
              <w:rPr>
                <w:color w:val="auto"/>
              </w:rPr>
              <w:t>项目污染物排放情况</w:t>
            </w:r>
          </w:p>
          <w:p w14:paraId="1691CCE3">
            <w:pPr>
              <w:numPr>
                <w:ilvl w:val="0"/>
                <w:numId w:val="0"/>
              </w:numPr>
              <w:adjustRightInd w:val="0"/>
              <w:snapToGrid w:val="0"/>
              <w:spacing w:line="500" w:lineRule="exact"/>
              <w:jc w:val="center"/>
              <w:rPr>
                <w:b/>
                <w:bCs/>
                <w:color w:val="auto"/>
                <w:lang w:val="zh-CN"/>
              </w:rPr>
            </w:pPr>
            <w:r>
              <w:rPr>
                <w:b/>
                <w:bCs/>
                <w:color w:val="auto"/>
                <w:lang w:val="zh-CN"/>
              </w:rPr>
              <w:t>表3-</w:t>
            </w:r>
            <w:r>
              <w:rPr>
                <w:rFonts w:hint="eastAsia"/>
                <w:b/>
                <w:bCs/>
                <w:color w:val="auto"/>
                <w:lang w:val="en-US" w:eastAsia="zh-CN"/>
              </w:rPr>
              <w:t>12</w:t>
            </w:r>
            <w:r>
              <w:rPr>
                <w:b/>
                <w:bCs/>
                <w:color w:val="auto"/>
                <w:lang w:val="zh-CN"/>
              </w:rPr>
              <w:t xml:space="preserve">   项目污染物“三本帐”统计表（t/a）</w:t>
            </w:r>
          </w:p>
          <w:tbl>
            <w:tblPr>
              <w:tblStyle w:val="19"/>
              <w:tblW w:w="7918"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78"/>
              <w:gridCol w:w="1732"/>
              <w:gridCol w:w="1597"/>
              <w:gridCol w:w="1297"/>
              <w:gridCol w:w="1297"/>
              <w:gridCol w:w="1417"/>
            </w:tblGrid>
            <w:tr w14:paraId="2D261C3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9" w:hRule="atLeast"/>
                <w:jc w:val="center"/>
              </w:trPr>
              <w:tc>
                <w:tcPr>
                  <w:tcW w:w="578" w:type="dxa"/>
                  <w:vAlign w:val="center"/>
                </w:tcPr>
                <w:p w14:paraId="20A32361">
                  <w:pPr>
                    <w:jc w:val="center"/>
                    <w:rPr>
                      <w:color w:val="auto"/>
                      <w:sz w:val="18"/>
                      <w:szCs w:val="18"/>
                    </w:rPr>
                  </w:pPr>
                  <w:r>
                    <w:rPr>
                      <w:rFonts w:hint="eastAsia"/>
                      <w:color w:val="auto"/>
                      <w:sz w:val="18"/>
                      <w:szCs w:val="18"/>
                      <w:lang w:val="zh-CN"/>
                    </w:rPr>
                    <w:t>类别</w:t>
                  </w:r>
                </w:p>
              </w:tc>
              <w:tc>
                <w:tcPr>
                  <w:tcW w:w="1732" w:type="dxa"/>
                  <w:vAlign w:val="center"/>
                </w:tcPr>
                <w:p w14:paraId="6ECE78EE">
                  <w:pPr>
                    <w:jc w:val="center"/>
                    <w:rPr>
                      <w:color w:val="auto"/>
                      <w:sz w:val="18"/>
                      <w:szCs w:val="18"/>
                    </w:rPr>
                  </w:pPr>
                  <w:r>
                    <w:rPr>
                      <w:rFonts w:hint="eastAsia"/>
                      <w:color w:val="auto"/>
                      <w:sz w:val="18"/>
                      <w:szCs w:val="18"/>
                      <w:lang w:val="zh-CN"/>
                    </w:rPr>
                    <w:t>污染物名称</w:t>
                  </w:r>
                </w:p>
              </w:tc>
              <w:tc>
                <w:tcPr>
                  <w:tcW w:w="1597" w:type="dxa"/>
                  <w:vAlign w:val="center"/>
                </w:tcPr>
                <w:p w14:paraId="4AE45A46">
                  <w:pPr>
                    <w:jc w:val="center"/>
                    <w:rPr>
                      <w:color w:val="auto"/>
                      <w:sz w:val="18"/>
                      <w:szCs w:val="18"/>
                      <w:lang w:val="zh-CN"/>
                    </w:rPr>
                  </w:pPr>
                  <w:r>
                    <w:rPr>
                      <w:rFonts w:hint="eastAsia"/>
                      <w:color w:val="auto"/>
                      <w:sz w:val="18"/>
                      <w:szCs w:val="18"/>
                      <w:lang w:val="zh-CN"/>
                    </w:rPr>
                    <w:t>产生量</w:t>
                  </w:r>
                  <w:r>
                    <w:rPr>
                      <w:color w:val="auto"/>
                      <w:sz w:val="18"/>
                      <w:szCs w:val="18"/>
                    </w:rPr>
                    <w:t>t/a</w:t>
                  </w:r>
                </w:p>
              </w:tc>
              <w:tc>
                <w:tcPr>
                  <w:tcW w:w="1297" w:type="dxa"/>
                  <w:vAlign w:val="center"/>
                </w:tcPr>
                <w:p w14:paraId="2E5A5DC8">
                  <w:pPr>
                    <w:jc w:val="center"/>
                    <w:rPr>
                      <w:color w:val="auto"/>
                      <w:sz w:val="18"/>
                      <w:szCs w:val="18"/>
                      <w:lang w:val="zh-CN"/>
                    </w:rPr>
                  </w:pPr>
                  <w:r>
                    <w:rPr>
                      <w:rFonts w:hint="eastAsia"/>
                      <w:color w:val="auto"/>
                      <w:sz w:val="18"/>
                      <w:szCs w:val="18"/>
                      <w:lang w:val="zh-CN"/>
                    </w:rPr>
                    <w:t>削减量</w:t>
                  </w:r>
                  <w:r>
                    <w:rPr>
                      <w:color w:val="auto"/>
                      <w:sz w:val="18"/>
                      <w:szCs w:val="18"/>
                    </w:rPr>
                    <w:t>t/a</w:t>
                  </w:r>
                </w:p>
              </w:tc>
              <w:tc>
                <w:tcPr>
                  <w:tcW w:w="1297" w:type="dxa"/>
                  <w:vAlign w:val="center"/>
                </w:tcPr>
                <w:p w14:paraId="66ED9803">
                  <w:pPr>
                    <w:jc w:val="center"/>
                    <w:rPr>
                      <w:color w:val="auto"/>
                      <w:sz w:val="18"/>
                      <w:szCs w:val="18"/>
                      <w:lang w:val="zh-CN"/>
                    </w:rPr>
                  </w:pPr>
                  <w:r>
                    <w:rPr>
                      <w:rFonts w:hint="eastAsia"/>
                      <w:color w:val="auto"/>
                      <w:sz w:val="18"/>
                      <w:szCs w:val="18"/>
                      <w:lang w:val="zh-CN"/>
                    </w:rPr>
                    <w:t>排放量</w:t>
                  </w:r>
                  <w:r>
                    <w:rPr>
                      <w:color w:val="auto"/>
                      <w:sz w:val="18"/>
                      <w:szCs w:val="18"/>
                    </w:rPr>
                    <w:t>t/a</w:t>
                  </w:r>
                </w:p>
              </w:tc>
              <w:tc>
                <w:tcPr>
                  <w:tcW w:w="1417" w:type="dxa"/>
                  <w:vAlign w:val="center"/>
                </w:tcPr>
                <w:p w14:paraId="77533D2D">
                  <w:pPr>
                    <w:jc w:val="center"/>
                    <w:rPr>
                      <w:color w:val="auto"/>
                      <w:sz w:val="18"/>
                      <w:szCs w:val="18"/>
                    </w:rPr>
                  </w:pPr>
                  <w:r>
                    <w:rPr>
                      <w:rFonts w:hint="eastAsia"/>
                      <w:color w:val="auto"/>
                      <w:sz w:val="18"/>
                      <w:szCs w:val="18"/>
                      <w:lang w:val="zh-CN"/>
                    </w:rPr>
                    <w:t>最终排放量</w:t>
                  </w:r>
                  <w:r>
                    <w:rPr>
                      <w:color w:val="auto"/>
                      <w:sz w:val="18"/>
                      <w:szCs w:val="18"/>
                    </w:rPr>
                    <w:t>t/a</w:t>
                  </w:r>
                </w:p>
              </w:tc>
            </w:tr>
            <w:tr w14:paraId="6EA8BCC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97" w:hRule="atLeast"/>
                <w:jc w:val="center"/>
              </w:trPr>
              <w:tc>
                <w:tcPr>
                  <w:tcW w:w="578" w:type="dxa"/>
                  <w:vMerge w:val="restart"/>
                  <w:vAlign w:val="center"/>
                </w:tcPr>
                <w:p w14:paraId="04EB6147">
                  <w:pPr>
                    <w:jc w:val="center"/>
                    <w:rPr>
                      <w:color w:val="auto"/>
                      <w:sz w:val="18"/>
                      <w:szCs w:val="18"/>
                    </w:rPr>
                  </w:pPr>
                  <w:r>
                    <w:rPr>
                      <w:rFonts w:hint="eastAsia"/>
                      <w:color w:val="auto"/>
                      <w:sz w:val="18"/>
                      <w:szCs w:val="18"/>
                    </w:rPr>
                    <w:t>废水</w:t>
                  </w:r>
                </w:p>
              </w:tc>
              <w:tc>
                <w:tcPr>
                  <w:tcW w:w="1732" w:type="dxa"/>
                  <w:vAlign w:val="center"/>
                </w:tcPr>
                <w:p w14:paraId="21E1AFC0">
                  <w:pPr>
                    <w:jc w:val="center"/>
                    <w:rPr>
                      <w:color w:val="auto"/>
                      <w:sz w:val="18"/>
                      <w:szCs w:val="18"/>
                    </w:rPr>
                  </w:pPr>
                  <w:r>
                    <w:rPr>
                      <w:rFonts w:hint="eastAsia"/>
                      <w:color w:val="auto"/>
                      <w:sz w:val="18"/>
                      <w:szCs w:val="18"/>
                    </w:rPr>
                    <w:t>废水量</w:t>
                  </w:r>
                </w:p>
              </w:tc>
              <w:tc>
                <w:tcPr>
                  <w:tcW w:w="1597" w:type="dxa"/>
                  <w:vAlign w:val="center"/>
                </w:tcPr>
                <w:p w14:paraId="235E395B">
                  <w:pPr>
                    <w:jc w:val="center"/>
                    <w:rPr>
                      <w:rFonts w:hint="default" w:eastAsia="宋体"/>
                      <w:color w:val="auto"/>
                      <w:sz w:val="18"/>
                      <w:szCs w:val="18"/>
                      <w:lang w:val="en-US" w:eastAsia="zh-CN"/>
                    </w:rPr>
                  </w:pPr>
                  <w:r>
                    <w:rPr>
                      <w:rFonts w:hint="eastAsia"/>
                      <w:color w:val="auto"/>
                      <w:sz w:val="18"/>
                      <w:szCs w:val="18"/>
                      <w:lang w:val="en-US" w:eastAsia="zh-CN"/>
                    </w:rPr>
                    <w:t>460</w:t>
                  </w:r>
                </w:p>
              </w:tc>
              <w:tc>
                <w:tcPr>
                  <w:tcW w:w="1297" w:type="dxa"/>
                  <w:vAlign w:val="center"/>
                </w:tcPr>
                <w:p w14:paraId="71E7A54B">
                  <w:pPr>
                    <w:jc w:val="center"/>
                    <w:rPr>
                      <w:color w:val="auto"/>
                      <w:sz w:val="18"/>
                      <w:szCs w:val="18"/>
                    </w:rPr>
                  </w:pPr>
                  <w:r>
                    <w:rPr>
                      <w:rFonts w:hint="eastAsia"/>
                      <w:color w:val="auto"/>
                      <w:sz w:val="18"/>
                      <w:szCs w:val="18"/>
                    </w:rPr>
                    <w:t>0</w:t>
                  </w:r>
                </w:p>
              </w:tc>
              <w:tc>
                <w:tcPr>
                  <w:tcW w:w="1297" w:type="dxa"/>
                  <w:vAlign w:val="center"/>
                </w:tcPr>
                <w:p w14:paraId="331CDBA2">
                  <w:pPr>
                    <w:jc w:val="center"/>
                    <w:rPr>
                      <w:rFonts w:hint="default" w:eastAsia="宋体"/>
                      <w:color w:val="auto"/>
                      <w:sz w:val="18"/>
                      <w:szCs w:val="18"/>
                      <w:lang w:val="en-US" w:eastAsia="zh-CN"/>
                    </w:rPr>
                  </w:pPr>
                  <w:r>
                    <w:rPr>
                      <w:rFonts w:hint="eastAsia"/>
                      <w:color w:val="auto"/>
                      <w:sz w:val="18"/>
                      <w:szCs w:val="18"/>
                      <w:lang w:val="en-US" w:eastAsia="zh-CN"/>
                    </w:rPr>
                    <w:t>460</w:t>
                  </w:r>
                </w:p>
              </w:tc>
              <w:tc>
                <w:tcPr>
                  <w:tcW w:w="1417" w:type="dxa"/>
                  <w:vAlign w:val="center"/>
                </w:tcPr>
                <w:p w14:paraId="221B94F2">
                  <w:pPr>
                    <w:jc w:val="center"/>
                    <w:rPr>
                      <w:rFonts w:hint="default"/>
                      <w:color w:val="auto"/>
                      <w:sz w:val="18"/>
                      <w:szCs w:val="18"/>
                      <w:lang w:val="en-US"/>
                    </w:rPr>
                  </w:pPr>
                  <w:r>
                    <w:rPr>
                      <w:rFonts w:hint="eastAsia"/>
                      <w:color w:val="auto"/>
                      <w:sz w:val="18"/>
                      <w:szCs w:val="18"/>
                      <w:lang w:val="en-US" w:eastAsia="zh-CN"/>
                    </w:rPr>
                    <w:t>460</w:t>
                  </w:r>
                </w:p>
              </w:tc>
            </w:tr>
            <w:tr w14:paraId="7A3A903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78" w:type="dxa"/>
                  <w:vMerge w:val="continue"/>
                  <w:vAlign w:val="center"/>
                </w:tcPr>
                <w:p w14:paraId="0B26E077">
                  <w:pPr>
                    <w:jc w:val="center"/>
                    <w:rPr>
                      <w:color w:val="auto"/>
                      <w:sz w:val="18"/>
                      <w:szCs w:val="18"/>
                    </w:rPr>
                  </w:pPr>
                </w:p>
              </w:tc>
              <w:tc>
                <w:tcPr>
                  <w:tcW w:w="1732" w:type="dxa"/>
                  <w:vAlign w:val="center"/>
                </w:tcPr>
                <w:p w14:paraId="468243F8">
                  <w:pPr>
                    <w:jc w:val="center"/>
                    <w:rPr>
                      <w:color w:val="auto"/>
                      <w:sz w:val="18"/>
                      <w:szCs w:val="18"/>
                    </w:rPr>
                  </w:pPr>
                  <w:r>
                    <w:rPr>
                      <w:rFonts w:hint="eastAsia"/>
                      <w:color w:val="auto"/>
                      <w:sz w:val="18"/>
                      <w:szCs w:val="18"/>
                    </w:rPr>
                    <w:t>COD</w:t>
                  </w:r>
                </w:p>
              </w:tc>
              <w:tc>
                <w:tcPr>
                  <w:tcW w:w="1597" w:type="dxa"/>
                  <w:vAlign w:val="center"/>
                </w:tcPr>
                <w:p w14:paraId="62434BA8">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0.161</w:t>
                  </w:r>
                </w:p>
              </w:tc>
              <w:tc>
                <w:tcPr>
                  <w:tcW w:w="1297" w:type="dxa"/>
                  <w:vAlign w:val="center"/>
                </w:tcPr>
                <w:p w14:paraId="643C3F1C">
                  <w:pPr>
                    <w:jc w:val="center"/>
                    <w:textAlignment w:val="center"/>
                    <w:rPr>
                      <w:rFonts w:hint="default" w:ascii="Times New Roman" w:hAnsi="Times New Roman" w:eastAsia="宋体" w:cs="Times New Roman"/>
                      <w:kern w:val="0"/>
                      <w:sz w:val="18"/>
                      <w:szCs w:val="18"/>
                      <w:lang w:val="en-US" w:eastAsia="zh-CN" w:bidi="ar"/>
                    </w:rPr>
                  </w:pPr>
                  <w:r>
                    <w:rPr>
                      <w:rFonts w:hint="eastAsia" w:cs="Times New Roman"/>
                      <w:kern w:val="0"/>
                      <w:sz w:val="18"/>
                      <w:szCs w:val="18"/>
                      <w:lang w:val="en-US" w:eastAsia="zh-CN" w:bidi="ar"/>
                    </w:rPr>
                    <w:t>0.023</w:t>
                  </w:r>
                </w:p>
              </w:tc>
              <w:tc>
                <w:tcPr>
                  <w:tcW w:w="1297" w:type="dxa"/>
                  <w:vAlign w:val="center"/>
                </w:tcPr>
                <w:p w14:paraId="1B2B5ACA">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0.138</w:t>
                  </w:r>
                </w:p>
              </w:tc>
              <w:tc>
                <w:tcPr>
                  <w:tcW w:w="1417" w:type="dxa"/>
                  <w:vAlign w:val="center"/>
                </w:tcPr>
                <w:p w14:paraId="0E2A3A57">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0.023</w:t>
                  </w:r>
                </w:p>
              </w:tc>
            </w:tr>
            <w:tr w14:paraId="68AEB2C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97" w:hRule="atLeast"/>
                <w:jc w:val="center"/>
              </w:trPr>
              <w:tc>
                <w:tcPr>
                  <w:tcW w:w="578" w:type="dxa"/>
                  <w:vMerge w:val="continue"/>
                  <w:vAlign w:val="center"/>
                </w:tcPr>
                <w:p w14:paraId="2A27C00D">
                  <w:pPr>
                    <w:jc w:val="center"/>
                    <w:rPr>
                      <w:color w:val="auto"/>
                      <w:sz w:val="18"/>
                      <w:szCs w:val="18"/>
                    </w:rPr>
                  </w:pPr>
                </w:p>
              </w:tc>
              <w:tc>
                <w:tcPr>
                  <w:tcW w:w="1732" w:type="dxa"/>
                  <w:vAlign w:val="center"/>
                </w:tcPr>
                <w:p w14:paraId="268B634E">
                  <w:pPr>
                    <w:jc w:val="center"/>
                    <w:rPr>
                      <w:color w:val="auto"/>
                      <w:sz w:val="18"/>
                      <w:szCs w:val="18"/>
                    </w:rPr>
                  </w:pPr>
                  <w:r>
                    <w:rPr>
                      <w:rFonts w:hint="eastAsia"/>
                      <w:color w:val="auto"/>
                      <w:sz w:val="18"/>
                      <w:szCs w:val="18"/>
                    </w:rPr>
                    <w:t>SS</w:t>
                  </w:r>
                </w:p>
              </w:tc>
              <w:tc>
                <w:tcPr>
                  <w:tcW w:w="1597" w:type="dxa"/>
                  <w:vAlign w:val="center"/>
                </w:tcPr>
                <w:p w14:paraId="5F668F08">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0.092</w:t>
                  </w:r>
                </w:p>
              </w:tc>
              <w:tc>
                <w:tcPr>
                  <w:tcW w:w="1297" w:type="dxa"/>
                  <w:vAlign w:val="center"/>
                </w:tcPr>
                <w:p w14:paraId="6C2F9613">
                  <w:pPr>
                    <w:jc w:val="center"/>
                    <w:textAlignment w:val="center"/>
                    <w:rPr>
                      <w:rFonts w:hint="default" w:ascii="Times New Roman" w:hAnsi="Times New Roman" w:eastAsia="宋体" w:cs="Times New Roman"/>
                      <w:kern w:val="0"/>
                      <w:sz w:val="18"/>
                      <w:szCs w:val="18"/>
                      <w:lang w:val="en-US" w:eastAsia="zh-CN" w:bidi="ar"/>
                    </w:rPr>
                  </w:pPr>
                  <w:r>
                    <w:rPr>
                      <w:rFonts w:hint="eastAsia" w:cs="Times New Roman"/>
                      <w:kern w:val="0"/>
                      <w:sz w:val="18"/>
                      <w:szCs w:val="18"/>
                      <w:lang w:val="en-US" w:eastAsia="zh-CN" w:bidi="ar"/>
                    </w:rPr>
                    <w:t>0.023</w:t>
                  </w:r>
                </w:p>
              </w:tc>
              <w:tc>
                <w:tcPr>
                  <w:tcW w:w="1297" w:type="dxa"/>
                  <w:vAlign w:val="center"/>
                </w:tcPr>
                <w:p w14:paraId="3CF2CD2C">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0.069</w:t>
                  </w:r>
                </w:p>
              </w:tc>
              <w:tc>
                <w:tcPr>
                  <w:tcW w:w="1417" w:type="dxa"/>
                  <w:vAlign w:val="center"/>
                </w:tcPr>
                <w:p w14:paraId="42CA9F8F">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0.0046</w:t>
                  </w:r>
                </w:p>
              </w:tc>
            </w:tr>
            <w:tr w14:paraId="127A212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78" w:type="dxa"/>
                  <w:vMerge w:val="continue"/>
                  <w:vAlign w:val="center"/>
                </w:tcPr>
                <w:p w14:paraId="12423604">
                  <w:pPr>
                    <w:jc w:val="center"/>
                    <w:rPr>
                      <w:color w:val="auto"/>
                      <w:sz w:val="18"/>
                      <w:szCs w:val="18"/>
                    </w:rPr>
                  </w:pPr>
                </w:p>
              </w:tc>
              <w:tc>
                <w:tcPr>
                  <w:tcW w:w="1732" w:type="dxa"/>
                  <w:vAlign w:val="center"/>
                </w:tcPr>
                <w:p w14:paraId="5B28617C">
                  <w:pPr>
                    <w:jc w:val="center"/>
                    <w:rPr>
                      <w:color w:val="auto"/>
                      <w:sz w:val="18"/>
                      <w:szCs w:val="18"/>
                    </w:rPr>
                  </w:pPr>
                  <w:r>
                    <w:rPr>
                      <w:rFonts w:hint="eastAsia"/>
                      <w:color w:val="auto"/>
                      <w:sz w:val="18"/>
                      <w:szCs w:val="18"/>
                    </w:rPr>
                    <w:t>NH</w:t>
                  </w:r>
                  <w:r>
                    <w:rPr>
                      <w:rFonts w:hint="eastAsia"/>
                      <w:color w:val="auto"/>
                      <w:sz w:val="18"/>
                      <w:szCs w:val="18"/>
                      <w:vertAlign w:val="subscript"/>
                    </w:rPr>
                    <w:t>3</w:t>
                  </w:r>
                  <w:r>
                    <w:rPr>
                      <w:rFonts w:hint="eastAsia"/>
                      <w:color w:val="auto"/>
                      <w:sz w:val="18"/>
                      <w:szCs w:val="18"/>
                    </w:rPr>
                    <w:t>-N</w:t>
                  </w:r>
                </w:p>
              </w:tc>
              <w:tc>
                <w:tcPr>
                  <w:tcW w:w="1597" w:type="dxa"/>
                  <w:vAlign w:val="center"/>
                </w:tcPr>
                <w:p w14:paraId="11A97E79">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0.0125</w:t>
                  </w:r>
                </w:p>
              </w:tc>
              <w:tc>
                <w:tcPr>
                  <w:tcW w:w="1297" w:type="dxa"/>
                  <w:vAlign w:val="center"/>
                </w:tcPr>
                <w:p w14:paraId="216E31ED">
                  <w:pPr>
                    <w:jc w:val="center"/>
                    <w:textAlignment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w:t>
                  </w:r>
                </w:p>
              </w:tc>
              <w:tc>
                <w:tcPr>
                  <w:tcW w:w="1297" w:type="dxa"/>
                  <w:vAlign w:val="center"/>
                </w:tcPr>
                <w:p w14:paraId="247F2632">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0.0125</w:t>
                  </w:r>
                </w:p>
              </w:tc>
              <w:tc>
                <w:tcPr>
                  <w:tcW w:w="1417" w:type="dxa"/>
                  <w:vAlign w:val="center"/>
                </w:tcPr>
                <w:p w14:paraId="25D4DE6F">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0.0023</w:t>
                  </w:r>
                </w:p>
              </w:tc>
            </w:tr>
            <w:tr w14:paraId="1FFFE97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78" w:type="dxa"/>
                  <w:vMerge w:val="continue"/>
                  <w:vAlign w:val="center"/>
                </w:tcPr>
                <w:p w14:paraId="4D248B62">
                  <w:pPr>
                    <w:jc w:val="center"/>
                    <w:rPr>
                      <w:color w:val="auto"/>
                      <w:sz w:val="18"/>
                      <w:szCs w:val="18"/>
                    </w:rPr>
                  </w:pPr>
                </w:p>
              </w:tc>
              <w:tc>
                <w:tcPr>
                  <w:tcW w:w="1732" w:type="dxa"/>
                  <w:vAlign w:val="center"/>
                </w:tcPr>
                <w:p w14:paraId="57D0E223">
                  <w:pPr>
                    <w:jc w:val="center"/>
                    <w:rPr>
                      <w:color w:val="auto"/>
                      <w:sz w:val="18"/>
                      <w:szCs w:val="18"/>
                    </w:rPr>
                  </w:pPr>
                  <w:r>
                    <w:rPr>
                      <w:rFonts w:hint="eastAsia"/>
                      <w:color w:val="auto"/>
                      <w:sz w:val="18"/>
                      <w:szCs w:val="18"/>
                    </w:rPr>
                    <w:t>TP</w:t>
                  </w:r>
                </w:p>
              </w:tc>
              <w:tc>
                <w:tcPr>
                  <w:tcW w:w="1597" w:type="dxa"/>
                  <w:vAlign w:val="center"/>
                </w:tcPr>
                <w:p w14:paraId="68278AE1">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0.0017</w:t>
                  </w:r>
                </w:p>
              </w:tc>
              <w:tc>
                <w:tcPr>
                  <w:tcW w:w="1297" w:type="dxa"/>
                  <w:vAlign w:val="center"/>
                </w:tcPr>
                <w:p w14:paraId="607AD1AC">
                  <w:pPr>
                    <w:jc w:val="center"/>
                    <w:textAlignment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w:t>
                  </w:r>
                </w:p>
              </w:tc>
              <w:tc>
                <w:tcPr>
                  <w:tcW w:w="1297" w:type="dxa"/>
                  <w:vAlign w:val="center"/>
                </w:tcPr>
                <w:p w14:paraId="5BC9683A">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0.0017</w:t>
                  </w:r>
                </w:p>
              </w:tc>
              <w:tc>
                <w:tcPr>
                  <w:tcW w:w="1417" w:type="dxa"/>
                  <w:vAlign w:val="center"/>
                </w:tcPr>
                <w:p w14:paraId="6DC759EC">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0.0002</w:t>
                  </w:r>
                </w:p>
              </w:tc>
            </w:tr>
            <w:tr w14:paraId="6840734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78" w:type="dxa"/>
                  <w:vMerge w:val="continue"/>
                  <w:vAlign w:val="center"/>
                </w:tcPr>
                <w:p w14:paraId="4CBEB6E8">
                  <w:pPr>
                    <w:jc w:val="center"/>
                    <w:rPr>
                      <w:color w:val="auto"/>
                      <w:sz w:val="18"/>
                      <w:szCs w:val="18"/>
                    </w:rPr>
                  </w:pPr>
                </w:p>
              </w:tc>
              <w:tc>
                <w:tcPr>
                  <w:tcW w:w="1732" w:type="dxa"/>
                  <w:vAlign w:val="center"/>
                </w:tcPr>
                <w:p w14:paraId="4C4FBCC5">
                  <w:pPr>
                    <w:jc w:val="center"/>
                    <w:rPr>
                      <w:color w:val="auto"/>
                      <w:sz w:val="18"/>
                      <w:szCs w:val="18"/>
                    </w:rPr>
                  </w:pPr>
                  <w:r>
                    <w:rPr>
                      <w:rFonts w:hint="eastAsia"/>
                      <w:color w:val="auto"/>
                      <w:sz w:val="18"/>
                      <w:szCs w:val="18"/>
                    </w:rPr>
                    <w:t>TN</w:t>
                  </w:r>
                </w:p>
              </w:tc>
              <w:tc>
                <w:tcPr>
                  <w:tcW w:w="1597" w:type="dxa"/>
                  <w:vAlign w:val="center"/>
                </w:tcPr>
                <w:p w14:paraId="4A1ACB21">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0.0148</w:t>
                  </w:r>
                </w:p>
              </w:tc>
              <w:tc>
                <w:tcPr>
                  <w:tcW w:w="1297" w:type="dxa"/>
                  <w:vAlign w:val="center"/>
                </w:tcPr>
                <w:p w14:paraId="55681FE7">
                  <w:pPr>
                    <w:jc w:val="center"/>
                    <w:textAlignment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w:t>
                  </w:r>
                </w:p>
              </w:tc>
              <w:tc>
                <w:tcPr>
                  <w:tcW w:w="1297" w:type="dxa"/>
                  <w:vAlign w:val="center"/>
                </w:tcPr>
                <w:p w14:paraId="27A46726">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0.0148</w:t>
                  </w:r>
                </w:p>
              </w:tc>
              <w:tc>
                <w:tcPr>
                  <w:tcW w:w="1417" w:type="dxa"/>
                  <w:vAlign w:val="center"/>
                </w:tcPr>
                <w:p w14:paraId="1E9E701E">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0.0069</w:t>
                  </w:r>
                </w:p>
              </w:tc>
            </w:tr>
            <w:tr w14:paraId="4EC105A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78" w:type="dxa"/>
                  <w:vMerge w:val="continue"/>
                  <w:vAlign w:val="center"/>
                </w:tcPr>
                <w:p w14:paraId="76FB141F">
                  <w:pPr>
                    <w:jc w:val="center"/>
                    <w:rPr>
                      <w:color w:val="auto"/>
                      <w:sz w:val="18"/>
                      <w:szCs w:val="18"/>
                    </w:rPr>
                  </w:pPr>
                </w:p>
              </w:tc>
              <w:tc>
                <w:tcPr>
                  <w:tcW w:w="1732" w:type="dxa"/>
                  <w:vAlign w:val="center"/>
                </w:tcPr>
                <w:p w14:paraId="4A553803">
                  <w:pPr>
                    <w:jc w:val="center"/>
                    <w:rPr>
                      <w:rFonts w:hint="eastAsia" w:eastAsia="宋体"/>
                      <w:color w:val="auto"/>
                      <w:sz w:val="18"/>
                      <w:szCs w:val="18"/>
                      <w:lang w:eastAsia="zh-CN"/>
                    </w:rPr>
                  </w:pPr>
                  <w:r>
                    <w:rPr>
                      <w:rFonts w:hint="eastAsia"/>
                      <w:color w:val="auto"/>
                      <w:sz w:val="18"/>
                      <w:szCs w:val="18"/>
                      <w:lang w:eastAsia="zh-CN"/>
                    </w:rPr>
                    <w:t>动植物油</w:t>
                  </w:r>
                </w:p>
              </w:tc>
              <w:tc>
                <w:tcPr>
                  <w:tcW w:w="1597" w:type="dxa"/>
                  <w:vAlign w:val="center"/>
                </w:tcPr>
                <w:p w14:paraId="3D3E441B">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0.016</w:t>
                  </w:r>
                </w:p>
              </w:tc>
              <w:tc>
                <w:tcPr>
                  <w:tcW w:w="1297" w:type="dxa"/>
                  <w:vAlign w:val="center"/>
                </w:tcPr>
                <w:p w14:paraId="2FAEEB45">
                  <w:pPr>
                    <w:jc w:val="center"/>
                    <w:textAlignment w:val="center"/>
                    <w:rPr>
                      <w:rFonts w:hint="default" w:ascii="Times New Roman" w:hAnsi="Times New Roman" w:eastAsia="宋体" w:cs="Times New Roman"/>
                      <w:kern w:val="0"/>
                      <w:sz w:val="18"/>
                      <w:szCs w:val="18"/>
                      <w:lang w:val="en-US" w:eastAsia="zh-CN" w:bidi="ar"/>
                    </w:rPr>
                  </w:pPr>
                  <w:r>
                    <w:rPr>
                      <w:rFonts w:hint="eastAsia" w:cs="Times New Roman"/>
                      <w:kern w:val="0"/>
                      <w:sz w:val="18"/>
                      <w:szCs w:val="18"/>
                      <w:lang w:val="en-US" w:eastAsia="zh-CN" w:bidi="ar"/>
                    </w:rPr>
                    <w:t>0.008</w:t>
                  </w:r>
                </w:p>
              </w:tc>
              <w:tc>
                <w:tcPr>
                  <w:tcW w:w="1297" w:type="dxa"/>
                  <w:vAlign w:val="center"/>
                </w:tcPr>
                <w:p w14:paraId="271B597B">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0.008</w:t>
                  </w:r>
                </w:p>
              </w:tc>
              <w:tc>
                <w:tcPr>
                  <w:tcW w:w="1417" w:type="dxa"/>
                  <w:vAlign w:val="center"/>
                </w:tcPr>
                <w:p w14:paraId="2577B686">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0.0005</w:t>
                  </w:r>
                </w:p>
              </w:tc>
            </w:tr>
            <w:tr w14:paraId="6677396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2" w:hRule="atLeast"/>
                <w:jc w:val="center"/>
              </w:trPr>
              <w:tc>
                <w:tcPr>
                  <w:tcW w:w="578" w:type="dxa"/>
                  <w:vMerge w:val="restart"/>
                  <w:vAlign w:val="center"/>
                </w:tcPr>
                <w:p w14:paraId="1C63A86D">
                  <w:pPr>
                    <w:jc w:val="center"/>
                    <w:rPr>
                      <w:color w:val="auto"/>
                      <w:sz w:val="18"/>
                      <w:szCs w:val="18"/>
                    </w:rPr>
                  </w:pPr>
                  <w:r>
                    <w:rPr>
                      <w:rFonts w:hint="eastAsia"/>
                      <w:color w:val="auto"/>
                      <w:sz w:val="18"/>
                      <w:szCs w:val="18"/>
                    </w:rPr>
                    <w:t>固废</w:t>
                  </w:r>
                </w:p>
              </w:tc>
              <w:tc>
                <w:tcPr>
                  <w:tcW w:w="1732" w:type="dxa"/>
                  <w:vAlign w:val="center"/>
                </w:tcPr>
                <w:p w14:paraId="639B5038">
                  <w:pPr>
                    <w:jc w:val="center"/>
                    <w:rPr>
                      <w:color w:val="auto"/>
                      <w:sz w:val="18"/>
                      <w:szCs w:val="18"/>
                    </w:rPr>
                  </w:pPr>
                  <w:r>
                    <w:rPr>
                      <w:rFonts w:hint="eastAsia"/>
                      <w:color w:val="auto"/>
                      <w:sz w:val="18"/>
                      <w:szCs w:val="18"/>
                    </w:rPr>
                    <w:t>一般工业固废</w:t>
                  </w:r>
                </w:p>
              </w:tc>
              <w:tc>
                <w:tcPr>
                  <w:tcW w:w="1597" w:type="dxa"/>
                  <w:vAlign w:val="center"/>
                </w:tcPr>
                <w:p w14:paraId="25AD5383">
                  <w:pPr>
                    <w:jc w:val="center"/>
                    <w:rPr>
                      <w:rFonts w:hint="default" w:eastAsia="宋体"/>
                      <w:color w:val="auto"/>
                      <w:sz w:val="18"/>
                      <w:szCs w:val="18"/>
                      <w:lang w:val="en-US" w:eastAsia="zh-CN"/>
                    </w:rPr>
                  </w:pPr>
                  <w:r>
                    <w:rPr>
                      <w:rFonts w:hint="eastAsia"/>
                      <w:color w:val="auto"/>
                      <w:sz w:val="18"/>
                      <w:szCs w:val="18"/>
                      <w:lang w:val="en-US" w:eastAsia="zh-CN"/>
                    </w:rPr>
                    <w:t>7500</w:t>
                  </w:r>
                </w:p>
              </w:tc>
              <w:tc>
                <w:tcPr>
                  <w:tcW w:w="1297" w:type="dxa"/>
                  <w:vAlign w:val="center"/>
                </w:tcPr>
                <w:p w14:paraId="32DB0B6D">
                  <w:pPr>
                    <w:jc w:val="center"/>
                    <w:rPr>
                      <w:rFonts w:hint="default" w:eastAsia="宋体"/>
                      <w:color w:val="auto"/>
                      <w:sz w:val="18"/>
                      <w:szCs w:val="18"/>
                      <w:lang w:val="en-US" w:eastAsia="zh-CN"/>
                    </w:rPr>
                  </w:pPr>
                  <w:r>
                    <w:rPr>
                      <w:rFonts w:hint="eastAsia"/>
                      <w:color w:val="auto"/>
                      <w:sz w:val="18"/>
                      <w:szCs w:val="18"/>
                      <w:lang w:val="en-US" w:eastAsia="zh-CN"/>
                    </w:rPr>
                    <w:t>7500</w:t>
                  </w:r>
                </w:p>
              </w:tc>
              <w:tc>
                <w:tcPr>
                  <w:tcW w:w="1297" w:type="dxa"/>
                  <w:vAlign w:val="center"/>
                </w:tcPr>
                <w:p w14:paraId="609A5CC4">
                  <w:pPr>
                    <w:jc w:val="center"/>
                    <w:rPr>
                      <w:color w:val="auto"/>
                      <w:sz w:val="18"/>
                      <w:szCs w:val="18"/>
                    </w:rPr>
                  </w:pPr>
                  <w:r>
                    <w:rPr>
                      <w:rFonts w:hint="eastAsia"/>
                      <w:color w:val="auto"/>
                      <w:sz w:val="18"/>
                      <w:szCs w:val="18"/>
                    </w:rPr>
                    <w:t>0</w:t>
                  </w:r>
                </w:p>
              </w:tc>
              <w:tc>
                <w:tcPr>
                  <w:tcW w:w="1417" w:type="dxa"/>
                  <w:vAlign w:val="center"/>
                </w:tcPr>
                <w:p w14:paraId="4BA9AFED">
                  <w:pPr>
                    <w:jc w:val="center"/>
                    <w:rPr>
                      <w:color w:val="auto"/>
                      <w:sz w:val="18"/>
                      <w:szCs w:val="18"/>
                    </w:rPr>
                  </w:pPr>
                  <w:r>
                    <w:rPr>
                      <w:rFonts w:hint="eastAsia"/>
                      <w:color w:val="auto"/>
                      <w:sz w:val="18"/>
                      <w:szCs w:val="18"/>
                    </w:rPr>
                    <w:t>0</w:t>
                  </w:r>
                </w:p>
              </w:tc>
            </w:tr>
            <w:tr w14:paraId="6B9DFCE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578" w:type="dxa"/>
                  <w:vMerge w:val="continue"/>
                  <w:vAlign w:val="center"/>
                </w:tcPr>
                <w:p w14:paraId="47009240">
                  <w:pPr>
                    <w:jc w:val="center"/>
                    <w:rPr>
                      <w:color w:val="auto"/>
                      <w:sz w:val="18"/>
                      <w:szCs w:val="18"/>
                    </w:rPr>
                  </w:pPr>
                </w:p>
              </w:tc>
              <w:tc>
                <w:tcPr>
                  <w:tcW w:w="1732" w:type="dxa"/>
                  <w:vAlign w:val="center"/>
                </w:tcPr>
                <w:p w14:paraId="4BCBDA50">
                  <w:pPr>
                    <w:jc w:val="center"/>
                    <w:rPr>
                      <w:color w:val="auto"/>
                      <w:sz w:val="18"/>
                      <w:szCs w:val="18"/>
                    </w:rPr>
                  </w:pPr>
                  <w:r>
                    <w:rPr>
                      <w:rFonts w:hint="eastAsia"/>
                      <w:color w:val="auto"/>
                      <w:sz w:val="18"/>
                      <w:szCs w:val="18"/>
                    </w:rPr>
                    <w:t>危险固废</w:t>
                  </w:r>
                </w:p>
              </w:tc>
              <w:tc>
                <w:tcPr>
                  <w:tcW w:w="1597" w:type="dxa"/>
                  <w:vAlign w:val="center"/>
                </w:tcPr>
                <w:p w14:paraId="7B515A04">
                  <w:pPr>
                    <w:jc w:val="center"/>
                    <w:rPr>
                      <w:rFonts w:hint="default" w:eastAsia="宋体"/>
                      <w:color w:val="auto"/>
                      <w:sz w:val="18"/>
                      <w:szCs w:val="18"/>
                      <w:lang w:val="en-US" w:eastAsia="zh-CN"/>
                    </w:rPr>
                  </w:pPr>
                  <w:r>
                    <w:rPr>
                      <w:rFonts w:hint="eastAsia"/>
                      <w:color w:val="auto"/>
                      <w:sz w:val="18"/>
                      <w:szCs w:val="18"/>
                      <w:lang w:val="en-US" w:eastAsia="zh-CN"/>
                    </w:rPr>
                    <w:t>1.5</w:t>
                  </w:r>
                </w:p>
              </w:tc>
              <w:tc>
                <w:tcPr>
                  <w:tcW w:w="1297" w:type="dxa"/>
                  <w:vAlign w:val="center"/>
                </w:tcPr>
                <w:p w14:paraId="486DBFB9">
                  <w:pPr>
                    <w:jc w:val="center"/>
                    <w:rPr>
                      <w:rFonts w:hint="default" w:eastAsia="宋体"/>
                      <w:color w:val="auto"/>
                      <w:sz w:val="18"/>
                      <w:szCs w:val="18"/>
                      <w:lang w:val="en-US" w:eastAsia="zh-CN"/>
                    </w:rPr>
                  </w:pPr>
                  <w:r>
                    <w:rPr>
                      <w:rFonts w:hint="eastAsia"/>
                      <w:color w:val="auto"/>
                      <w:sz w:val="18"/>
                      <w:szCs w:val="18"/>
                      <w:lang w:val="en-US" w:eastAsia="zh-CN"/>
                    </w:rPr>
                    <w:t>1.5</w:t>
                  </w:r>
                </w:p>
              </w:tc>
              <w:tc>
                <w:tcPr>
                  <w:tcW w:w="1297" w:type="dxa"/>
                  <w:vAlign w:val="center"/>
                </w:tcPr>
                <w:p w14:paraId="2CB25023">
                  <w:pPr>
                    <w:jc w:val="center"/>
                    <w:rPr>
                      <w:color w:val="auto"/>
                      <w:sz w:val="18"/>
                      <w:szCs w:val="18"/>
                    </w:rPr>
                  </w:pPr>
                  <w:r>
                    <w:rPr>
                      <w:rFonts w:hint="eastAsia"/>
                      <w:color w:val="auto"/>
                      <w:sz w:val="18"/>
                      <w:szCs w:val="18"/>
                    </w:rPr>
                    <w:t>0</w:t>
                  </w:r>
                </w:p>
              </w:tc>
              <w:tc>
                <w:tcPr>
                  <w:tcW w:w="1417" w:type="dxa"/>
                  <w:vAlign w:val="center"/>
                </w:tcPr>
                <w:p w14:paraId="6ABC927E">
                  <w:pPr>
                    <w:jc w:val="center"/>
                    <w:rPr>
                      <w:color w:val="auto"/>
                      <w:sz w:val="18"/>
                      <w:szCs w:val="18"/>
                    </w:rPr>
                  </w:pPr>
                  <w:r>
                    <w:rPr>
                      <w:rFonts w:hint="eastAsia"/>
                      <w:color w:val="auto"/>
                      <w:sz w:val="18"/>
                      <w:szCs w:val="18"/>
                    </w:rPr>
                    <w:t>0</w:t>
                  </w:r>
                </w:p>
              </w:tc>
            </w:tr>
            <w:tr w14:paraId="4823C1C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578" w:type="dxa"/>
                  <w:vMerge w:val="continue"/>
                  <w:vAlign w:val="center"/>
                </w:tcPr>
                <w:p w14:paraId="3D84468E">
                  <w:pPr>
                    <w:jc w:val="center"/>
                    <w:rPr>
                      <w:color w:val="auto"/>
                      <w:sz w:val="18"/>
                      <w:szCs w:val="18"/>
                    </w:rPr>
                  </w:pPr>
                </w:p>
              </w:tc>
              <w:tc>
                <w:tcPr>
                  <w:tcW w:w="1732" w:type="dxa"/>
                  <w:vAlign w:val="center"/>
                </w:tcPr>
                <w:p w14:paraId="60719DC6">
                  <w:pPr>
                    <w:jc w:val="center"/>
                    <w:rPr>
                      <w:color w:val="auto"/>
                      <w:sz w:val="18"/>
                      <w:szCs w:val="18"/>
                    </w:rPr>
                  </w:pPr>
                  <w:r>
                    <w:rPr>
                      <w:rFonts w:hint="eastAsia"/>
                      <w:color w:val="auto"/>
                      <w:sz w:val="18"/>
                      <w:szCs w:val="18"/>
                    </w:rPr>
                    <w:t>生活垃圾</w:t>
                  </w:r>
                </w:p>
              </w:tc>
              <w:tc>
                <w:tcPr>
                  <w:tcW w:w="1597" w:type="dxa"/>
                  <w:vAlign w:val="center"/>
                </w:tcPr>
                <w:p w14:paraId="036CD66E">
                  <w:pPr>
                    <w:jc w:val="center"/>
                    <w:rPr>
                      <w:rFonts w:hint="default" w:eastAsia="宋体"/>
                      <w:color w:val="auto"/>
                      <w:sz w:val="18"/>
                      <w:szCs w:val="18"/>
                      <w:lang w:val="en-US" w:eastAsia="zh-CN"/>
                    </w:rPr>
                  </w:pPr>
                  <w:r>
                    <w:rPr>
                      <w:rFonts w:hint="eastAsia"/>
                      <w:color w:val="auto"/>
                      <w:sz w:val="18"/>
                      <w:szCs w:val="18"/>
                      <w:lang w:val="en-US" w:eastAsia="zh-CN"/>
                    </w:rPr>
                    <w:t>4.5</w:t>
                  </w:r>
                </w:p>
              </w:tc>
              <w:tc>
                <w:tcPr>
                  <w:tcW w:w="1297" w:type="dxa"/>
                  <w:vAlign w:val="center"/>
                </w:tcPr>
                <w:p w14:paraId="1CCDDD22">
                  <w:pPr>
                    <w:jc w:val="center"/>
                    <w:rPr>
                      <w:rFonts w:hint="default" w:eastAsia="宋体"/>
                      <w:color w:val="auto"/>
                      <w:sz w:val="18"/>
                      <w:szCs w:val="18"/>
                      <w:lang w:val="en-US" w:eastAsia="zh-CN"/>
                    </w:rPr>
                  </w:pPr>
                  <w:r>
                    <w:rPr>
                      <w:rFonts w:hint="eastAsia"/>
                      <w:color w:val="auto"/>
                      <w:sz w:val="18"/>
                      <w:szCs w:val="18"/>
                      <w:lang w:val="en-US" w:eastAsia="zh-CN"/>
                    </w:rPr>
                    <w:t>4.5</w:t>
                  </w:r>
                </w:p>
              </w:tc>
              <w:tc>
                <w:tcPr>
                  <w:tcW w:w="1297" w:type="dxa"/>
                  <w:vAlign w:val="center"/>
                </w:tcPr>
                <w:p w14:paraId="2C68AC8A">
                  <w:pPr>
                    <w:jc w:val="center"/>
                    <w:rPr>
                      <w:color w:val="auto"/>
                      <w:sz w:val="18"/>
                      <w:szCs w:val="18"/>
                    </w:rPr>
                  </w:pPr>
                  <w:r>
                    <w:rPr>
                      <w:rFonts w:hint="eastAsia"/>
                      <w:color w:val="auto"/>
                      <w:sz w:val="18"/>
                      <w:szCs w:val="18"/>
                    </w:rPr>
                    <w:t>0</w:t>
                  </w:r>
                </w:p>
              </w:tc>
              <w:tc>
                <w:tcPr>
                  <w:tcW w:w="1417" w:type="dxa"/>
                  <w:vAlign w:val="center"/>
                </w:tcPr>
                <w:p w14:paraId="061E7D5B">
                  <w:pPr>
                    <w:jc w:val="center"/>
                    <w:rPr>
                      <w:color w:val="auto"/>
                      <w:sz w:val="18"/>
                      <w:szCs w:val="18"/>
                    </w:rPr>
                  </w:pPr>
                  <w:r>
                    <w:rPr>
                      <w:rFonts w:hint="eastAsia"/>
                      <w:color w:val="auto"/>
                      <w:sz w:val="18"/>
                      <w:szCs w:val="18"/>
                    </w:rPr>
                    <w:t>0</w:t>
                  </w:r>
                </w:p>
              </w:tc>
            </w:tr>
          </w:tbl>
          <w:p w14:paraId="3931FB9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color w:val="auto"/>
                <w:szCs w:val="21"/>
              </w:rPr>
            </w:pPr>
            <w:r>
              <w:rPr>
                <w:rFonts w:hint="eastAsia"/>
                <w:color w:val="auto"/>
                <w:szCs w:val="21"/>
              </w:rPr>
              <w:t>2、总量控制指标</w:t>
            </w:r>
          </w:p>
          <w:p w14:paraId="593D734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color w:val="auto"/>
                <w:szCs w:val="21"/>
              </w:rPr>
            </w:pPr>
            <w:r>
              <w:rPr>
                <w:rFonts w:hint="eastAsia"/>
                <w:color w:val="auto"/>
                <w:szCs w:val="21"/>
              </w:rPr>
              <w:t>根据《关于印发〈关于进一步优化建设项目排污总量指标管理提升环评审批效能意见（试行）的通知（通环办）〔2023〕</w:t>
            </w:r>
            <w:r>
              <w:rPr>
                <w:rFonts w:hint="eastAsia"/>
                <w:color w:val="auto"/>
                <w:szCs w:val="21"/>
                <w:lang w:val="en-US" w:eastAsia="zh-CN"/>
              </w:rPr>
              <w:t>132</w:t>
            </w:r>
            <w:r>
              <w:rPr>
                <w:rFonts w:hint="eastAsia"/>
                <w:color w:val="auto"/>
                <w:szCs w:val="21"/>
              </w:rPr>
              <w:t>号》的要求，重点管理或简化管理的排污单位办理《建设项目主要污染物排放总量指标预报单》，作为环评报告必备附件，并在排污许可证申领前，通过交易获得环评批复的新增排污总量指标。总量指标主要污染物种类为化学需氧量、氨氮、总氮、总磷、二氧化硫、氮氧化物、烟粉尘、挥发性有机物、重点重金属九种。结合项目排污特征，确定废水总量控制因子：化学需氧量、氨氮、总氮、总磷。</w:t>
            </w:r>
          </w:p>
          <w:p w14:paraId="6847ABD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color w:val="auto"/>
                <w:szCs w:val="21"/>
              </w:rPr>
            </w:pPr>
            <w:r>
              <w:rPr>
                <w:rFonts w:hint="eastAsia"/>
                <w:color w:val="auto"/>
                <w:szCs w:val="21"/>
              </w:rPr>
              <w:t>水污染物：项目废水排放量为</w:t>
            </w:r>
            <w:r>
              <w:rPr>
                <w:rFonts w:hint="eastAsia"/>
                <w:color w:val="auto"/>
                <w:szCs w:val="21"/>
                <w:lang w:val="en-US" w:eastAsia="zh-CN"/>
              </w:rPr>
              <w:t>460</w:t>
            </w:r>
            <w:r>
              <w:rPr>
                <w:rFonts w:hint="eastAsia"/>
                <w:color w:val="auto"/>
                <w:szCs w:val="21"/>
              </w:rPr>
              <w:t>t/a，污染物排放量：化学需氧量：</w:t>
            </w:r>
            <w:r>
              <w:rPr>
                <w:rFonts w:hint="eastAsia"/>
                <w:color w:val="auto"/>
                <w:szCs w:val="21"/>
                <w:lang w:val="en-US" w:eastAsia="zh-CN"/>
              </w:rPr>
              <w:t>0.138</w:t>
            </w:r>
            <w:r>
              <w:rPr>
                <w:rFonts w:hint="eastAsia"/>
                <w:color w:val="auto"/>
                <w:szCs w:val="21"/>
              </w:rPr>
              <w:t>t/a、氨氮：</w:t>
            </w:r>
            <w:r>
              <w:rPr>
                <w:rFonts w:hint="eastAsia"/>
                <w:color w:val="auto"/>
                <w:szCs w:val="21"/>
                <w:lang w:val="en-US" w:eastAsia="zh-CN"/>
              </w:rPr>
              <w:t>0.0125</w:t>
            </w:r>
            <w:r>
              <w:rPr>
                <w:rFonts w:hint="eastAsia"/>
                <w:color w:val="auto"/>
                <w:szCs w:val="21"/>
              </w:rPr>
              <w:t>t/a、总磷：</w:t>
            </w:r>
            <w:r>
              <w:rPr>
                <w:rFonts w:hint="eastAsia"/>
                <w:color w:val="auto"/>
                <w:szCs w:val="21"/>
                <w:lang w:val="en-US" w:eastAsia="zh-CN"/>
              </w:rPr>
              <w:t>0.0017</w:t>
            </w:r>
            <w:r>
              <w:rPr>
                <w:rFonts w:hint="eastAsia"/>
                <w:color w:val="auto"/>
                <w:szCs w:val="21"/>
              </w:rPr>
              <w:t>t/a、总氮：</w:t>
            </w:r>
            <w:r>
              <w:rPr>
                <w:rFonts w:hint="eastAsia"/>
                <w:color w:val="auto"/>
                <w:szCs w:val="21"/>
                <w:lang w:val="en-US" w:eastAsia="zh-CN"/>
              </w:rPr>
              <w:t>0.0148</w:t>
            </w:r>
            <w:r>
              <w:rPr>
                <w:rFonts w:hint="eastAsia"/>
                <w:color w:val="auto"/>
                <w:szCs w:val="21"/>
              </w:rPr>
              <w:t>t/a。</w:t>
            </w:r>
          </w:p>
          <w:p w14:paraId="66ABC1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color w:val="auto"/>
                <w:szCs w:val="21"/>
              </w:rPr>
            </w:pPr>
            <w:r>
              <w:rPr>
                <w:rFonts w:hint="eastAsia"/>
                <w:color w:val="auto"/>
                <w:szCs w:val="21"/>
                <w:lang w:eastAsia="zh-CN"/>
              </w:rPr>
              <w:t>联合水务（启东）有限公司</w:t>
            </w:r>
            <w:r>
              <w:rPr>
                <w:rFonts w:hint="eastAsia"/>
                <w:color w:val="auto"/>
                <w:szCs w:val="21"/>
              </w:rPr>
              <w:t>对污水进行深度处理后，污染物最终排入环境量：化学需氧量：</w:t>
            </w:r>
            <w:r>
              <w:rPr>
                <w:rFonts w:hint="eastAsia"/>
                <w:color w:val="auto"/>
                <w:szCs w:val="21"/>
                <w:lang w:val="en-US" w:eastAsia="zh-CN"/>
              </w:rPr>
              <w:t>0.023</w:t>
            </w:r>
            <w:r>
              <w:rPr>
                <w:rFonts w:hint="eastAsia"/>
                <w:color w:val="auto"/>
                <w:szCs w:val="21"/>
              </w:rPr>
              <w:t>t/a、氨氮：</w:t>
            </w:r>
            <w:r>
              <w:rPr>
                <w:rFonts w:hint="eastAsia"/>
                <w:color w:val="auto"/>
                <w:szCs w:val="21"/>
                <w:lang w:val="en-US" w:eastAsia="zh-CN"/>
              </w:rPr>
              <w:t>0.0023</w:t>
            </w:r>
            <w:r>
              <w:rPr>
                <w:rFonts w:hint="eastAsia"/>
                <w:color w:val="auto"/>
                <w:szCs w:val="21"/>
              </w:rPr>
              <w:t>t/a、总磷：0.00</w:t>
            </w:r>
            <w:r>
              <w:rPr>
                <w:rFonts w:hint="eastAsia"/>
                <w:color w:val="auto"/>
                <w:szCs w:val="21"/>
                <w:lang w:val="en-US" w:eastAsia="zh-CN"/>
              </w:rPr>
              <w:t>02</w:t>
            </w:r>
            <w:r>
              <w:rPr>
                <w:rFonts w:hint="eastAsia"/>
                <w:color w:val="auto"/>
                <w:szCs w:val="21"/>
              </w:rPr>
              <w:t>t/a、总氮：0.0</w:t>
            </w:r>
            <w:r>
              <w:rPr>
                <w:rFonts w:hint="eastAsia"/>
                <w:color w:val="auto"/>
                <w:szCs w:val="21"/>
                <w:lang w:val="en-US" w:eastAsia="zh-CN"/>
              </w:rPr>
              <w:t>069</w:t>
            </w:r>
            <w:r>
              <w:rPr>
                <w:rFonts w:hint="eastAsia"/>
                <w:color w:val="auto"/>
                <w:szCs w:val="21"/>
              </w:rPr>
              <w:t>t/a。</w:t>
            </w:r>
          </w:p>
          <w:p w14:paraId="589350D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color w:val="auto"/>
                <w:szCs w:val="21"/>
              </w:rPr>
            </w:pPr>
            <w:r>
              <w:rPr>
                <w:rFonts w:hint="eastAsia"/>
                <w:color w:val="auto"/>
                <w:szCs w:val="21"/>
              </w:rPr>
              <w:t>3）固体废物：“零”排放，无需申请总量。</w:t>
            </w:r>
          </w:p>
          <w:p w14:paraId="71A0270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color w:val="auto"/>
                <w:szCs w:val="21"/>
              </w:rPr>
            </w:pPr>
            <w:r>
              <w:rPr>
                <w:rFonts w:hint="eastAsia"/>
                <w:color w:val="auto"/>
                <w:szCs w:val="21"/>
              </w:rPr>
              <w:t>3、排污权交易</w:t>
            </w:r>
          </w:p>
          <w:p w14:paraId="51FF8ED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pPr>
            <w:r>
              <w:rPr>
                <w:rFonts w:hint="eastAsia"/>
                <w:color w:val="auto"/>
                <w:szCs w:val="21"/>
              </w:rPr>
              <w:t>根据《固定源排污许可分类管理名录》（2019 版），项目属于“四十五、生态保护和环境治理业77—环境治理业772—专业从事一般工业固体废物贮存、处置（含焚烧发电）的，为重点管理</w:t>
            </w:r>
            <w:r>
              <w:rPr>
                <w:rFonts w:hint="eastAsia"/>
                <w:szCs w:val="21"/>
              </w:rPr>
              <w:t xml:space="preserve">。根据《排污许可证申请与核发技术规范 </w:t>
            </w:r>
            <w:r>
              <w:rPr>
                <w:rFonts w:hint="eastAsia"/>
                <w:szCs w:val="21"/>
                <w:lang w:eastAsia="zh-CN"/>
              </w:rPr>
              <w:t>工业固体废物和危险废物治理</w:t>
            </w:r>
            <w:r>
              <w:rPr>
                <w:rFonts w:hint="eastAsia"/>
                <w:szCs w:val="21"/>
              </w:rPr>
              <w:t>》（HJ942-2018）等文件对污染物总量控制要求，</w:t>
            </w:r>
            <w:r>
              <w:rPr>
                <w:rFonts w:hint="eastAsia"/>
                <w:szCs w:val="21"/>
                <w:lang w:eastAsia="zh-CN"/>
              </w:rPr>
              <w:t>项目仅生活污水，因此</w:t>
            </w:r>
            <w:r>
              <w:rPr>
                <w:rFonts w:hint="eastAsia"/>
                <w:szCs w:val="21"/>
              </w:rPr>
              <w:t>项目</w:t>
            </w:r>
            <w:r>
              <w:rPr>
                <w:rFonts w:hint="eastAsia"/>
                <w:szCs w:val="21"/>
                <w:lang w:eastAsia="zh-CN"/>
              </w:rPr>
              <w:t>不</w:t>
            </w:r>
            <w:r>
              <w:rPr>
                <w:rFonts w:hint="eastAsia"/>
                <w:szCs w:val="21"/>
              </w:rPr>
              <w:t>许可排放总量</w:t>
            </w:r>
            <w:r>
              <w:rPr>
                <w:rFonts w:hint="eastAsia"/>
                <w:szCs w:val="21"/>
                <w:lang w:eastAsia="zh-CN"/>
              </w:rPr>
              <w:t>，无需</w:t>
            </w:r>
            <w:r>
              <w:rPr>
                <w:rFonts w:hint="eastAsia"/>
                <w:szCs w:val="21"/>
              </w:rPr>
              <w:t>许可排放浓度，</w:t>
            </w:r>
            <w:r>
              <w:rPr>
                <w:rFonts w:hint="eastAsia"/>
                <w:szCs w:val="21"/>
                <w:lang w:eastAsia="zh-CN"/>
              </w:rPr>
              <w:t>无需进行</w:t>
            </w:r>
            <w:r>
              <w:rPr>
                <w:rFonts w:hint="eastAsia"/>
                <w:szCs w:val="21"/>
              </w:rPr>
              <w:t>排污权交易。</w:t>
            </w:r>
          </w:p>
        </w:tc>
      </w:tr>
    </w:tbl>
    <w:p w14:paraId="5CC3D059">
      <w:pPr>
        <w:spacing w:before="156" w:beforeLines="50" w:after="156" w:afterLines="50"/>
        <w:jc w:val="center"/>
        <w:outlineLvl w:val="0"/>
        <w:rPr>
          <w:rFonts w:eastAsia="黑体"/>
          <w:sz w:val="30"/>
          <w:szCs w:val="30"/>
        </w:rPr>
      </w:pPr>
      <w:r>
        <w:rPr>
          <w:rFonts w:eastAsia="黑体"/>
          <w:sz w:val="30"/>
          <w:szCs w:val="30"/>
        </w:rPr>
        <w:t>四、主要环境影响和保护措施</w:t>
      </w:r>
    </w:p>
    <w:tbl>
      <w:tblPr>
        <w:tblStyle w:val="2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8175"/>
      </w:tblGrid>
      <w:tr w14:paraId="37EF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0" w:hRule="atLeast"/>
          <w:jc w:val="center"/>
        </w:trPr>
        <w:tc>
          <w:tcPr>
            <w:tcW w:w="885" w:type="dxa"/>
          </w:tcPr>
          <w:p w14:paraId="64A2BB06">
            <w:pPr>
              <w:widowControl/>
              <w:jc w:val="center"/>
              <w:rPr>
                <w:color w:val="000000"/>
                <w:kern w:val="0"/>
                <w:sz w:val="24"/>
                <w:lang w:bidi="ar"/>
              </w:rPr>
            </w:pPr>
          </w:p>
          <w:p w14:paraId="1DCEA060">
            <w:pPr>
              <w:widowControl/>
              <w:jc w:val="center"/>
              <w:rPr>
                <w:color w:val="000000"/>
                <w:kern w:val="0"/>
                <w:sz w:val="24"/>
                <w:lang w:bidi="ar"/>
              </w:rPr>
            </w:pPr>
          </w:p>
          <w:p w14:paraId="7CF1CE37">
            <w:pPr>
              <w:widowControl/>
              <w:jc w:val="center"/>
              <w:rPr>
                <w:color w:val="000000"/>
                <w:kern w:val="0"/>
                <w:sz w:val="24"/>
                <w:lang w:bidi="ar"/>
              </w:rPr>
            </w:pPr>
          </w:p>
          <w:p w14:paraId="7E994513">
            <w:pPr>
              <w:widowControl/>
              <w:jc w:val="center"/>
              <w:rPr>
                <w:color w:val="000000"/>
                <w:kern w:val="0"/>
                <w:sz w:val="24"/>
                <w:lang w:bidi="ar"/>
              </w:rPr>
            </w:pPr>
          </w:p>
          <w:p w14:paraId="56E6145C">
            <w:pPr>
              <w:widowControl/>
              <w:jc w:val="center"/>
              <w:rPr>
                <w:color w:val="000000"/>
                <w:kern w:val="0"/>
                <w:sz w:val="24"/>
                <w:lang w:bidi="ar"/>
              </w:rPr>
            </w:pPr>
          </w:p>
          <w:p w14:paraId="1CDA94C7">
            <w:pPr>
              <w:widowControl/>
              <w:jc w:val="center"/>
              <w:rPr>
                <w:color w:val="000000"/>
                <w:kern w:val="0"/>
                <w:sz w:val="24"/>
                <w:lang w:bidi="ar"/>
              </w:rPr>
            </w:pPr>
          </w:p>
          <w:p w14:paraId="546EC5C0">
            <w:pPr>
              <w:widowControl/>
              <w:jc w:val="center"/>
              <w:rPr>
                <w:color w:val="000000"/>
                <w:kern w:val="0"/>
                <w:sz w:val="24"/>
                <w:lang w:bidi="ar"/>
              </w:rPr>
            </w:pPr>
          </w:p>
          <w:p w14:paraId="3CD5101A">
            <w:pPr>
              <w:widowControl/>
              <w:jc w:val="center"/>
              <w:rPr>
                <w:color w:val="000000"/>
                <w:kern w:val="0"/>
                <w:sz w:val="24"/>
                <w:lang w:bidi="ar"/>
              </w:rPr>
            </w:pPr>
          </w:p>
          <w:p w14:paraId="26162C21">
            <w:pPr>
              <w:widowControl/>
              <w:jc w:val="center"/>
              <w:rPr>
                <w:color w:val="000000"/>
                <w:kern w:val="0"/>
                <w:sz w:val="24"/>
                <w:lang w:bidi="ar"/>
              </w:rPr>
            </w:pPr>
          </w:p>
          <w:p w14:paraId="25ED10B3">
            <w:pPr>
              <w:widowControl/>
              <w:jc w:val="center"/>
              <w:rPr>
                <w:color w:val="000000"/>
                <w:kern w:val="0"/>
                <w:sz w:val="24"/>
                <w:lang w:bidi="ar"/>
              </w:rPr>
            </w:pPr>
          </w:p>
          <w:p w14:paraId="24F40EDA">
            <w:pPr>
              <w:widowControl/>
              <w:jc w:val="center"/>
              <w:rPr>
                <w:color w:val="000000"/>
                <w:kern w:val="0"/>
                <w:sz w:val="24"/>
                <w:lang w:bidi="ar"/>
              </w:rPr>
            </w:pPr>
          </w:p>
          <w:p w14:paraId="586FFB98">
            <w:pPr>
              <w:widowControl/>
              <w:jc w:val="center"/>
              <w:rPr>
                <w:color w:val="000000"/>
                <w:kern w:val="0"/>
                <w:sz w:val="24"/>
                <w:lang w:bidi="ar"/>
              </w:rPr>
            </w:pPr>
          </w:p>
          <w:p w14:paraId="2BC69DBB">
            <w:pPr>
              <w:widowControl/>
              <w:jc w:val="center"/>
              <w:rPr>
                <w:color w:val="000000"/>
                <w:kern w:val="0"/>
                <w:sz w:val="24"/>
                <w:lang w:bidi="ar"/>
              </w:rPr>
            </w:pPr>
          </w:p>
          <w:p w14:paraId="483C535D">
            <w:pPr>
              <w:widowControl/>
              <w:rPr>
                <w:color w:val="000000"/>
                <w:kern w:val="0"/>
                <w:sz w:val="24"/>
                <w:lang w:bidi="ar"/>
              </w:rPr>
            </w:pPr>
          </w:p>
          <w:p w14:paraId="71ED2A75">
            <w:pPr>
              <w:widowControl/>
              <w:jc w:val="center"/>
              <w:rPr>
                <w:color w:val="000000"/>
                <w:kern w:val="0"/>
                <w:sz w:val="24"/>
                <w:lang w:bidi="ar"/>
              </w:rPr>
            </w:pPr>
          </w:p>
          <w:p w14:paraId="4E404388">
            <w:pPr>
              <w:widowControl/>
              <w:jc w:val="center"/>
              <w:rPr>
                <w:szCs w:val="21"/>
              </w:rPr>
            </w:pPr>
            <w:r>
              <w:rPr>
                <w:color w:val="000000"/>
                <w:kern w:val="0"/>
                <w:szCs w:val="21"/>
                <w:lang w:bidi="ar"/>
              </w:rPr>
              <w:t>施</w:t>
            </w:r>
          </w:p>
          <w:p w14:paraId="291CED89">
            <w:pPr>
              <w:widowControl/>
              <w:jc w:val="center"/>
              <w:rPr>
                <w:szCs w:val="21"/>
              </w:rPr>
            </w:pPr>
            <w:r>
              <w:rPr>
                <w:color w:val="000000"/>
                <w:kern w:val="0"/>
                <w:szCs w:val="21"/>
                <w:lang w:bidi="ar"/>
              </w:rPr>
              <w:t>工</w:t>
            </w:r>
          </w:p>
          <w:p w14:paraId="121079DB">
            <w:pPr>
              <w:widowControl/>
              <w:jc w:val="center"/>
              <w:rPr>
                <w:szCs w:val="21"/>
              </w:rPr>
            </w:pPr>
            <w:r>
              <w:rPr>
                <w:color w:val="000000"/>
                <w:kern w:val="0"/>
                <w:szCs w:val="21"/>
                <w:lang w:bidi="ar"/>
              </w:rPr>
              <w:t>期</w:t>
            </w:r>
          </w:p>
          <w:p w14:paraId="3B48FB30">
            <w:pPr>
              <w:widowControl/>
              <w:jc w:val="center"/>
              <w:rPr>
                <w:szCs w:val="21"/>
              </w:rPr>
            </w:pPr>
            <w:r>
              <w:rPr>
                <w:color w:val="000000"/>
                <w:kern w:val="0"/>
                <w:szCs w:val="21"/>
                <w:lang w:bidi="ar"/>
              </w:rPr>
              <w:t>环</w:t>
            </w:r>
          </w:p>
          <w:p w14:paraId="4277A47D">
            <w:pPr>
              <w:widowControl/>
              <w:jc w:val="center"/>
              <w:rPr>
                <w:szCs w:val="21"/>
              </w:rPr>
            </w:pPr>
            <w:r>
              <w:rPr>
                <w:color w:val="000000"/>
                <w:kern w:val="0"/>
                <w:szCs w:val="21"/>
                <w:lang w:bidi="ar"/>
              </w:rPr>
              <w:t>境</w:t>
            </w:r>
          </w:p>
          <w:p w14:paraId="5ACB3886">
            <w:pPr>
              <w:widowControl/>
              <w:jc w:val="center"/>
              <w:rPr>
                <w:szCs w:val="21"/>
              </w:rPr>
            </w:pPr>
            <w:r>
              <w:rPr>
                <w:color w:val="000000"/>
                <w:kern w:val="0"/>
                <w:szCs w:val="21"/>
                <w:lang w:bidi="ar"/>
              </w:rPr>
              <w:t>保</w:t>
            </w:r>
          </w:p>
          <w:p w14:paraId="61A4E012">
            <w:pPr>
              <w:widowControl/>
              <w:jc w:val="center"/>
              <w:rPr>
                <w:szCs w:val="21"/>
              </w:rPr>
            </w:pPr>
            <w:r>
              <w:rPr>
                <w:color w:val="000000"/>
                <w:kern w:val="0"/>
                <w:szCs w:val="21"/>
                <w:lang w:bidi="ar"/>
              </w:rPr>
              <w:t>护</w:t>
            </w:r>
          </w:p>
          <w:p w14:paraId="322B5E7C">
            <w:pPr>
              <w:widowControl/>
              <w:jc w:val="center"/>
              <w:rPr>
                <w:szCs w:val="21"/>
              </w:rPr>
            </w:pPr>
            <w:r>
              <w:rPr>
                <w:color w:val="000000"/>
                <w:kern w:val="0"/>
                <w:szCs w:val="21"/>
                <w:lang w:bidi="ar"/>
              </w:rPr>
              <w:t>措</w:t>
            </w:r>
          </w:p>
          <w:p w14:paraId="2569ED87">
            <w:pPr>
              <w:widowControl/>
              <w:jc w:val="center"/>
              <w:rPr>
                <w:szCs w:val="21"/>
              </w:rPr>
            </w:pPr>
            <w:r>
              <w:rPr>
                <w:color w:val="000000"/>
                <w:kern w:val="0"/>
                <w:szCs w:val="21"/>
                <w:lang w:bidi="ar"/>
              </w:rPr>
              <w:t>施</w:t>
            </w:r>
          </w:p>
          <w:p w14:paraId="49181635">
            <w:pPr>
              <w:pStyle w:val="2"/>
              <w:rPr>
                <w:rFonts w:ascii="Times New Roman" w:hAnsi="Times New Roman"/>
              </w:rPr>
            </w:pPr>
          </w:p>
        </w:tc>
        <w:tc>
          <w:tcPr>
            <w:tcW w:w="8175" w:type="dxa"/>
          </w:tcPr>
          <w:p w14:paraId="656B1F70">
            <w:pPr>
              <w:spacing w:line="500" w:lineRule="exact"/>
              <w:ind w:firstLine="420" w:firstLineChars="200"/>
              <w:rPr>
                <w:rFonts w:hint="eastAsia" w:eastAsia="宋体"/>
                <w:lang w:eastAsia="zh-CN"/>
              </w:rPr>
            </w:pPr>
            <w:r>
              <w:rPr>
                <w:rFonts w:hint="eastAsia"/>
                <w:bCs/>
                <w:szCs w:val="21"/>
                <w:lang w:eastAsia="zh-CN"/>
              </w:rPr>
              <w:t>本项目利用现有厂房，施工期主要为设备安装、调试，不涉及土建，对周围环境的影响较小。</w:t>
            </w:r>
          </w:p>
          <w:p w14:paraId="5AD275B9">
            <w:pPr>
              <w:spacing w:line="500" w:lineRule="exact"/>
              <w:ind w:firstLine="420" w:firstLineChars="200"/>
              <w:rPr>
                <w:rFonts w:hint="eastAsia" w:eastAsia="宋体"/>
                <w:lang w:eastAsia="zh-CN"/>
              </w:rPr>
            </w:pPr>
          </w:p>
          <w:p w14:paraId="57CF4A21">
            <w:pPr>
              <w:spacing w:line="500" w:lineRule="exact"/>
              <w:ind w:firstLine="420" w:firstLineChars="200"/>
            </w:pPr>
          </w:p>
          <w:p w14:paraId="00CAE7B6">
            <w:pPr>
              <w:spacing w:line="500" w:lineRule="exact"/>
            </w:pPr>
          </w:p>
        </w:tc>
      </w:tr>
    </w:tbl>
    <w:p w14:paraId="080AB65B">
      <w:pPr>
        <w:pStyle w:val="2"/>
        <w:rPr>
          <w:rFonts w:ascii="Times New Roman" w:hAnsi="Times New Roman"/>
        </w:rPr>
        <w:sectPr>
          <w:footerReference r:id="rId6" w:type="default"/>
          <w:pgSz w:w="11906" w:h="16838"/>
          <w:pgMar w:top="1587" w:right="1531" w:bottom="1587" w:left="1531" w:header="851" w:footer="992" w:gutter="0"/>
          <w:pgBorders>
            <w:top w:val="none" w:sz="0" w:space="0"/>
            <w:left w:val="none" w:sz="0" w:space="0"/>
            <w:bottom w:val="none" w:sz="0" w:space="0"/>
            <w:right w:val="none" w:sz="0" w:space="0"/>
          </w:pgBorders>
          <w:pgNumType w:start="1"/>
          <w:cols w:space="425" w:num="1"/>
          <w:docGrid w:type="lines" w:linePitch="312" w:charSpace="0"/>
        </w:sectPr>
      </w:pP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24"/>
      </w:tblGrid>
      <w:tr w14:paraId="3DB54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49" w:hRule="atLeast"/>
          <w:jc w:val="center"/>
        </w:trPr>
        <w:tc>
          <w:tcPr>
            <w:tcW w:w="746" w:type="dxa"/>
            <w:tcMar>
              <w:left w:w="28" w:type="dxa"/>
              <w:right w:w="28" w:type="dxa"/>
            </w:tcMar>
            <w:vAlign w:val="center"/>
          </w:tcPr>
          <w:p w14:paraId="784FA6B0">
            <w:pPr>
              <w:adjustRightInd w:val="0"/>
              <w:snapToGrid w:val="0"/>
              <w:jc w:val="center"/>
              <w:rPr>
                <w:rFonts w:ascii="宋体" w:hAnsi="宋体" w:cs="宋体"/>
                <w:bCs/>
                <w:color w:val="auto"/>
                <w:szCs w:val="21"/>
              </w:rPr>
            </w:pPr>
            <w:r>
              <w:rPr>
                <w:rFonts w:hint="eastAsia" w:ascii="宋体" w:hAnsi="宋体" w:cs="宋体"/>
                <w:bCs/>
                <w:color w:val="auto"/>
                <w:szCs w:val="21"/>
              </w:rPr>
              <w:t>运营</w:t>
            </w:r>
          </w:p>
          <w:p w14:paraId="44CB5E24">
            <w:pPr>
              <w:adjustRightInd w:val="0"/>
              <w:snapToGrid w:val="0"/>
              <w:jc w:val="center"/>
              <w:rPr>
                <w:rFonts w:ascii="宋体" w:hAnsi="宋体" w:cs="宋体"/>
                <w:bCs/>
                <w:color w:val="auto"/>
                <w:szCs w:val="21"/>
              </w:rPr>
            </w:pPr>
            <w:r>
              <w:rPr>
                <w:rFonts w:hint="eastAsia" w:ascii="宋体" w:hAnsi="宋体" w:cs="宋体"/>
                <w:bCs/>
                <w:color w:val="auto"/>
                <w:szCs w:val="21"/>
              </w:rPr>
              <w:t>期环</w:t>
            </w:r>
          </w:p>
          <w:p w14:paraId="783447A3">
            <w:pPr>
              <w:adjustRightInd w:val="0"/>
              <w:snapToGrid w:val="0"/>
              <w:jc w:val="center"/>
              <w:rPr>
                <w:rFonts w:ascii="宋体" w:hAnsi="宋体" w:cs="宋体"/>
                <w:bCs/>
                <w:color w:val="auto"/>
                <w:szCs w:val="21"/>
              </w:rPr>
            </w:pPr>
            <w:r>
              <w:rPr>
                <w:rFonts w:hint="eastAsia" w:ascii="宋体" w:hAnsi="宋体" w:cs="宋体"/>
                <w:bCs/>
                <w:color w:val="auto"/>
                <w:szCs w:val="21"/>
              </w:rPr>
              <w:t>境影</w:t>
            </w:r>
          </w:p>
          <w:p w14:paraId="3F86B656">
            <w:pPr>
              <w:adjustRightInd w:val="0"/>
              <w:snapToGrid w:val="0"/>
              <w:jc w:val="center"/>
              <w:rPr>
                <w:rFonts w:ascii="宋体" w:hAnsi="宋体" w:cs="宋体"/>
                <w:bCs/>
                <w:color w:val="auto"/>
                <w:szCs w:val="21"/>
              </w:rPr>
            </w:pPr>
            <w:r>
              <w:rPr>
                <w:rFonts w:hint="eastAsia" w:ascii="宋体" w:hAnsi="宋体" w:cs="宋体"/>
                <w:bCs/>
                <w:color w:val="auto"/>
                <w:szCs w:val="21"/>
              </w:rPr>
              <w:t>响和</w:t>
            </w:r>
          </w:p>
          <w:p w14:paraId="0501981B">
            <w:pPr>
              <w:adjustRightInd w:val="0"/>
              <w:snapToGrid w:val="0"/>
              <w:jc w:val="center"/>
              <w:rPr>
                <w:rFonts w:ascii="宋体" w:hAnsi="宋体" w:cs="宋体"/>
                <w:bCs/>
                <w:color w:val="auto"/>
                <w:szCs w:val="21"/>
              </w:rPr>
            </w:pPr>
            <w:r>
              <w:rPr>
                <w:rFonts w:hint="eastAsia" w:ascii="宋体" w:hAnsi="宋体" w:cs="宋体"/>
                <w:bCs/>
                <w:color w:val="auto"/>
                <w:szCs w:val="21"/>
              </w:rPr>
              <w:t>保护</w:t>
            </w:r>
          </w:p>
          <w:p w14:paraId="029E56DC">
            <w:pPr>
              <w:adjustRightInd w:val="0"/>
              <w:snapToGrid w:val="0"/>
              <w:jc w:val="center"/>
              <w:rPr>
                <w:rFonts w:ascii="宋体" w:hAnsi="宋体" w:cs="宋体"/>
                <w:bCs/>
                <w:color w:val="auto"/>
                <w:szCs w:val="21"/>
              </w:rPr>
            </w:pPr>
            <w:r>
              <w:rPr>
                <w:rFonts w:hint="eastAsia" w:ascii="宋体" w:hAnsi="宋体" w:cs="宋体"/>
                <w:bCs/>
                <w:color w:val="auto"/>
                <w:szCs w:val="21"/>
              </w:rPr>
              <w:t>措施</w:t>
            </w:r>
          </w:p>
        </w:tc>
        <w:tc>
          <w:tcPr>
            <w:tcW w:w="8124" w:type="dxa"/>
            <w:vAlign w:val="center"/>
          </w:tcPr>
          <w:p w14:paraId="66BFD6AC">
            <w:pPr>
              <w:adjustRightInd w:val="0"/>
              <w:snapToGrid w:val="0"/>
              <w:spacing w:line="500" w:lineRule="exact"/>
              <w:rPr>
                <w:b/>
                <w:bCs/>
              </w:rPr>
            </w:pPr>
            <w:r>
              <w:rPr>
                <w:rFonts w:hint="eastAsia"/>
                <w:b/>
                <w:bCs/>
              </w:rPr>
              <w:t>一、废气</w:t>
            </w:r>
          </w:p>
          <w:p w14:paraId="267379EF">
            <w:pPr>
              <w:adjustRightInd w:val="0"/>
              <w:snapToGrid w:val="0"/>
              <w:spacing w:line="500" w:lineRule="exact"/>
              <w:jc w:val="center"/>
              <w:rPr>
                <w:b/>
                <w:bCs/>
              </w:rPr>
            </w:pPr>
            <w:r>
              <w:rPr>
                <w:b/>
                <w:bCs/>
              </w:rPr>
              <w:t>表</w:t>
            </w:r>
            <w:r>
              <w:rPr>
                <w:rFonts w:hint="eastAsia"/>
                <w:b/>
                <w:bCs/>
              </w:rPr>
              <w:t>4-</w:t>
            </w:r>
            <w:r>
              <w:rPr>
                <w:rFonts w:hint="eastAsia"/>
                <w:b/>
                <w:bCs/>
                <w:lang w:val="en-US" w:eastAsia="zh-CN"/>
              </w:rPr>
              <w:t>8</w:t>
            </w:r>
            <w:r>
              <w:rPr>
                <w:rFonts w:hint="eastAsia"/>
                <w:b/>
                <w:bCs/>
              </w:rPr>
              <w:t xml:space="preserve"> </w:t>
            </w:r>
            <w:r>
              <w:rPr>
                <w:b/>
                <w:bCs/>
              </w:rPr>
              <w:t>项目废气污染物源强情况</w:t>
            </w:r>
          </w:p>
          <w:tbl>
            <w:tblPr>
              <w:tblStyle w:val="19"/>
              <w:tblW w:w="8003"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Layout w:type="fixed"/>
              <w:tblCellMar>
                <w:top w:w="0" w:type="dxa"/>
                <w:left w:w="108" w:type="dxa"/>
                <w:bottom w:w="0" w:type="dxa"/>
                <w:right w:w="108" w:type="dxa"/>
              </w:tblCellMar>
            </w:tblPr>
            <w:tblGrid>
              <w:gridCol w:w="401"/>
              <w:gridCol w:w="367"/>
              <w:gridCol w:w="458"/>
              <w:gridCol w:w="423"/>
              <w:gridCol w:w="350"/>
              <w:gridCol w:w="340"/>
              <w:gridCol w:w="348"/>
              <w:gridCol w:w="509"/>
              <w:gridCol w:w="414"/>
              <w:gridCol w:w="354"/>
              <w:gridCol w:w="385"/>
              <w:gridCol w:w="587"/>
              <w:gridCol w:w="637"/>
              <w:gridCol w:w="607"/>
              <w:gridCol w:w="502"/>
              <w:gridCol w:w="585"/>
              <w:gridCol w:w="375"/>
              <w:gridCol w:w="361"/>
            </w:tblGrid>
            <w:tr w14:paraId="702EAD42">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108" w:type="dxa"/>
                  <w:bottom w:w="0" w:type="dxa"/>
                  <w:right w:w="108" w:type="dxa"/>
                </w:tblCellMar>
              </w:tblPrEx>
              <w:trPr>
                <w:trHeight w:val="603" w:hRule="atLeast"/>
                <w:jc w:val="center"/>
              </w:trPr>
              <w:tc>
                <w:tcPr>
                  <w:tcW w:w="401" w:type="dxa"/>
                  <w:vMerge w:val="restart"/>
                  <w:tcMar>
                    <w:top w:w="15" w:type="dxa"/>
                    <w:left w:w="15" w:type="dxa"/>
                    <w:bottom w:w="15" w:type="dxa"/>
                    <w:right w:w="15" w:type="dxa"/>
                  </w:tcMar>
                  <w:vAlign w:val="center"/>
                </w:tcPr>
                <w:p w14:paraId="1DD85E8B">
                  <w:pPr>
                    <w:jc w:val="center"/>
                    <w:textAlignment w:val="center"/>
                    <w:rPr>
                      <w:sz w:val="18"/>
                      <w:szCs w:val="18"/>
                    </w:rPr>
                  </w:pPr>
                  <w:r>
                    <w:rPr>
                      <w:sz w:val="18"/>
                      <w:szCs w:val="18"/>
                    </w:rPr>
                    <w:t>产污</w:t>
                  </w:r>
                </w:p>
                <w:p w14:paraId="67C23D58">
                  <w:pPr>
                    <w:jc w:val="center"/>
                    <w:textAlignment w:val="center"/>
                    <w:rPr>
                      <w:sz w:val="18"/>
                      <w:szCs w:val="18"/>
                    </w:rPr>
                  </w:pPr>
                  <w:r>
                    <w:rPr>
                      <w:sz w:val="18"/>
                      <w:szCs w:val="18"/>
                    </w:rPr>
                    <w:t>环节</w:t>
                  </w:r>
                </w:p>
              </w:tc>
              <w:tc>
                <w:tcPr>
                  <w:tcW w:w="367" w:type="dxa"/>
                  <w:vMerge w:val="restart"/>
                  <w:tcMar>
                    <w:top w:w="15" w:type="dxa"/>
                    <w:left w:w="15" w:type="dxa"/>
                    <w:bottom w:w="15" w:type="dxa"/>
                    <w:right w:w="15" w:type="dxa"/>
                  </w:tcMar>
                  <w:vAlign w:val="center"/>
                </w:tcPr>
                <w:p w14:paraId="1278AF21">
                  <w:pPr>
                    <w:jc w:val="center"/>
                    <w:textAlignment w:val="center"/>
                    <w:rPr>
                      <w:sz w:val="18"/>
                      <w:szCs w:val="18"/>
                    </w:rPr>
                  </w:pPr>
                  <w:r>
                    <w:rPr>
                      <w:sz w:val="18"/>
                      <w:szCs w:val="18"/>
                    </w:rPr>
                    <w:t>污染物</w:t>
                  </w:r>
                </w:p>
                <w:p w14:paraId="702FCE2A">
                  <w:pPr>
                    <w:jc w:val="center"/>
                    <w:textAlignment w:val="center"/>
                    <w:rPr>
                      <w:sz w:val="18"/>
                      <w:szCs w:val="18"/>
                    </w:rPr>
                  </w:pPr>
                  <w:r>
                    <w:rPr>
                      <w:sz w:val="18"/>
                      <w:szCs w:val="18"/>
                    </w:rPr>
                    <w:t>种类</w:t>
                  </w:r>
                </w:p>
              </w:tc>
              <w:tc>
                <w:tcPr>
                  <w:tcW w:w="1231" w:type="dxa"/>
                  <w:gridSpan w:val="3"/>
                  <w:tcMar>
                    <w:top w:w="15" w:type="dxa"/>
                    <w:left w:w="15" w:type="dxa"/>
                    <w:bottom w:w="15" w:type="dxa"/>
                    <w:right w:w="15" w:type="dxa"/>
                  </w:tcMar>
                  <w:vAlign w:val="center"/>
                </w:tcPr>
                <w:p w14:paraId="2F79127D">
                  <w:pPr>
                    <w:jc w:val="center"/>
                    <w:textAlignment w:val="center"/>
                    <w:rPr>
                      <w:sz w:val="18"/>
                      <w:szCs w:val="18"/>
                    </w:rPr>
                  </w:pPr>
                  <w:r>
                    <w:rPr>
                      <w:sz w:val="18"/>
                      <w:szCs w:val="18"/>
                    </w:rPr>
                    <w:t>污染物产生情况</w:t>
                  </w:r>
                </w:p>
              </w:tc>
              <w:tc>
                <w:tcPr>
                  <w:tcW w:w="340" w:type="dxa"/>
                  <w:vMerge w:val="restart"/>
                  <w:tcMar>
                    <w:top w:w="15" w:type="dxa"/>
                    <w:left w:w="15" w:type="dxa"/>
                    <w:bottom w:w="15" w:type="dxa"/>
                    <w:right w:w="15" w:type="dxa"/>
                  </w:tcMar>
                  <w:vAlign w:val="center"/>
                </w:tcPr>
                <w:p w14:paraId="4B805A01">
                  <w:pPr>
                    <w:jc w:val="center"/>
                    <w:textAlignment w:val="center"/>
                    <w:rPr>
                      <w:sz w:val="18"/>
                      <w:szCs w:val="18"/>
                    </w:rPr>
                  </w:pPr>
                  <w:r>
                    <w:rPr>
                      <w:sz w:val="18"/>
                      <w:szCs w:val="18"/>
                    </w:rPr>
                    <w:t>排放</w:t>
                  </w:r>
                </w:p>
                <w:p w14:paraId="4DE25336">
                  <w:pPr>
                    <w:jc w:val="center"/>
                    <w:textAlignment w:val="center"/>
                    <w:rPr>
                      <w:sz w:val="18"/>
                      <w:szCs w:val="18"/>
                    </w:rPr>
                  </w:pPr>
                  <w:r>
                    <w:rPr>
                      <w:sz w:val="18"/>
                      <w:szCs w:val="18"/>
                    </w:rPr>
                    <w:t>形式</w:t>
                  </w:r>
                </w:p>
              </w:tc>
              <w:tc>
                <w:tcPr>
                  <w:tcW w:w="348" w:type="dxa"/>
                  <w:vMerge w:val="restart"/>
                  <w:tcMar>
                    <w:top w:w="15" w:type="dxa"/>
                    <w:left w:w="15" w:type="dxa"/>
                    <w:bottom w:w="15" w:type="dxa"/>
                    <w:right w:w="15" w:type="dxa"/>
                  </w:tcMar>
                  <w:vAlign w:val="center"/>
                </w:tcPr>
                <w:p w14:paraId="15018D56">
                  <w:pPr>
                    <w:jc w:val="center"/>
                    <w:textAlignment w:val="center"/>
                    <w:rPr>
                      <w:sz w:val="18"/>
                      <w:szCs w:val="18"/>
                    </w:rPr>
                  </w:pPr>
                  <w:r>
                    <w:rPr>
                      <w:sz w:val="18"/>
                      <w:szCs w:val="18"/>
                    </w:rPr>
                    <w:t>排气筒编号</w:t>
                  </w:r>
                </w:p>
              </w:tc>
              <w:tc>
                <w:tcPr>
                  <w:tcW w:w="2249" w:type="dxa"/>
                  <w:gridSpan w:val="5"/>
                  <w:tcMar>
                    <w:top w:w="15" w:type="dxa"/>
                    <w:left w:w="15" w:type="dxa"/>
                    <w:bottom w:w="15" w:type="dxa"/>
                    <w:right w:w="15" w:type="dxa"/>
                  </w:tcMar>
                  <w:vAlign w:val="center"/>
                </w:tcPr>
                <w:p w14:paraId="5BA49969">
                  <w:pPr>
                    <w:jc w:val="center"/>
                    <w:textAlignment w:val="center"/>
                    <w:rPr>
                      <w:sz w:val="18"/>
                      <w:szCs w:val="18"/>
                    </w:rPr>
                  </w:pPr>
                  <w:r>
                    <w:rPr>
                      <w:sz w:val="18"/>
                      <w:szCs w:val="18"/>
                    </w:rPr>
                    <w:t>治理设施情况</w:t>
                  </w:r>
                </w:p>
              </w:tc>
              <w:tc>
                <w:tcPr>
                  <w:tcW w:w="1746" w:type="dxa"/>
                  <w:gridSpan w:val="3"/>
                  <w:vAlign w:val="center"/>
                </w:tcPr>
                <w:p w14:paraId="298E6328">
                  <w:pPr>
                    <w:jc w:val="center"/>
                    <w:textAlignment w:val="center"/>
                    <w:rPr>
                      <w:sz w:val="18"/>
                      <w:szCs w:val="18"/>
                    </w:rPr>
                  </w:pPr>
                  <w:r>
                    <w:rPr>
                      <w:sz w:val="18"/>
                      <w:szCs w:val="18"/>
                    </w:rPr>
                    <w:t>污染物排放情况</w:t>
                  </w:r>
                </w:p>
              </w:tc>
              <w:tc>
                <w:tcPr>
                  <w:tcW w:w="960" w:type="dxa"/>
                  <w:gridSpan w:val="2"/>
                  <w:vAlign w:val="center"/>
                </w:tcPr>
                <w:p w14:paraId="45D660F4">
                  <w:pPr>
                    <w:jc w:val="center"/>
                    <w:textAlignment w:val="center"/>
                    <w:rPr>
                      <w:sz w:val="18"/>
                      <w:szCs w:val="18"/>
                    </w:rPr>
                  </w:pPr>
                  <w:r>
                    <w:rPr>
                      <w:sz w:val="18"/>
                      <w:szCs w:val="18"/>
                    </w:rPr>
                    <w:t>排放标准</w:t>
                  </w:r>
                </w:p>
              </w:tc>
              <w:tc>
                <w:tcPr>
                  <w:tcW w:w="361" w:type="dxa"/>
                  <w:vMerge w:val="restart"/>
                  <w:vAlign w:val="center"/>
                </w:tcPr>
                <w:p w14:paraId="221B9580">
                  <w:pPr>
                    <w:jc w:val="center"/>
                    <w:textAlignment w:val="center"/>
                    <w:rPr>
                      <w:rFonts w:hint="eastAsia" w:eastAsia="宋体"/>
                      <w:sz w:val="18"/>
                      <w:szCs w:val="18"/>
                      <w:lang w:eastAsia="zh-CN"/>
                    </w:rPr>
                  </w:pPr>
                  <w:r>
                    <w:rPr>
                      <w:rFonts w:hint="eastAsia"/>
                      <w:sz w:val="18"/>
                      <w:szCs w:val="18"/>
                      <w:lang w:eastAsia="zh-CN"/>
                    </w:rPr>
                    <w:t>工作时间</w:t>
                  </w:r>
                </w:p>
              </w:tc>
            </w:tr>
            <w:tr w14:paraId="13460220">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108" w:type="dxa"/>
                  <w:bottom w:w="0" w:type="dxa"/>
                  <w:right w:w="108" w:type="dxa"/>
                </w:tblCellMar>
              </w:tblPrEx>
              <w:trPr>
                <w:trHeight w:val="818" w:hRule="atLeast"/>
                <w:jc w:val="center"/>
              </w:trPr>
              <w:tc>
                <w:tcPr>
                  <w:tcW w:w="401" w:type="dxa"/>
                  <w:vMerge w:val="continue"/>
                  <w:tcMar>
                    <w:top w:w="15" w:type="dxa"/>
                    <w:left w:w="15" w:type="dxa"/>
                    <w:bottom w:w="15" w:type="dxa"/>
                    <w:right w:w="15" w:type="dxa"/>
                  </w:tcMar>
                  <w:vAlign w:val="center"/>
                </w:tcPr>
                <w:p w14:paraId="0D72351A">
                  <w:pPr>
                    <w:jc w:val="center"/>
                    <w:textAlignment w:val="center"/>
                    <w:rPr>
                      <w:sz w:val="18"/>
                      <w:szCs w:val="18"/>
                    </w:rPr>
                  </w:pPr>
                </w:p>
              </w:tc>
              <w:tc>
                <w:tcPr>
                  <w:tcW w:w="367" w:type="dxa"/>
                  <w:vMerge w:val="continue"/>
                  <w:tcMar>
                    <w:top w:w="15" w:type="dxa"/>
                    <w:left w:w="15" w:type="dxa"/>
                    <w:bottom w:w="15" w:type="dxa"/>
                    <w:right w:w="15" w:type="dxa"/>
                  </w:tcMar>
                  <w:vAlign w:val="center"/>
                </w:tcPr>
                <w:p w14:paraId="1D68D027">
                  <w:pPr>
                    <w:jc w:val="center"/>
                    <w:textAlignment w:val="center"/>
                    <w:rPr>
                      <w:sz w:val="18"/>
                      <w:szCs w:val="18"/>
                    </w:rPr>
                  </w:pPr>
                </w:p>
              </w:tc>
              <w:tc>
                <w:tcPr>
                  <w:tcW w:w="458" w:type="dxa"/>
                  <w:tcMar>
                    <w:top w:w="15" w:type="dxa"/>
                    <w:left w:w="15" w:type="dxa"/>
                    <w:bottom w:w="15" w:type="dxa"/>
                    <w:right w:w="15" w:type="dxa"/>
                  </w:tcMar>
                  <w:vAlign w:val="center"/>
                </w:tcPr>
                <w:p w14:paraId="11026EDE">
                  <w:pPr>
                    <w:jc w:val="center"/>
                    <w:textAlignment w:val="center"/>
                    <w:rPr>
                      <w:sz w:val="18"/>
                      <w:szCs w:val="18"/>
                    </w:rPr>
                  </w:pPr>
                  <w:r>
                    <w:rPr>
                      <w:sz w:val="18"/>
                      <w:szCs w:val="18"/>
                    </w:rPr>
                    <w:t>产生浓度</w:t>
                  </w:r>
                </w:p>
                <w:p w14:paraId="6216136F">
                  <w:pPr>
                    <w:jc w:val="center"/>
                    <w:textAlignment w:val="center"/>
                    <w:rPr>
                      <w:sz w:val="18"/>
                      <w:szCs w:val="18"/>
                    </w:rPr>
                  </w:pPr>
                  <w:r>
                    <w:rPr>
                      <w:sz w:val="18"/>
                      <w:szCs w:val="18"/>
                    </w:rPr>
                    <w:t>mg/m</w:t>
                  </w:r>
                  <w:r>
                    <w:rPr>
                      <w:sz w:val="18"/>
                      <w:szCs w:val="18"/>
                      <w:vertAlign w:val="superscript"/>
                    </w:rPr>
                    <w:t>3</w:t>
                  </w:r>
                </w:p>
              </w:tc>
              <w:tc>
                <w:tcPr>
                  <w:tcW w:w="423" w:type="dxa"/>
                  <w:tcMar>
                    <w:top w:w="15" w:type="dxa"/>
                    <w:left w:w="15" w:type="dxa"/>
                    <w:bottom w:w="15" w:type="dxa"/>
                    <w:right w:w="15" w:type="dxa"/>
                  </w:tcMar>
                  <w:vAlign w:val="center"/>
                </w:tcPr>
                <w:p w14:paraId="60E114E3">
                  <w:pPr>
                    <w:jc w:val="center"/>
                    <w:textAlignment w:val="center"/>
                    <w:rPr>
                      <w:sz w:val="18"/>
                      <w:szCs w:val="18"/>
                    </w:rPr>
                  </w:pPr>
                  <w:r>
                    <w:rPr>
                      <w:sz w:val="18"/>
                      <w:szCs w:val="18"/>
                    </w:rPr>
                    <w:t>产生速率</w:t>
                  </w:r>
                </w:p>
                <w:p w14:paraId="47A3D55D">
                  <w:pPr>
                    <w:jc w:val="center"/>
                    <w:textAlignment w:val="center"/>
                    <w:rPr>
                      <w:sz w:val="18"/>
                      <w:szCs w:val="18"/>
                    </w:rPr>
                  </w:pPr>
                  <w:r>
                    <w:rPr>
                      <w:sz w:val="18"/>
                      <w:szCs w:val="18"/>
                    </w:rPr>
                    <w:t>kg/h</w:t>
                  </w:r>
                </w:p>
              </w:tc>
              <w:tc>
                <w:tcPr>
                  <w:tcW w:w="350" w:type="dxa"/>
                  <w:tcMar>
                    <w:top w:w="15" w:type="dxa"/>
                    <w:left w:w="15" w:type="dxa"/>
                    <w:bottom w:w="15" w:type="dxa"/>
                    <w:right w:w="15" w:type="dxa"/>
                  </w:tcMar>
                  <w:vAlign w:val="center"/>
                </w:tcPr>
                <w:p w14:paraId="42D11874">
                  <w:pPr>
                    <w:jc w:val="center"/>
                    <w:textAlignment w:val="center"/>
                    <w:rPr>
                      <w:sz w:val="18"/>
                      <w:szCs w:val="18"/>
                    </w:rPr>
                  </w:pPr>
                  <w:r>
                    <w:rPr>
                      <w:sz w:val="18"/>
                      <w:szCs w:val="18"/>
                    </w:rPr>
                    <w:t>产生量t/a</w:t>
                  </w:r>
                </w:p>
              </w:tc>
              <w:tc>
                <w:tcPr>
                  <w:tcW w:w="340" w:type="dxa"/>
                  <w:vMerge w:val="continue"/>
                  <w:tcMar>
                    <w:top w:w="15" w:type="dxa"/>
                    <w:left w:w="15" w:type="dxa"/>
                    <w:bottom w:w="15" w:type="dxa"/>
                    <w:right w:w="15" w:type="dxa"/>
                  </w:tcMar>
                  <w:vAlign w:val="center"/>
                </w:tcPr>
                <w:p w14:paraId="1FA9FB8E">
                  <w:pPr>
                    <w:jc w:val="center"/>
                    <w:textAlignment w:val="center"/>
                    <w:rPr>
                      <w:sz w:val="18"/>
                      <w:szCs w:val="18"/>
                    </w:rPr>
                  </w:pPr>
                </w:p>
              </w:tc>
              <w:tc>
                <w:tcPr>
                  <w:tcW w:w="348" w:type="dxa"/>
                  <w:vMerge w:val="continue"/>
                  <w:tcMar>
                    <w:top w:w="15" w:type="dxa"/>
                    <w:left w:w="15" w:type="dxa"/>
                    <w:bottom w:w="15" w:type="dxa"/>
                    <w:right w:w="15" w:type="dxa"/>
                  </w:tcMar>
                  <w:vAlign w:val="center"/>
                </w:tcPr>
                <w:p w14:paraId="5672D38B">
                  <w:pPr>
                    <w:jc w:val="center"/>
                    <w:textAlignment w:val="center"/>
                    <w:rPr>
                      <w:sz w:val="18"/>
                      <w:szCs w:val="18"/>
                    </w:rPr>
                  </w:pPr>
                </w:p>
              </w:tc>
              <w:tc>
                <w:tcPr>
                  <w:tcW w:w="509" w:type="dxa"/>
                  <w:tcMar>
                    <w:top w:w="15" w:type="dxa"/>
                    <w:left w:w="15" w:type="dxa"/>
                    <w:bottom w:w="15" w:type="dxa"/>
                    <w:right w:w="15" w:type="dxa"/>
                  </w:tcMar>
                  <w:vAlign w:val="center"/>
                </w:tcPr>
                <w:p w14:paraId="248F1264">
                  <w:pPr>
                    <w:jc w:val="center"/>
                    <w:textAlignment w:val="center"/>
                    <w:rPr>
                      <w:sz w:val="18"/>
                      <w:szCs w:val="18"/>
                    </w:rPr>
                  </w:pPr>
                  <w:r>
                    <w:rPr>
                      <w:sz w:val="18"/>
                      <w:szCs w:val="18"/>
                    </w:rPr>
                    <w:t>治理设施</w:t>
                  </w:r>
                </w:p>
              </w:tc>
              <w:tc>
                <w:tcPr>
                  <w:tcW w:w="414" w:type="dxa"/>
                  <w:vAlign w:val="center"/>
                </w:tcPr>
                <w:p w14:paraId="53C64640">
                  <w:pPr>
                    <w:jc w:val="center"/>
                    <w:textAlignment w:val="center"/>
                    <w:rPr>
                      <w:sz w:val="18"/>
                      <w:szCs w:val="18"/>
                    </w:rPr>
                  </w:pPr>
                  <w:r>
                    <w:rPr>
                      <w:sz w:val="18"/>
                      <w:szCs w:val="18"/>
                    </w:rPr>
                    <w:t>风量</w:t>
                  </w:r>
                </w:p>
              </w:tc>
              <w:tc>
                <w:tcPr>
                  <w:tcW w:w="354" w:type="dxa"/>
                  <w:vAlign w:val="center"/>
                </w:tcPr>
                <w:p w14:paraId="3DAC21F9">
                  <w:pPr>
                    <w:jc w:val="center"/>
                    <w:textAlignment w:val="center"/>
                    <w:rPr>
                      <w:sz w:val="18"/>
                      <w:szCs w:val="18"/>
                    </w:rPr>
                  </w:pPr>
                  <w:r>
                    <w:rPr>
                      <w:sz w:val="18"/>
                      <w:szCs w:val="18"/>
                    </w:rPr>
                    <w:t>收集效率</w:t>
                  </w:r>
                </w:p>
              </w:tc>
              <w:tc>
                <w:tcPr>
                  <w:tcW w:w="385" w:type="dxa"/>
                  <w:vAlign w:val="center"/>
                </w:tcPr>
                <w:p w14:paraId="126469F5">
                  <w:pPr>
                    <w:jc w:val="center"/>
                    <w:textAlignment w:val="center"/>
                    <w:rPr>
                      <w:sz w:val="18"/>
                      <w:szCs w:val="18"/>
                    </w:rPr>
                  </w:pPr>
                  <w:r>
                    <w:rPr>
                      <w:sz w:val="18"/>
                      <w:szCs w:val="18"/>
                    </w:rPr>
                    <w:t>去除率</w:t>
                  </w:r>
                  <w:r>
                    <w:rPr>
                      <w:rFonts w:hint="eastAsia"/>
                      <w:sz w:val="18"/>
                      <w:szCs w:val="18"/>
                    </w:rPr>
                    <w:t>%</w:t>
                  </w:r>
                </w:p>
              </w:tc>
              <w:tc>
                <w:tcPr>
                  <w:tcW w:w="587" w:type="dxa"/>
                  <w:vAlign w:val="center"/>
                </w:tcPr>
                <w:p w14:paraId="06A60EBD">
                  <w:pPr>
                    <w:jc w:val="center"/>
                    <w:textAlignment w:val="center"/>
                    <w:rPr>
                      <w:sz w:val="18"/>
                      <w:szCs w:val="18"/>
                    </w:rPr>
                  </w:pPr>
                  <w:r>
                    <w:rPr>
                      <w:sz w:val="18"/>
                      <w:szCs w:val="18"/>
                    </w:rPr>
                    <w:t>是否为可行技术</w:t>
                  </w:r>
                </w:p>
              </w:tc>
              <w:tc>
                <w:tcPr>
                  <w:tcW w:w="637" w:type="dxa"/>
                  <w:vAlign w:val="center"/>
                </w:tcPr>
                <w:p w14:paraId="2823A0E2">
                  <w:pPr>
                    <w:jc w:val="center"/>
                    <w:textAlignment w:val="center"/>
                    <w:rPr>
                      <w:sz w:val="18"/>
                      <w:szCs w:val="18"/>
                    </w:rPr>
                  </w:pPr>
                  <w:r>
                    <w:rPr>
                      <w:sz w:val="18"/>
                      <w:szCs w:val="18"/>
                    </w:rPr>
                    <w:t>排放浓度mg/m</w:t>
                  </w:r>
                  <w:r>
                    <w:rPr>
                      <w:sz w:val="18"/>
                      <w:szCs w:val="18"/>
                      <w:vertAlign w:val="superscript"/>
                    </w:rPr>
                    <w:t>3</w:t>
                  </w:r>
                </w:p>
              </w:tc>
              <w:tc>
                <w:tcPr>
                  <w:tcW w:w="607" w:type="dxa"/>
                  <w:vAlign w:val="center"/>
                </w:tcPr>
                <w:p w14:paraId="6935832A">
                  <w:pPr>
                    <w:jc w:val="center"/>
                    <w:textAlignment w:val="center"/>
                    <w:rPr>
                      <w:sz w:val="18"/>
                      <w:szCs w:val="18"/>
                    </w:rPr>
                  </w:pPr>
                  <w:r>
                    <w:rPr>
                      <w:sz w:val="18"/>
                      <w:szCs w:val="18"/>
                    </w:rPr>
                    <w:t>排放速率kg/h</w:t>
                  </w:r>
                </w:p>
              </w:tc>
              <w:tc>
                <w:tcPr>
                  <w:tcW w:w="502" w:type="dxa"/>
                  <w:vAlign w:val="center"/>
                </w:tcPr>
                <w:p w14:paraId="3A62FA0F">
                  <w:pPr>
                    <w:jc w:val="center"/>
                    <w:textAlignment w:val="center"/>
                    <w:rPr>
                      <w:sz w:val="18"/>
                      <w:szCs w:val="18"/>
                    </w:rPr>
                  </w:pPr>
                  <w:r>
                    <w:rPr>
                      <w:sz w:val="18"/>
                      <w:szCs w:val="18"/>
                    </w:rPr>
                    <w:t>排放量t/a</w:t>
                  </w:r>
                </w:p>
              </w:tc>
              <w:tc>
                <w:tcPr>
                  <w:tcW w:w="585" w:type="dxa"/>
                  <w:vAlign w:val="center"/>
                </w:tcPr>
                <w:p w14:paraId="6DE32AF9">
                  <w:pPr>
                    <w:jc w:val="center"/>
                    <w:textAlignment w:val="center"/>
                    <w:rPr>
                      <w:sz w:val="18"/>
                      <w:szCs w:val="18"/>
                    </w:rPr>
                  </w:pPr>
                  <w:r>
                    <w:rPr>
                      <w:sz w:val="18"/>
                      <w:szCs w:val="18"/>
                    </w:rPr>
                    <w:t>浓度mg/m</w:t>
                  </w:r>
                  <w:r>
                    <w:rPr>
                      <w:sz w:val="18"/>
                      <w:szCs w:val="18"/>
                      <w:vertAlign w:val="superscript"/>
                    </w:rPr>
                    <w:t>3</w:t>
                  </w:r>
                </w:p>
              </w:tc>
              <w:tc>
                <w:tcPr>
                  <w:tcW w:w="375" w:type="dxa"/>
                  <w:tcMar>
                    <w:top w:w="15" w:type="dxa"/>
                    <w:left w:w="15" w:type="dxa"/>
                    <w:bottom w:w="15" w:type="dxa"/>
                    <w:right w:w="15" w:type="dxa"/>
                  </w:tcMar>
                  <w:vAlign w:val="center"/>
                </w:tcPr>
                <w:p w14:paraId="33DAE209">
                  <w:pPr>
                    <w:jc w:val="center"/>
                    <w:textAlignment w:val="center"/>
                    <w:rPr>
                      <w:sz w:val="18"/>
                      <w:szCs w:val="18"/>
                    </w:rPr>
                  </w:pPr>
                  <w:r>
                    <w:rPr>
                      <w:sz w:val="18"/>
                      <w:szCs w:val="18"/>
                    </w:rPr>
                    <w:t>速率kg/h</w:t>
                  </w:r>
                </w:p>
              </w:tc>
              <w:tc>
                <w:tcPr>
                  <w:tcW w:w="361" w:type="dxa"/>
                  <w:vMerge w:val="continue"/>
                  <w:tcMar>
                    <w:top w:w="15" w:type="dxa"/>
                    <w:left w:w="15" w:type="dxa"/>
                    <w:bottom w:w="15" w:type="dxa"/>
                    <w:right w:w="15" w:type="dxa"/>
                  </w:tcMar>
                  <w:vAlign w:val="center"/>
                </w:tcPr>
                <w:p w14:paraId="546766AC">
                  <w:pPr>
                    <w:jc w:val="center"/>
                    <w:textAlignment w:val="center"/>
                    <w:rPr>
                      <w:sz w:val="18"/>
                      <w:szCs w:val="18"/>
                    </w:rPr>
                  </w:pPr>
                </w:p>
              </w:tc>
            </w:tr>
            <w:tr w14:paraId="7BE893BD">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108" w:type="dxa"/>
                  <w:bottom w:w="0" w:type="dxa"/>
                  <w:right w:w="108" w:type="dxa"/>
                </w:tblCellMar>
              </w:tblPrEx>
              <w:trPr>
                <w:trHeight w:val="1436" w:hRule="atLeast"/>
                <w:jc w:val="center"/>
              </w:trPr>
              <w:tc>
                <w:tcPr>
                  <w:tcW w:w="401" w:type="dxa"/>
                  <w:tcMar>
                    <w:top w:w="15" w:type="dxa"/>
                    <w:left w:w="15" w:type="dxa"/>
                    <w:bottom w:w="15" w:type="dxa"/>
                    <w:right w:w="15" w:type="dxa"/>
                  </w:tcMar>
                  <w:vAlign w:val="center"/>
                </w:tcPr>
                <w:p w14:paraId="51DED13F">
                  <w:pPr>
                    <w:jc w:val="center"/>
                    <w:textAlignment w:val="center"/>
                    <w:rPr>
                      <w:rFonts w:hint="eastAsia"/>
                      <w:sz w:val="18"/>
                      <w:szCs w:val="18"/>
                      <w:lang w:val="en-US" w:eastAsia="zh-CN"/>
                    </w:rPr>
                  </w:pPr>
                  <w:r>
                    <w:rPr>
                      <w:rFonts w:hint="eastAsia"/>
                      <w:sz w:val="18"/>
                      <w:szCs w:val="18"/>
                      <w:lang w:val="en-US" w:eastAsia="zh-CN"/>
                    </w:rPr>
                    <w:t>食堂</w:t>
                  </w:r>
                </w:p>
              </w:tc>
              <w:tc>
                <w:tcPr>
                  <w:tcW w:w="367" w:type="dxa"/>
                  <w:tcMar>
                    <w:top w:w="15" w:type="dxa"/>
                    <w:left w:w="15" w:type="dxa"/>
                    <w:bottom w:w="15" w:type="dxa"/>
                    <w:right w:w="15" w:type="dxa"/>
                  </w:tcMar>
                  <w:vAlign w:val="center"/>
                </w:tcPr>
                <w:p w14:paraId="2611CCC3">
                  <w:pPr>
                    <w:jc w:val="center"/>
                    <w:textAlignment w:val="center"/>
                    <w:rPr>
                      <w:rFonts w:hint="eastAsia"/>
                      <w:sz w:val="18"/>
                      <w:szCs w:val="18"/>
                      <w:lang w:eastAsia="zh-CN"/>
                    </w:rPr>
                  </w:pPr>
                  <w:r>
                    <w:rPr>
                      <w:rFonts w:hint="eastAsia"/>
                      <w:sz w:val="18"/>
                      <w:szCs w:val="18"/>
                      <w:lang w:eastAsia="zh-CN"/>
                    </w:rPr>
                    <w:t>油烟</w:t>
                  </w:r>
                </w:p>
              </w:tc>
              <w:tc>
                <w:tcPr>
                  <w:tcW w:w="458" w:type="dxa"/>
                  <w:tcMar>
                    <w:top w:w="15" w:type="dxa"/>
                    <w:left w:w="15" w:type="dxa"/>
                    <w:bottom w:w="15" w:type="dxa"/>
                    <w:right w:w="15" w:type="dxa"/>
                  </w:tcMar>
                  <w:vAlign w:val="center"/>
                </w:tcPr>
                <w:p w14:paraId="753943D3">
                  <w:pPr>
                    <w:jc w:val="center"/>
                    <w:textAlignment w:val="center"/>
                    <w:rPr>
                      <w:rFonts w:hint="default"/>
                      <w:sz w:val="18"/>
                      <w:szCs w:val="18"/>
                      <w:lang w:val="en-US" w:eastAsia="zh-CN"/>
                    </w:rPr>
                  </w:pPr>
                  <w:r>
                    <w:rPr>
                      <w:rFonts w:hint="eastAsia"/>
                      <w:sz w:val="18"/>
                      <w:szCs w:val="18"/>
                      <w:lang w:val="en-US" w:eastAsia="zh-CN"/>
                    </w:rPr>
                    <w:t>1.14</w:t>
                  </w:r>
                </w:p>
              </w:tc>
              <w:tc>
                <w:tcPr>
                  <w:tcW w:w="423" w:type="dxa"/>
                  <w:tcMar>
                    <w:top w:w="15" w:type="dxa"/>
                    <w:left w:w="15" w:type="dxa"/>
                    <w:bottom w:w="15" w:type="dxa"/>
                    <w:right w:w="15" w:type="dxa"/>
                  </w:tcMar>
                  <w:vAlign w:val="center"/>
                </w:tcPr>
                <w:p w14:paraId="315EDA32">
                  <w:pPr>
                    <w:jc w:val="center"/>
                    <w:textAlignment w:val="center"/>
                    <w:rPr>
                      <w:rFonts w:hint="default"/>
                      <w:sz w:val="18"/>
                      <w:szCs w:val="18"/>
                      <w:lang w:val="en-US" w:eastAsia="zh-CN"/>
                    </w:rPr>
                  </w:pPr>
                  <w:r>
                    <w:rPr>
                      <w:rFonts w:hint="eastAsia"/>
                      <w:sz w:val="18"/>
                      <w:szCs w:val="18"/>
                      <w:lang w:val="en-US" w:eastAsia="zh-CN"/>
                    </w:rPr>
                    <w:t>0.0057</w:t>
                  </w:r>
                </w:p>
              </w:tc>
              <w:tc>
                <w:tcPr>
                  <w:tcW w:w="350" w:type="dxa"/>
                  <w:tcMar>
                    <w:top w:w="15" w:type="dxa"/>
                    <w:left w:w="15" w:type="dxa"/>
                    <w:bottom w:w="15" w:type="dxa"/>
                    <w:right w:w="15" w:type="dxa"/>
                  </w:tcMar>
                  <w:vAlign w:val="center"/>
                </w:tcPr>
                <w:p w14:paraId="5493EBA3">
                  <w:pPr>
                    <w:jc w:val="center"/>
                    <w:textAlignment w:val="center"/>
                    <w:rPr>
                      <w:rFonts w:hint="default"/>
                      <w:sz w:val="18"/>
                      <w:szCs w:val="18"/>
                      <w:lang w:val="en-US" w:eastAsia="zh-CN"/>
                    </w:rPr>
                  </w:pPr>
                  <w:r>
                    <w:rPr>
                      <w:rFonts w:hint="eastAsia"/>
                      <w:sz w:val="18"/>
                      <w:szCs w:val="18"/>
                      <w:lang w:val="en-US" w:eastAsia="zh-CN"/>
                    </w:rPr>
                    <w:t>0.0068</w:t>
                  </w:r>
                </w:p>
              </w:tc>
              <w:tc>
                <w:tcPr>
                  <w:tcW w:w="340" w:type="dxa"/>
                  <w:tcMar>
                    <w:top w:w="15" w:type="dxa"/>
                    <w:left w:w="15" w:type="dxa"/>
                    <w:bottom w:w="15" w:type="dxa"/>
                    <w:right w:w="15" w:type="dxa"/>
                  </w:tcMar>
                  <w:vAlign w:val="center"/>
                </w:tcPr>
                <w:p w14:paraId="2BE60C42">
                  <w:pPr>
                    <w:jc w:val="center"/>
                    <w:textAlignment w:val="center"/>
                    <w:rPr>
                      <w:rFonts w:hint="eastAsia"/>
                      <w:sz w:val="18"/>
                      <w:szCs w:val="18"/>
                      <w:lang w:eastAsia="zh-CN"/>
                    </w:rPr>
                  </w:pPr>
                  <w:r>
                    <w:rPr>
                      <w:rFonts w:hint="eastAsia"/>
                      <w:sz w:val="18"/>
                      <w:szCs w:val="18"/>
                      <w:lang w:eastAsia="zh-CN"/>
                    </w:rPr>
                    <w:t>有组织</w:t>
                  </w:r>
                </w:p>
              </w:tc>
              <w:tc>
                <w:tcPr>
                  <w:tcW w:w="348" w:type="dxa"/>
                  <w:tcMar>
                    <w:top w:w="15" w:type="dxa"/>
                    <w:left w:w="15" w:type="dxa"/>
                    <w:bottom w:w="15" w:type="dxa"/>
                    <w:right w:w="15" w:type="dxa"/>
                  </w:tcMar>
                  <w:vAlign w:val="center"/>
                </w:tcPr>
                <w:p w14:paraId="4E532D2B">
                  <w:pPr>
                    <w:jc w:val="center"/>
                    <w:rPr>
                      <w:rFonts w:hint="default"/>
                      <w:sz w:val="18"/>
                      <w:szCs w:val="18"/>
                      <w:lang w:val="en-US" w:eastAsia="zh-CN"/>
                    </w:rPr>
                  </w:pPr>
                  <w:r>
                    <w:rPr>
                      <w:rFonts w:hint="eastAsia"/>
                      <w:sz w:val="18"/>
                      <w:szCs w:val="18"/>
                      <w:lang w:val="en-US" w:eastAsia="zh-CN"/>
                    </w:rPr>
                    <w:t>/</w:t>
                  </w:r>
                </w:p>
              </w:tc>
              <w:tc>
                <w:tcPr>
                  <w:tcW w:w="509" w:type="dxa"/>
                  <w:tcMar>
                    <w:top w:w="15" w:type="dxa"/>
                    <w:left w:w="15" w:type="dxa"/>
                    <w:bottom w:w="15" w:type="dxa"/>
                    <w:right w:w="15" w:type="dxa"/>
                  </w:tcMar>
                  <w:vAlign w:val="center"/>
                </w:tcPr>
                <w:p w14:paraId="75ED09A6">
                  <w:pPr>
                    <w:jc w:val="center"/>
                    <w:textAlignment w:val="center"/>
                    <w:rPr>
                      <w:rFonts w:hint="eastAsia"/>
                      <w:sz w:val="18"/>
                      <w:szCs w:val="18"/>
                      <w:lang w:eastAsia="zh-CN"/>
                    </w:rPr>
                  </w:pPr>
                  <w:r>
                    <w:rPr>
                      <w:rFonts w:hint="eastAsia"/>
                      <w:sz w:val="18"/>
                      <w:szCs w:val="18"/>
                      <w:lang w:eastAsia="zh-CN"/>
                    </w:rPr>
                    <w:t>油烟净化器</w:t>
                  </w:r>
                </w:p>
              </w:tc>
              <w:tc>
                <w:tcPr>
                  <w:tcW w:w="414" w:type="dxa"/>
                  <w:vAlign w:val="center"/>
                </w:tcPr>
                <w:p w14:paraId="23C976F7">
                  <w:pPr>
                    <w:jc w:val="center"/>
                    <w:textAlignment w:val="center"/>
                    <w:rPr>
                      <w:rFonts w:hint="eastAsia"/>
                      <w:color w:val="auto"/>
                      <w:sz w:val="18"/>
                      <w:szCs w:val="18"/>
                      <w:lang w:val="en-US" w:eastAsia="zh-CN"/>
                    </w:rPr>
                  </w:pPr>
                  <w:r>
                    <w:rPr>
                      <w:rFonts w:hint="eastAsia"/>
                      <w:color w:val="auto"/>
                      <w:sz w:val="18"/>
                      <w:szCs w:val="18"/>
                      <w:lang w:val="en-US" w:eastAsia="zh-CN"/>
                    </w:rPr>
                    <w:t>5000m</w:t>
                  </w:r>
                  <w:r>
                    <w:rPr>
                      <w:rFonts w:hint="eastAsia"/>
                      <w:color w:val="auto"/>
                      <w:sz w:val="18"/>
                      <w:szCs w:val="18"/>
                      <w:vertAlign w:val="superscript"/>
                      <w:lang w:val="en-US" w:eastAsia="zh-CN"/>
                    </w:rPr>
                    <w:t>3</w:t>
                  </w:r>
                  <w:r>
                    <w:rPr>
                      <w:rFonts w:hint="eastAsia"/>
                      <w:color w:val="auto"/>
                      <w:sz w:val="18"/>
                      <w:szCs w:val="18"/>
                      <w:lang w:val="en-US" w:eastAsia="zh-CN"/>
                    </w:rPr>
                    <w:t>/h</w:t>
                  </w:r>
                </w:p>
              </w:tc>
              <w:tc>
                <w:tcPr>
                  <w:tcW w:w="354" w:type="dxa"/>
                  <w:vAlign w:val="center"/>
                </w:tcPr>
                <w:p w14:paraId="0149968F">
                  <w:pPr>
                    <w:jc w:val="center"/>
                    <w:textAlignment w:val="center"/>
                    <w:rPr>
                      <w:rFonts w:hint="default"/>
                      <w:sz w:val="18"/>
                      <w:szCs w:val="18"/>
                      <w:lang w:val="en-US" w:eastAsia="zh-CN"/>
                    </w:rPr>
                  </w:pPr>
                  <w:r>
                    <w:rPr>
                      <w:rFonts w:hint="eastAsia"/>
                      <w:sz w:val="18"/>
                      <w:szCs w:val="18"/>
                      <w:lang w:val="en-US" w:eastAsia="zh-CN"/>
                    </w:rPr>
                    <w:t>/</w:t>
                  </w:r>
                </w:p>
              </w:tc>
              <w:tc>
                <w:tcPr>
                  <w:tcW w:w="385" w:type="dxa"/>
                  <w:vAlign w:val="center"/>
                </w:tcPr>
                <w:p w14:paraId="39312868">
                  <w:pPr>
                    <w:jc w:val="center"/>
                    <w:textAlignment w:val="center"/>
                    <w:rPr>
                      <w:rFonts w:hint="default"/>
                      <w:sz w:val="18"/>
                      <w:szCs w:val="18"/>
                      <w:lang w:val="en-US" w:eastAsia="zh-CN"/>
                    </w:rPr>
                  </w:pPr>
                  <w:r>
                    <w:rPr>
                      <w:rFonts w:hint="eastAsia"/>
                      <w:sz w:val="18"/>
                      <w:szCs w:val="18"/>
                      <w:lang w:val="en-US" w:eastAsia="zh-CN"/>
                    </w:rPr>
                    <w:t>60</w:t>
                  </w:r>
                </w:p>
              </w:tc>
              <w:tc>
                <w:tcPr>
                  <w:tcW w:w="587" w:type="dxa"/>
                  <w:vAlign w:val="center"/>
                </w:tcPr>
                <w:p w14:paraId="19E904C1">
                  <w:pPr>
                    <w:jc w:val="center"/>
                    <w:textAlignment w:val="center"/>
                    <w:rPr>
                      <w:rFonts w:hint="eastAsia"/>
                      <w:sz w:val="18"/>
                      <w:szCs w:val="18"/>
                      <w:lang w:val="en-US" w:eastAsia="zh-CN"/>
                    </w:rPr>
                  </w:pPr>
                  <w:r>
                    <w:rPr>
                      <w:rFonts w:hint="eastAsia"/>
                      <w:sz w:val="18"/>
                      <w:szCs w:val="18"/>
                      <w:lang w:val="en-US" w:eastAsia="zh-CN"/>
                    </w:rPr>
                    <w:t>是</w:t>
                  </w:r>
                </w:p>
              </w:tc>
              <w:tc>
                <w:tcPr>
                  <w:tcW w:w="637" w:type="dxa"/>
                  <w:vAlign w:val="center"/>
                </w:tcPr>
                <w:p w14:paraId="42827639">
                  <w:pPr>
                    <w:jc w:val="center"/>
                    <w:textAlignment w:val="center"/>
                    <w:rPr>
                      <w:rFonts w:hint="default"/>
                      <w:sz w:val="18"/>
                      <w:szCs w:val="18"/>
                      <w:lang w:val="en-US" w:eastAsia="zh-CN"/>
                    </w:rPr>
                  </w:pPr>
                  <w:r>
                    <w:rPr>
                      <w:rFonts w:hint="eastAsia"/>
                      <w:sz w:val="18"/>
                      <w:szCs w:val="18"/>
                      <w:lang w:val="en-US" w:eastAsia="zh-CN"/>
                    </w:rPr>
                    <w:t>0.46</w:t>
                  </w:r>
                </w:p>
              </w:tc>
              <w:tc>
                <w:tcPr>
                  <w:tcW w:w="607" w:type="dxa"/>
                  <w:vAlign w:val="center"/>
                </w:tcPr>
                <w:p w14:paraId="25E25EA0">
                  <w:pPr>
                    <w:jc w:val="center"/>
                    <w:textAlignment w:val="center"/>
                    <w:rPr>
                      <w:rFonts w:hint="default"/>
                      <w:sz w:val="18"/>
                      <w:szCs w:val="18"/>
                      <w:lang w:val="en-US" w:eastAsia="zh-CN"/>
                    </w:rPr>
                  </w:pPr>
                  <w:r>
                    <w:rPr>
                      <w:rFonts w:hint="eastAsia"/>
                      <w:sz w:val="18"/>
                      <w:szCs w:val="18"/>
                      <w:lang w:val="en-US" w:eastAsia="zh-CN"/>
                    </w:rPr>
                    <w:t>0.0023</w:t>
                  </w:r>
                </w:p>
              </w:tc>
              <w:tc>
                <w:tcPr>
                  <w:tcW w:w="502" w:type="dxa"/>
                  <w:vAlign w:val="center"/>
                </w:tcPr>
                <w:p w14:paraId="5F91AC39">
                  <w:pPr>
                    <w:jc w:val="center"/>
                    <w:textAlignment w:val="center"/>
                    <w:rPr>
                      <w:rFonts w:hint="default"/>
                      <w:sz w:val="18"/>
                      <w:szCs w:val="18"/>
                      <w:lang w:val="en-US" w:eastAsia="zh-CN"/>
                    </w:rPr>
                  </w:pPr>
                  <w:r>
                    <w:rPr>
                      <w:rFonts w:hint="eastAsia"/>
                      <w:sz w:val="18"/>
                      <w:szCs w:val="18"/>
                      <w:lang w:val="en-US" w:eastAsia="zh-CN"/>
                    </w:rPr>
                    <w:t>0.0027</w:t>
                  </w:r>
                </w:p>
              </w:tc>
              <w:tc>
                <w:tcPr>
                  <w:tcW w:w="585" w:type="dxa"/>
                  <w:vAlign w:val="center"/>
                </w:tcPr>
                <w:p w14:paraId="67229DA8">
                  <w:pPr>
                    <w:jc w:val="center"/>
                    <w:textAlignment w:val="center"/>
                    <w:rPr>
                      <w:rFonts w:hint="default" w:eastAsia="宋体"/>
                      <w:sz w:val="18"/>
                      <w:szCs w:val="18"/>
                      <w:lang w:val="en-US" w:eastAsia="zh-CN"/>
                    </w:rPr>
                  </w:pPr>
                  <w:r>
                    <w:rPr>
                      <w:rFonts w:hint="eastAsia"/>
                      <w:sz w:val="18"/>
                      <w:szCs w:val="18"/>
                      <w:lang w:val="en-US" w:eastAsia="zh-CN"/>
                    </w:rPr>
                    <w:t>2</w:t>
                  </w:r>
                </w:p>
              </w:tc>
              <w:tc>
                <w:tcPr>
                  <w:tcW w:w="375" w:type="dxa"/>
                  <w:tcMar>
                    <w:top w:w="15" w:type="dxa"/>
                    <w:left w:w="15" w:type="dxa"/>
                    <w:bottom w:w="15" w:type="dxa"/>
                    <w:right w:w="15" w:type="dxa"/>
                  </w:tcMar>
                  <w:vAlign w:val="center"/>
                </w:tcPr>
                <w:p w14:paraId="5E4C9026">
                  <w:pPr>
                    <w:jc w:val="center"/>
                    <w:textAlignment w:val="center"/>
                    <w:rPr>
                      <w:rFonts w:hint="default" w:eastAsia="宋体"/>
                      <w:sz w:val="18"/>
                      <w:szCs w:val="18"/>
                      <w:lang w:val="en-US" w:eastAsia="zh-CN"/>
                    </w:rPr>
                  </w:pPr>
                  <w:r>
                    <w:rPr>
                      <w:rFonts w:hint="eastAsia"/>
                      <w:sz w:val="18"/>
                      <w:szCs w:val="18"/>
                      <w:lang w:val="en-US" w:eastAsia="zh-CN"/>
                    </w:rPr>
                    <w:t>/</w:t>
                  </w:r>
                </w:p>
              </w:tc>
              <w:tc>
                <w:tcPr>
                  <w:tcW w:w="361" w:type="dxa"/>
                  <w:tcMar>
                    <w:top w:w="15" w:type="dxa"/>
                    <w:left w:w="15" w:type="dxa"/>
                    <w:bottom w:w="15" w:type="dxa"/>
                    <w:right w:w="15" w:type="dxa"/>
                  </w:tcMar>
                  <w:vAlign w:val="center"/>
                </w:tcPr>
                <w:p w14:paraId="1EA1EDE0">
                  <w:pPr>
                    <w:jc w:val="center"/>
                    <w:textAlignment w:val="center"/>
                    <w:rPr>
                      <w:rFonts w:hint="default"/>
                      <w:sz w:val="18"/>
                      <w:szCs w:val="18"/>
                      <w:lang w:val="en-US" w:eastAsia="zh-CN"/>
                    </w:rPr>
                  </w:pPr>
                  <w:r>
                    <w:rPr>
                      <w:rFonts w:hint="eastAsia"/>
                      <w:sz w:val="18"/>
                      <w:szCs w:val="18"/>
                      <w:lang w:val="en-US" w:eastAsia="zh-CN"/>
                    </w:rPr>
                    <w:t>1200h</w:t>
                  </w:r>
                </w:p>
              </w:tc>
            </w:tr>
          </w:tbl>
          <w:p w14:paraId="72D76BA8">
            <w:pPr>
              <w:adjustRightInd w:val="0"/>
              <w:snapToGrid w:val="0"/>
              <w:spacing w:line="500" w:lineRule="exact"/>
              <w:ind w:firstLine="422" w:firstLineChars="200"/>
              <w:rPr>
                <w:rFonts w:hint="default" w:ascii="Times New Roman" w:hAnsi="Times New Roman" w:cs="Times New Roman"/>
                <w:b/>
                <w:bCs/>
                <w:color w:val="auto"/>
                <w:szCs w:val="21"/>
              </w:rPr>
            </w:pPr>
            <w:r>
              <w:rPr>
                <w:rFonts w:hint="eastAsia" w:cs="Times New Roman"/>
                <w:b/>
                <w:bCs/>
                <w:color w:val="auto"/>
                <w:szCs w:val="21"/>
                <w:lang w:val="en-US" w:eastAsia="zh-CN"/>
              </w:rPr>
              <w:t>1、</w:t>
            </w:r>
            <w:r>
              <w:rPr>
                <w:rFonts w:hint="default" w:ascii="Times New Roman" w:hAnsi="Times New Roman" w:cs="Times New Roman"/>
                <w:b/>
                <w:bCs/>
                <w:color w:val="auto"/>
                <w:szCs w:val="21"/>
              </w:rPr>
              <w:t>废气污染物排放源源强核算过程：</w:t>
            </w:r>
          </w:p>
          <w:p w14:paraId="266C0D4E">
            <w:pPr>
              <w:keepNext w:val="0"/>
              <w:keepLines w:val="0"/>
              <w:pageBreakBefore w:val="0"/>
              <w:widowControl w:val="0"/>
              <w:kinsoku/>
              <w:wordWrap/>
              <w:overflowPunct/>
              <w:topLinePunct w:val="0"/>
              <w:bidi w:val="0"/>
              <w:adjustRightInd w:val="0"/>
              <w:snapToGrid w:val="0"/>
              <w:spacing w:line="500" w:lineRule="exact"/>
              <w:ind w:firstLine="420" w:firstLineChars="200"/>
              <w:textAlignment w:val="auto"/>
              <w:rPr>
                <w:rFonts w:hint="eastAsia" w:cs="Times New Roman"/>
                <w:color w:val="auto"/>
                <w:kern w:val="2"/>
                <w:sz w:val="21"/>
                <w:szCs w:val="21"/>
                <w:lang w:eastAsia="zh-CN"/>
              </w:rPr>
            </w:pPr>
            <w:r>
              <w:rPr>
                <w:rFonts w:hint="eastAsia" w:cs="Times New Roman"/>
                <w:color w:val="auto"/>
                <w:kern w:val="2"/>
                <w:sz w:val="21"/>
                <w:szCs w:val="21"/>
                <w:lang w:eastAsia="zh-CN"/>
              </w:rPr>
              <w:t>（</w:t>
            </w:r>
            <w:r>
              <w:rPr>
                <w:rFonts w:hint="eastAsia" w:cs="Times New Roman"/>
                <w:color w:val="auto"/>
                <w:kern w:val="2"/>
                <w:sz w:val="21"/>
                <w:szCs w:val="21"/>
                <w:lang w:val="en-US" w:eastAsia="zh-CN"/>
              </w:rPr>
              <w:t>1</w:t>
            </w:r>
            <w:r>
              <w:rPr>
                <w:rFonts w:hint="eastAsia" w:cs="Times New Roman"/>
                <w:color w:val="auto"/>
                <w:kern w:val="2"/>
                <w:sz w:val="21"/>
                <w:szCs w:val="21"/>
                <w:lang w:eastAsia="zh-CN"/>
              </w:rPr>
              <w:t>）生产过程产生的粉尘</w:t>
            </w:r>
          </w:p>
          <w:p w14:paraId="432BB8B8">
            <w:pPr>
              <w:keepNext w:val="0"/>
              <w:keepLines w:val="0"/>
              <w:pageBreakBefore w:val="0"/>
              <w:widowControl w:val="0"/>
              <w:kinsoku/>
              <w:wordWrap/>
              <w:overflowPunct/>
              <w:topLinePunct w:val="0"/>
              <w:bidi w:val="0"/>
              <w:adjustRightInd w:val="0"/>
              <w:snapToGrid w:val="0"/>
              <w:spacing w:line="500" w:lineRule="exact"/>
              <w:ind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color w:val="auto"/>
                <w:kern w:val="2"/>
                <w:sz w:val="21"/>
                <w:szCs w:val="21"/>
                <w:lang w:eastAsia="zh-CN"/>
              </w:rPr>
              <w:t>本项目运营期产生的废气主要包括：上料粉尘、破碎粉尘、输送粉尘、装卸粉尘、堆放扬尘、车辆运输扬尘和车辆废气。本项目</w:t>
            </w:r>
            <w:r>
              <w:rPr>
                <w:rFonts w:hint="eastAsia" w:cs="Times New Roman"/>
                <w:color w:val="auto"/>
                <w:kern w:val="2"/>
                <w:sz w:val="21"/>
                <w:szCs w:val="21"/>
                <w:lang w:eastAsia="zh-CN"/>
              </w:rPr>
              <w:t>从原料开始均已完全潮湿，且在破碎过程均采用湿式破碎</w:t>
            </w:r>
            <w:r>
              <w:rPr>
                <w:rFonts w:hint="default" w:ascii="Times New Roman" w:hAnsi="Times New Roman" w:eastAsia="宋体" w:cs="Times New Roman"/>
                <w:color w:val="auto"/>
                <w:kern w:val="2"/>
                <w:sz w:val="21"/>
                <w:szCs w:val="21"/>
                <w:lang w:eastAsia="zh-CN"/>
              </w:rPr>
              <w:t>。</w:t>
            </w:r>
            <w:r>
              <w:rPr>
                <w:rFonts w:hint="eastAsia" w:cs="Times New Roman"/>
                <w:color w:val="auto"/>
                <w:kern w:val="2"/>
                <w:sz w:val="21"/>
                <w:szCs w:val="21"/>
                <w:lang w:eastAsia="zh-CN"/>
              </w:rPr>
              <w:t>因此项目不考虑上料、破碎、输送等过程</w:t>
            </w:r>
            <w:r>
              <w:rPr>
                <w:rFonts w:hint="default" w:ascii="Times New Roman" w:hAnsi="Times New Roman" w:eastAsia="宋体" w:cs="Times New Roman"/>
                <w:color w:val="auto"/>
                <w:kern w:val="2"/>
                <w:sz w:val="21"/>
                <w:szCs w:val="21"/>
                <w:lang w:eastAsia="zh-CN"/>
              </w:rPr>
              <w:t>产生的粉尘。</w:t>
            </w:r>
            <w:r>
              <w:rPr>
                <w:rFonts w:hint="eastAsia" w:cs="Times New Roman"/>
                <w:color w:val="auto"/>
                <w:kern w:val="2"/>
                <w:sz w:val="21"/>
                <w:szCs w:val="21"/>
                <w:lang w:eastAsia="zh-CN"/>
              </w:rPr>
              <w:t>厂区定期洒水降尘。</w:t>
            </w:r>
          </w:p>
          <w:p w14:paraId="597B5526">
            <w:pPr>
              <w:widowControl/>
              <w:numPr>
                <w:ilvl w:val="0"/>
                <w:numId w:val="0"/>
              </w:numPr>
              <w:spacing w:line="500" w:lineRule="exact"/>
              <w:ind w:firstLine="420" w:firstLineChars="200"/>
              <w:jc w:val="left"/>
              <w:rPr>
                <w:rFonts w:hint="eastAsia"/>
                <w:bCs/>
                <w:szCs w:val="21"/>
              </w:rPr>
            </w:pPr>
            <w:r>
              <w:rPr>
                <w:rFonts w:hint="eastAsia"/>
                <w:b w:val="0"/>
                <w:bCs w:val="0"/>
                <w:lang w:eastAsia="zh-CN"/>
              </w:rPr>
              <w:t>（</w:t>
            </w:r>
            <w:r>
              <w:rPr>
                <w:rFonts w:hint="eastAsia"/>
                <w:b w:val="0"/>
                <w:bCs w:val="0"/>
                <w:lang w:val="en-US" w:eastAsia="zh-CN"/>
              </w:rPr>
              <w:t>2</w:t>
            </w:r>
            <w:r>
              <w:rPr>
                <w:rFonts w:hint="eastAsia"/>
                <w:b w:val="0"/>
                <w:bCs w:val="0"/>
                <w:lang w:eastAsia="zh-CN"/>
              </w:rPr>
              <w:t>）</w:t>
            </w:r>
            <w:r>
              <w:rPr>
                <w:rFonts w:hint="eastAsia"/>
                <w:bCs/>
                <w:szCs w:val="21"/>
              </w:rPr>
              <w:t>食堂废气</w:t>
            </w:r>
          </w:p>
          <w:p w14:paraId="5125F1E3">
            <w:pPr>
              <w:adjustRightInd w:val="0"/>
              <w:snapToGrid w:val="0"/>
              <w:spacing w:line="500" w:lineRule="exact"/>
              <w:ind w:firstLine="420" w:firstLineChars="200"/>
              <w:rPr>
                <w:rFonts w:hint="eastAsia"/>
              </w:rPr>
            </w:pPr>
            <w:r>
              <w:rPr>
                <w:rFonts w:hint="eastAsia"/>
                <w:bCs/>
                <w:szCs w:val="21"/>
              </w:rPr>
              <w:t>项目食堂采用电为能源，就餐人员为</w:t>
            </w:r>
            <w:r>
              <w:rPr>
                <w:rFonts w:hint="eastAsia"/>
                <w:bCs/>
                <w:szCs w:val="21"/>
                <w:lang w:val="en-US" w:eastAsia="zh-CN"/>
              </w:rPr>
              <w:t>3</w:t>
            </w:r>
            <w:r>
              <w:rPr>
                <w:rFonts w:hint="eastAsia"/>
                <w:bCs/>
                <w:szCs w:val="21"/>
              </w:rPr>
              <w:t>0人，</w:t>
            </w:r>
            <w:r>
              <w:rPr>
                <w:rFonts w:hint="eastAsia"/>
                <w:bCs/>
                <w:szCs w:val="21"/>
                <w:highlight w:val="none"/>
              </w:rPr>
              <w:t>食堂设有</w:t>
            </w:r>
            <w:r>
              <w:rPr>
                <w:rFonts w:hint="eastAsia"/>
                <w:bCs/>
                <w:szCs w:val="21"/>
                <w:highlight w:val="none"/>
                <w:lang w:val="en-US" w:eastAsia="zh-CN"/>
              </w:rPr>
              <w:t>1</w:t>
            </w:r>
            <w:r>
              <w:rPr>
                <w:rFonts w:hint="eastAsia"/>
                <w:bCs/>
                <w:szCs w:val="21"/>
                <w:highlight w:val="none"/>
              </w:rPr>
              <w:t>个灶头，人</w:t>
            </w:r>
            <w:r>
              <w:rPr>
                <w:rFonts w:hint="eastAsia"/>
                <w:bCs/>
                <w:szCs w:val="21"/>
              </w:rPr>
              <w:t>均食用油为30g/人•d，由于该项目食堂非营业性餐饮店，其</w:t>
            </w:r>
            <w:bookmarkStart w:id="6" w:name="hmcheck_fc455997f1aa446bb0f939a6a28040e6"/>
            <w:r>
              <w:rPr>
                <w:rFonts w:hint="eastAsia"/>
                <w:bCs/>
                <w:szCs w:val="21"/>
              </w:rPr>
              <w:t>炸</w:t>
            </w:r>
            <w:bookmarkEnd w:id="6"/>
            <w:r>
              <w:rPr>
                <w:rFonts w:hint="eastAsia"/>
                <w:bCs/>
                <w:szCs w:val="21"/>
              </w:rPr>
              <w:t>、</w:t>
            </w:r>
            <w:bookmarkStart w:id="7" w:name="hmcheck_ba21035d7abd44bb8f68ffd79072c41a"/>
            <w:r>
              <w:rPr>
                <w:rFonts w:hint="eastAsia"/>
                <w:bCs/>
                <w:szCs w:val="21"/>
              </w:rPr>
              <w:t>煎</w:t>
            </w:r>
            <w:bookmarkEnd w:id="7"/>
            <w:r>
              <w:rPr>
                <w:rFonts w:hint="eastAsia"/>
                <w:bCs/>
                <w:szCs w:val="21"/>
              </w:rPr>
              <w:t>等烹饪手段相对较少，其油烟挥发率按2.5%取值，则食堂油烟产生量为0.0</w:t>
            </w:r>
            <w:r>
              <w:rPr>
                <w:rFonts w:hint="eastAsia"/>
                <w:bCs/>
                <w:szCs w:val="21"/>
                <w:lang w:val="en-US" w:eastAsia="zh-CN"/>
              </w:rPr>
              <w:t>068</w:t>
            </w:r>
            <w:r>
              <w:rPr>
                <w:rFonts w:hint="eastAsia"/>
                <w:bCs/>
                <w:szCs w:val="21"/>
              </w:rPr>
              <w:t>t/a。项目油烟净化装置排风量为5000m</w:t>
            </w:r>
            <w:r>
              <w:rPr>
                <w:rFonts w:hint="eastAsia"/>
                <w:bCs/>
                <w:szCs w:val="21"/>
                <w:vertAlign w:val="superscript"/>
              </w:rPr>
              <w:t>3</w:t>
            </w:r>
            <w:r>
              <w:rPr>
                <w:rFonts w:hint="eastAsia"/>
                <w:bCs/>
                <w:szCs w:val="21"/>
              </w:rPr>
              <w:t>/h，每日餐饮时间按4h计算，则油烟产生速率为</w:t>
            </w:r>
            <w:r>
              <w:rPr>
                <w:rFonts w:hint="eastAsia"/>
                <w:bCs/>
                <w:szCs w:val="21"/>
                <w:lang w:val="en-US" w:eastAsia="zh-CN"/>
              </w:rPr>
              <w:t>0.0057</w:t>
            </w:r>
            <w:r>
              <w:rPr>
                <w:rFonts w:hint="eastAsia"/>
                <w:bCs/>
                <w:szCs w:val="21"/>
              </w:rPr>
              <w:t>kg/h，产生浓度</w:t>
            </w:r>
            <w:r>
              <w:rPr>
                <w:rFonts w:hint="eastAsia"/>
                <w:bCs/>
                <w:szCs w:val="21"/>
                <w:lang w:val="en-US" w:eastAsia="zh-CN"/>
              </w:rPr>
              <w:t>1.14</w:t>
            </w:r>
            <w:r>
              <w:rPr>
                <w:rFonts w:hint="eastAsia"/>
                <w:bCs/>
                <w:szCs w:val="21"/>
              </w:rPr>
              <w:t>mg/m</w:t>
            </w:r>
            <w:r>
              <w:rPr>
                <w:rFonts w:hint="eastAsia"/>
                <w:bCs/>
                <w:szCs w:val="21"/>
                <w:vertAlign w:val="superscript"/>
              </w:rPr>
              <w:t>3</w:t>
            </w:r>
            <w:r>
              <w:rPr>
                <w:rFonts w:hint="eastAsia"/>
                <w:bCs/>
                <w:szCs w:val="21"/>
              </w:rPr>
              <w:t>。项目食堂设置油烟净化装置，</w:t>
            </w:r>
            <w:r>
              <w:rPr>
                <w:rFonts w:hint="eastAsia"/>
                <w:bCs/>
                <w:szCs w:val="21"/>
                <w:lang w:eastAsia="zh-CN"/>
              </w:rPr>
              <w:t>根据《饮食业油烟排放标准（试行）》（GB18483-2001）中</w:t>
            </w:r>
            <w:r>
              <w:rPr>
                <w:rFonts w:hint="eastAsia"/>
                <w:bCs/>
                <w:szCs w:val="21"/>
              </w:rPr>
              <w:t>油烟净化率为</w:t>
            </w:r>
            <w:r>
              <w:rPr>
                <w:rFonts w:hint="eastAsia"/>
                <w:bCs/>
                <w:szCs w:val="21"/>
                <w:lang w:val="en-US" w:eastAsia="zh-CN"/>
              </w:rPr>
              <w:t>60</w:t>
            </w:r>
            <w:r>
              <w:rPr>
                <w:rFonts w:hint="eastAsia"/>
                <w:bCs/>
                <w:szCs w:val="21"/>
              </w:rPr>
              <w:t>%，经净化后的油烟通过排气筒高于屋顶排放，则项目食堂油烟排放量为0.00</w:t>
            </w:r>
            <w:r>
              <w:rPr>
                <w:rFonts w:hint="eastAsia"/>
                <w:bCs/>
                <w:szCs w:val="21"/>
                <w:lang w:val="en-US" w:eastAsia="zh-CN"/>
              </w:rPr>
              <w:t>27</w:t>
            </w:r>
            <w:r>
              <w:rPr>
                <w:rFonts w:hint="eastAsia"/>
                <w:bCs/>
                <w:szCs w:val="21"/>
              </w:rPr>
              <w:t>t/a，排放速率为0.00</w:t>
            </w:r>
            <w:r>
              <w:rPr>
                <w:rFonts w:hint="eastAsia"/>
                <w:bCs/>
                <w:szCs w:val="21"/>
                <w:lang w:val="en-US" w:eastAsia="zh-CN"/>
              </w:rPr>
              <w:t>23</w:t>
            </w:r>
            <w:r>
              <w:rPr>
                <w:rFonts w:hint="eastAsia"/>
                <w:bCs/>
                <w:szCs w:val="21"/>
              </w:rPr>
              <w:t>kg/h，排放浓度为</w:t>
            </w:r>
            <w:r>
              <w:rPr>
                <w:rFonts w:hint="eastAsia"/>
                <w:bCs/>
                <w:szCs w:val="21"/>
                <w:lang w:val="en-US" w:eastAsia="zh-CN"/>
              </w:rPr>
              <w:t>0.46</w:t>
            </w:r>
            <w:r>
              <w:rPr>
                <w:rFonts w:hint="eastAsia"/>
                <w:bCs/>
                <w:szCs w:val="21"/>
              </w:rPr>
              <w:t>mg/m</w:t>
            </w:r>
            <w:r>
              <w:rPr>
                <w:rFonts w:hint="eastAsia"/>
                <w:bCs/>
                <w:szCs w:val="21"/>
                <w:vertAlign w:val="superscript"/>
              </w:rPr>
              <w:t>3</w:t>
            </w:r>
            <w:r>
              <w:rPr>
                <w:rFonts w:hint="eastAsia"/>
                <w:bCs/>
                <w:szCs w:val="21"/>
              </w:rPr>
              <w:t>。</w:t>
            </w:r>
          </w:p>
          <w:p w14:paraId="0F872B8D">
            <w:pPr>
              <w:spacing w:line="500" w:lineRule="exact"/>
              <w:ind w:firstLine="422" w:firstLineChars="200"/>
              <w:rPr>
                <w:rFonts w:hint="default" w:ascii="Times New Roman" w:hAnsi="Times New Roman" w:cs="Times New Roman"/>
                <w:b/>
                <w:bCs/>
                <w:color w:val="auto"/>
              </w:rPr>
            </w:pPr>
            <w:r>
              <w:rPr>
                <w:rFonts w:hint="eastAsia" w:cs="Times New Roman"/>
                <w:b/>
                <w:bCs/>
                <w:color w:val="auto"/>
                <w:lang w:val="en-US" w:eastAsia="zh-CN"/>
              </w:rPr>
              <w:t>2</w:t>
            </w:r>
            <w:r>
              <w:rPr>
                <w:rFonts w:hint="default" w:ascii="Times New Roman" w:hAnsi="Times New Roman" w:cs="Times New Roman"/>
                <w:b/>
                <w:bCs/>
                <w:color w:val="auto"/>
              </w:rPr>
              <w:t>、大气污染源监测计划</w:t>
            </w:r>
          </w:p>
          <w:p w14:paraId="66032656">
            <w:pPr>
              <w:spacing w:line="50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建设单位应按照根据《</w:t>
            </w:r>
            <w:r>
              <w:rPr>
                <w:rFonts w:hint="eastAsia" w:cs="Times New Roman"/>
                <w:color w:val="auto"/>
                <w:lang w:eastAsia="zh-CN"/>
              </w:rPr>
              <w:t>排污许可证申请与核发技术规范</w:t>
            </w:r>
            <w:r>
              <w:rPr>
                <w:rFonts w:hint="eastAsia" w:cs="Times New Roman"/>
                <w:color w:val="auto"/>
                <w:lang w:val="en-US" w:eastAsia="zh-CN"/>
              </w:rPr>
              <w:t xml:space="preserve"> </w:t>
            </w:r>
            <w:r>
              <w:rPr>
                <w:rFonts w:hint="eastAsia" w:cs="Times New Roman"/>
                <w:color w:val="auto"/>
                <w:lang w:eastAsia="zh-CN"/>
              </w:rPr>
              <w:t>工业固体废物和危险废物治理</w:t>
            </w:r>
            <w:r>
              <w:rPr>
                <w:rFonts w:hint="default" w:ascii="Times New Roman" w:hAnsi="Times New Roman" w:cs="Times New Roman"/>
                <w:color w:val="auto"/>
              </w:rPr>
              <w:t>》（HJ</w:t>
            </w:r>
            <w:r>
              <w:rPr>
                <w:rFonts w:hint="eastAsia" w:cs="Times New Roman"/>
                <w:color w:val="auto"/>
                <w:lang w:val="en-US" w:eastAsia="zh-CN"/>
              </w:rPr>
              <w:t>1033-2019</w:t>
            </w:r>
            <w:r>
              <w:rPr>
                <w:rFonts w:hint="default" w:ascii="Times New Roman" w:hAnsi="Times New Roman" w:cs="Times New Roman"/>
                <w:color w:val="auto"/>
              </w:rPr>
              <w:t>）相关要求，开展大气污染源监测，大气污染源监测计划如下。</w:t>
            </w:r>
          </w:p>
          <w:p w14:paraId="031E3173">
            <w:pPr>
              <w:spacing w:line="360" w:lineRule="auto"/>
              <w:jc w:val="center"/>
              <w:rPr>
                <w:rFonts w:hint="default" w:ascii="Times New Roman" w:hAnsi="Times New Roman" w:cs="Times New Roman"/>
                <w:b/>
                <w:bCs/>
                <w:color w:val="auto"/>
              </w:rPr>
            </w:pPr>
            <w:r>
              <w:rPr>
                <w:rFonts w:hint="default" w:ascii="Times New Roman" w:hAnsi="Times New Roman" w:cs="Times New Roman"/>
                <w:b/>
                <w:bCs/>
                <w:color w:val="auto"/>
              </w:rPr>
              <w:t>表 4-</w:t>
            </w:r>
            <w:r>
              <w:rPr>
                <w:rFonts w:hint="default" w:ascii="Times New Roman" w:hAnsi="Times New Roman" w:cs="Times New Roman"/>
                <w:b/>
                <w:bCs/>
                <w:color w:val="auto"/>
                <w:lang w:val="en-US" w:eastAsia="zh-CN"/>
              </w:rPr>
              <w:t>1</w:t>
            </w:r>
            <w:r>
              <w:rPr>
                <w:rFonts w:hint="eastAsia" w:ascii="Times New Roman" w:hAnsi="Times New Roman" w:cs="Times New Roman"/>
                <w:b/>
                <w:bCs/>
                <w:color w:val="auto"/>
                <w:lang w:val="en-US" w:eastAsia="zh-CN"/>
              </w:rPr>
              <w:t>7</w:t>
            </w:r>
            <w:r>
              <w:rPr>
                <w:rFonts w:hint="default" w:ascii="Times New Roman" w:hAnsi="Times New Roman" w:cs="Times New Roman"/>
                <w:b/>
                <w:bCs/>
                <w:color w:val="auto"/>
              </w:rPr>
              <w:t xml:space="preserve"> 大气污染源监测计划</w:t>
            </w:r>
          </w:p>
          <w:tbl>
            <w:tblPr>
              <w:tblStyle w:val="19"/>
              <w:tblW w:w="791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325"/>
              <w:gridCol w:w="1275"/>
              <w:gridCol w:w="2062"/>
              <w:gridCol w:w="1506"/>
            </w:tblGrid>
            <w:tr w14:paraId="34C212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49" w:type="dxa"/>
                  <w:vAlign w:val="center"/>
                </w:tcPr>
                <w:p w14:paraId="6133BC2C">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类别</w:t>
                  </w:r>
                </w:p>
              </w:tc>
              <w:tc>
                <w:tcPr>
                  <w:tcW w:w="2325" w:type="dxa"/>
                  <w:vAlign w:val="center"/>
                </w:tcPr>
                <w:p w14:paraId="3CED17E4">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监测位置</w:t>
                  </w:r>
                </w:p>
              </w:tc>
              <w:tc>
                <w:tcPr>
                  <w:tcW w:w="1275" w:type="dxa"/>
                  <w:vAlign w:val="center"/>
                </w:tcPr>
                <w:p w14:paraId="345FB052">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排气筒位置</w:t>
                  </w:r>
                </w:p>
              </w:tc>
              <w:tc>
                <w:tcPr>
                  <w:tcW w:w="2062" w:type="dxa"/>
                  <w:vAlign w:val="center"/>
                </w:tcPr>
                <w:p w14:paraId="304F00A7">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监测项目</w:t>
                  </w:r>
                </w:p>
              </w:tc>
              <w:tc>
                <w:tcPr>
                  <w:tcW w:w="1506" w:type="dxa"/>
                  <w:vAlign w:val="center"/>
                </w:tcPr>
                <w:p w14:paraId="06148599">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监测频次</w:t>
                  </w:r>
                </w:p>
              </w:tc>
            </w:tr>
            <w:tr w14:paraId="75BD3E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49" w:type="dxa"/>
                  <w:vMerge w:val="restart"/>
                  <w:vAlign w:val="center"/>
                </w:tcPr>
                <w:p w14:paraId="353D7D23">
                  <w:pPr>
                    <w:jc w:val="center"/>
                    <w:rPr>
                      <w:rFonts w:hint="eastAsia" w:ascii="Times New Roman" w:hAnsi="Times New Roman" w:eastAsia="宋体" w:cs="Times New Roman"/>
                      <w:color w:val="auto"/>
                      <w:sz w:val="18"/>
                      <w:szCs w:val="18"/>
                      <w:lang w:eastAsia="zh-CN"/>
                    </w:rPr>
                  </w:pPr>
                  <w:r>
                    <w:rPr>
                      <w:rFonts w:hint="eastAsia" w:cs="Times New Roman"/>
                      <w:color w:val="auto"/>
                      <w:sz w:val="18"/>
                      <w:szCs w:val="18"/>
                      <w:lang w:eastAsia="zh-CN"/>
                    </w:rPr>
                    <w:t>废气</w:t>
                  </w:r>
                </w:p>
              </w:tc>
              <w:tc>
                <w:tcPr>
                  <w:tcW w:w="2325" w:type="dxa"/>
                  <w:vAlign w:val="center"/>
                </w:tcPr>
                <w:p w14:paraId="6F16DE8E">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无组织排放（厂界下方向）</w:t>
                  </w:r>
                </w:p>
              </w:tc>
              <w:tc>
                <w:tcPr>
                  <w:tcW w:w="1275" w:type="dxa"/>
                  <w:vAlign w:val="center"/>
                </w:tcPr>
                <w:p w14:paraId="27F269BE">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厂界</w:t>
                  </w:r>
                </w:p>
              </w:tc>
              <w:tc>
                <w:tcPr>
                  <w:tcW w:w="2062" w:type="dxa"/>
                  <w:vAlign w:val="center"/>
                </w:tcPr>
                <w:p w14:paraId="372F5203">
                  <w:pPr>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bCs/>
                      <w:color w:val="auto"/>
                      <w:sz w:val="18"/>
                      <w:szCs w:val="15"/>
                      <w:lang w:val="en-US" w:eastAsia="zh-CN"/>
                    </w:rPr>
                    <w:t>颗粒物</w:t>
                  </w:r>
                </w:p>
              </w:tc>
              <w:tc>
                <w:tcPr>
                  <w:tcW w:w="1506" w:type="dxa"/>
                  <w:vAlign w:val="center"/>
                </w:tcPr>
                <w:p w14:paraId="65CC59AB">
                  <w:pPr>
                    <w:jc w:val="center"/>
                    <w:rPr>
                      <w:rFonts w:hint="default" w:ascii="Times New Roman" w:hAnsi="Times New Roman" w:cs="Times New Roman"/>
                      <w:color w:val="auto"/>
                      <w:sz w:val="18"/>
                      <w:szCs w:val="18"/>
                    </w:rPr>
                  </w:pPr>
                  <w:r>
                    <w:rPr>
                      <w:rFonts w:hint="eastAsia" w:cs="Times New Roman"/>
                      <w:color w:val="auto"/>
                      <w:sz w:val="18"/>
                      <w:szCs w:val="18"/>
                      <w:lang w:eastAsia="zh-CN"/>
                    </w:rPr>
                    <w:t>月</w:t>
                  </w:r>
                  <w:r>
                    <w:rPr>
                      <w:rFonts w:hint="default" w:ascii="Times New Roman" w:hAnsi="Times New Roman" w:cs="Times New Roman"/>
                      <w:color w:val="auto"/>
                      <w:sz w:val="18"/>
                      <w:szCs w:val="18"/>
                    </w:rPr>
                    <w:t>/次</w:t>
                  </w:r>
                </w:p>
              </w:tc>
            </w:tr>
            <w:tr w14:paraId="750B63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49" w:type="dxa"/>
                  <w:vMerge w:val="continue"/>
                  <w:vAlign w:val="center"/>
                </w:tcPr>
                <w:p w14:paraId="2671AAEF">
                  <w:pPr>
                    <w:jc w:val="center"/>
                    <w:rPr>
                      <w:rFonts w:hint="eastAsia" w:cs="Times New Roman"/>
                      <w:color w:val="auto"/>
                      <w:sz w:val="18"/>
                      <w:szCs w:val="18"/>
                      <w:lang w:eastAsia="zh-CN"/>
                    </w:rPr>
                  </w:pPr>
                </w:p>
              </w:tc>
              <w:tc>
                <w:tcPr>
                  <w:tcW w:w="2325" w:type="dxa"/>
                  <w:vAlign w:val="center"/>
                </w:tcPr>
                <w:p w14:paraId="74B4C66F">
                  <w:pPr>
                    <w:jc w:val="center"/>
                    <w:rPr>
                      <w:rFonts w:hint="eastAsia" w:ascii="Times New Roman" w:hAnsi="Times New Roman" w:eastAsia="宋体" w:cs="Times New Roman"/>
                      <w:color w:val="auto"/>
                      <w:sz w:val="18"/>
                      <w:szCs w:val="18"/>
                      <w:lang w:eastAsia="zh-CN"/>
                    </w:rPr>
                  </w:pPr>
                  <w:r>
                    <w:rPr>
                      <w:rFonts w:hint="eastAsia" w:cs="Times New Roman"/>
                      <w:color w:val="auto"/>
                      <w:sz w:val="18"/>
                      <w:szCs w:val="18"/>
                      <w:lang w:eastAsia="zh-CN"/>
                    </w:rPr>
                    <w:t>油烟管道</w:t>
                  </w:r>
                </w:p>
              </w:tc>
              <w:tc>
                <w:tcPr>
                  <w:tcW w:w="1275" w:type="dxa"/>
                  <w:vAlign w:val="center"/>
                </w:tcPr>
                <w:p w14:paraId="30F9E316">
                  <w:pPr>
                    <w:jc w:val="center"/>
                    <w:rPr>
                      <w:rFonts w:hint="eastAsia" w:ascii="Times New Roman" w:hAnsi="Times New Roman" w:eastAsia="宋体" w:cs="Times New Roman"/>
                      <w:color w:val="auto"/>
                      <w:sz w:val="18"/>
                      <w:szCs w:val="18"/>
                      <w:lang w:eastAsia="zh-CN"/>
                    </w:rPr>
                  </w:pPr>
                  <w:r>
                    <w:rPr>
                      <w:rFonts w:hint="eastAsia" w:cs="Times New Roman"/>
                      <w:color w:val="auto"/>
                      <w:sz w:val="18"/>
                      <w:szCs w:val="18"/>
                      <w:lang w:eastAsia="zh-CN"/>
                    </w:rPr>
                    <w:t>食堂</w:t>
                  </w:r>
                </w:p>
              </w:tc>
              <w:tc>
                <w:tcPr>
                  <w:tcW w:w="2062" w:type="dxa"/>
                  <w:vAlign w:val="center"/>
                </w:tcPr>
                <w:p w14:paraId="2CAD72ED">
                  <w:pPr>
                    <w:jc w:val="center"/>
                    <w:rPr>
                      <w:rFonts w:hint="default" w:ascii="Times New Roman" w:hAnsi="Times New Roman" w:cs="Times New Roman"/>
                      <w:bCs/>
                      <w:color w:val="auto"/>
                      <w:sz w:val="18"/>
                      <w:szCs w:val="15"/>
                      <w:lang w:val="en-US" w:eastAsia="zh-CN"/>
                    </w:rPr>
                  </w:pPr>
                  <w:r>
                    <w:rPr>
                      <w:rFonts w:hint="eastAsia" w:cs="Times New Roman"/>
                      <w:bCs/>
                      <w:color w:val="auto"/>
                      <w:sz w:val="18"/>
                      <w:szCs w:val="15"/>
                      <w:lang w:val="en-US" w:eastAsia="zh-CN"/>
                    </w:rPr>
                    <w:t>油烟</w:t>
                  </w:r>
                </w:p>
              </w:tc>
              <w:tc>
                <w:tcPr>
                  <w:tcW w:w="1506" w:type="dxa"/>
                  <w:vAlign w:val="center"/>
                </w:tcPr>
                <w:p w14:paraId="6AC1F118">
                  <w:pPr>
                    <w:jc w:val="center"/>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年</w:t>
                  </w:r>
                  <w:r>
                    <w:rPr>
                      <w:rFonts w:hint="default" w:ascii="Times New Roman" w:hAnsi="Times New Roman" w:cs="Times New Roman"/>
                      <w:color w:val="auto"/>
                      <w:sz w:val="18"/>
                      <w:szCs w:val="18"/>
                    </w:rPr>
                    <w:t>/次</w:t>
                  </w:r>
                </w:p>
              </w:tc>
            </w:tr>
          </w:tbl>
          <w:p w14:paraId="3B7E8E33">
            <w:pPr>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default" w:ascii="Times New Roman" w:hAnsi="Times New Roman" w:cs="Times New Roman"/>
                <w:b/>
                <w:bCs/>
                <w:color w:val="auto"/>
              </w:rPr>
            </w:pPr>
            <w:r>
              <w:rPr>
                <w:rFonts w:hint="eastAsia" w:cs="Times New Roman"/>
                <w:b/>
                <w:bCs/>
                <w:color w:val="auto"/>
                <w:lang w:val="en-US" w:eastAsia="zh-CN"/>
              </w:rPr>
              <w:t>3、</w:t>
            </w:r>
            <w:r>
              <w:rPr>
                <w:rFonts w:hint="default" w:ascii="Times New Roman" w:hAnsi="Times New Roman" w:cs="Times New Roman"/>
                <w:b/>
                <w:bCs/>
                <w:color w:val="auto"/>
              </w:rPr>
              <w:t xml:space="preserve">大气环境影响分析结论 </w:t>
            </w:r>
          </w:p>
          <w:p w14:paraId="288AF934">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default" w:ascii="Times New Roman" w:hAnsi="Times New Roman" w:cs="Times New Roman"/>
                <w:b/>
                <w:color w:val="auto"/>
                <w:szCs w:val="21"/>
              </w:rPr>
            </w:pPr>
            <w:r>
              <w:rPr>
                <w:rFonts w:hint="default" w:ascii="Times New Roman" w:hAnsi="Times New Roman" w:cs="Times New Roman"/>
                <w:color w:val="auto"/>
              </w:rPr>
              <w:t>经各项污染治理措施处理后，</w:t>
            </w:r>
            <w:r>
              <w:rPr>
                <w:rFonts w:hint="eastAsia" w:cs="Times New Roman"/>
                <w:color w:val="auto"/>
                <w:lang w:eastAsia="zh-CN"/>
              </w:rPr>
              <w:t>厂区颗粒物</w:t>
            </w:r>
            <w:r>
              <w:rPr>
                <w:rFonts w:hint="default" w:ascii="Times New Roman" w:hAnsi="Times New Roman" w:cs="Times New Roman"/>
                <w:color w:val="auto"/>
                <w:lang w:val="en-US" w:eastAsia="zh-CN"/>
              </w:rPr>
              <w:t>排放浓度满足</w:t>
            </w:r>
            <w:r>
              <w:rPr>
                <w:rFonts w:hint="default" w:ascii="Times New Roman" w:hAnsi="Times New Roman" w:cs="Times New Roman"/>
                <w:color w:val="auto"/>
              </w:rPr>
              <w:t>江苏省《大气污染物综合排放标准》（DB32/4041-2021）的相关要求</w:t>
            </w:r>
            <w:r>
              <w:rPr>
                <w:rFonts w:hint="default" w:ascii="Times New Roman" w:hAnsi="Times New Roman" w:cs="Times New Roman"/>
                <w:color w:val="auto"/>
                <w:lang w:val="en-US" w:eastAsia="zh-CN"/>
              </w:rPr>
              <w:t>。</w:t>
            </w:r>
            <w:r>
              <w:rPr>
                <w:rFonts w:hint="default" w:ascii="Times New Roman" w:hAnsi="Times New Roman" w:cs="Times New Roman"/>
                <w:color w:val="auto"/>
                <w:szCs w:val="24"/>
                <w:lang w:val="en-US" w:eastAsia="zh-CN"/>
              </w:rPr>
              <w:t>食堂油烟满足《饮食业油烟排放标准（试行）》（GB18483-2001）</w:t>
            </w:r>
            <w:r>
              <w:rPr>
                <w:rFonts w:hint="eastAsia" w:cs="Times New Roman"/>
                <w:color w:val="auto"/>
                <w:szCs w:val="24"/>
                <w:lang w:val="en-US" w:eastAsia="zh-CN"/>
              </w:rPr>
              <w:t>小</w:t>
            </w:r>
            <w:r>
              <w:rPr>
                <w:rFonts w:hint="default" w:ascii="Times New Roman" w:hAnsi="Times New Roman" w:cs="Times New Roman"/>
                <w:color w:val="auto"/>
                <w:szCs w:val="24"/>
                <w:lang w:val="en-US" w:eastAsia="zh-CN"/>
              </w:rPr>
              <w:t>型灶台标准</w:t>
            </w:r>
            <w:r>
              <w:rPr>
                <w:rFonts w:hint="default" w:ascii="Times New Roman" w:hAnsi="Times New Roman" w:cs="Times New Roman"/>
                <w:color w:val="auto"/>
                <w:lang w:val="en-US" w:eastAsia="zh-CN"/>
              </w:rPr>
              <w:t>。</w:t>
            </w:r>
            <w:r>
              <w:rPr>
                <w:rFonts w:hint="default" w:ascii="Times New Roman" w:hAnsi="Times New Roman" w:cs="Times New Roman"/>
                <w:color w:val="auto"/>
              </w:rPr>
              <w:t>采用的污染防治措施为可行技术，大气环境影响可接受。</w:t>
            </w:r>
          </w:p>
        </w:tc>
      </w:tr>
    </w:tbl>
    <w:p w14:paraId="748F2667">
      <w:pPr>
        <w:sectPr>
          <w:pgSz w:w="11906" w:h="16838"/>
          <w:pgMar w:top="1588" w:right="1531" w:bottom="1588" w:left="1531" w:header="851" w:footer="794"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9"/>
        <w:tblW w:w="1390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3160"/>
      </w:tblGrid>
      <w:tr w14:paraId="1AA8E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1" w:hRule="atLeast"/>
          <w:jc w:val="center"/>
        </w:trPr>
        <w:tc>
          <w:tcPr>
            <w:tcW w:w="746" w:type="dxa"/>
            <w:tcMar>
              <w:left w:w="28" w:type="dxa"/>
              <w:right w:w="28" w:type="dxa"/>
            </w:tcMar>
            <w:vAlign w:val="center"/>
          </w:tcPr>
          <w:p w14:paraId="592CC041">
            <w:pPr>
              <w:adjustRightInd w:val="0"/>
              <w:snapToGrid w:val="0"/>
              <w:jc w:val="center"/>
              <w:rPr>
                <w:rFonts w:ascii="宋体" w:hAnsi="宋体" w:cs="宋体"/>
                <w:bCs/>
                <w:szCs w:val="21"/>
              </w:rPr>
            </w:pPr>
            <w:r>
              <w:rPr>
                <w:rFonts w:hint="eastAsia" w:ascii="宋体" w:hAnsi="宋体" w:cs="宋体"/>
                <w:bCs/>
                <w:szCs w:val="21"/>
              </w:rPr>
              <w:t>运营</w:t>
            </w:r>
          </w:p>
          <w:p w14:paraId="5CDCCABE">
            <w:pPr>
              <w:adjustRightInd w:val="0"/>
              <w:snapToGrid w:val="0"/>
              <w:jc w:val="center"/>
              <w:rPr>
                <w:rFonts w:ascii="宋体" w:hAnsi="宋体" w:cs="宋体"/>
                <w:bCs/>
                <w:szCs w:val="21"/>
              </w:rPr>
            </w:pPr>
            <w:r>
              <w:rPr>
                <w:rFonts w:hint="eastAsia" w:ascii="宋体" w:hAnsi="宋体" w:cs="宋体"/>
                <w:bCs/>
                <w:szCs w:val="21"/>
              </w:rPr>
              <w:t>期环</w:t>
            </w:r>
          </w:p>
          <w:p w14:paraId="50B52DD3">
            <w:pPr>
              <w:adjustRightInd w:val="0"/>
              <w:snapToGrid w:val="0"/>
              <w:jc w:val="center"/>
              <w:rPr>
                <w:rFonts w:ascii="宋体" w:hAnsi="宋体" w:cs="宋体"/>
                <w:bCs/>
                <w:szCs w:val="21"/>
              </w:rPr>
            </w:pPr>
            <w:r>
              <w:rPr>
                <w:rFonts w:hint="eastAsia" w:ascii="宋体" w:hAnsi="宋体" w:cs="宋体"/>
                <w:bCs/>
                <w:szCs w:val="21"/>
              </w:rPr>
              <w:t>境影</w:t>
            </w:r>
          </w:p>
          <w:p w14:paraId="285D9120">
            <w:pPr>
              <w:adjustRightInd w:val="0"/>
              <w:snapToGrid w:val="0"/>
              <w:jc w:val="center"/>
              <w:rPr>
                <w:rFonts w:ascii="宋体" w:hAnsi="宋体" w:cs="宋体"/>
                <w:bCs/>
                <w:szCs w:val="21"/>
              </w:rPr>
            </w:pPr>
            <w:r>
              <w:rPr>
                <w:rFonts w:hint="eastAsia" w:ascii="宋体" w:hAnsi="宋体" w:cs="宋体"/>
                <w:bCs/>
                <w:szCs w:val="21"/>
              </w:rPr>
              <w:t>响和</w:t>
            </w:r>
          </w:p>
          <w:p w14:paraId="6BDC451A">
            <w:pPr>
              <w:adjustRightInd w:val="0"/>
              <w:snapToGrid w:val="0"/>
              <w:jc w:val="center"/>
              <w:rPr>
                <w:rFonts w:ascii="宋体" w:hAnsi="宋体" w:cs="宋体"/>
                <w:bCs/>
                <w:szCs w:val="21"/>
              </w:rPr>
            </w:pPr>
            <w:r>
              <w:rPr>
                <w:rFonts w:hint="eastAsia" w:ascii="宋体" w:hAnsi="宋体" w:cs="宋体"/>
                <w:bCs/>
                <w:szCs w:val="21"/>
              </w:rPr>
              <w:t>保护</w:t>
            </w:r>
          </w:p>
          <w:p w14:paraId="71BDEFDF">
            <w:pPr>
              <w:pStyle w:val="17"/>
              <w:adjustRightInd w:val="0"/>
              <w:snapToGrid w:val="0"/>
              <w:spacing w:before="0" w:beforeAutospacing="0" w:after="0" w:afterAutospacing="0"/>
              <w:jc w:val="center"/>
              <w:rPr>
                <w:rFonts w:cs="宋体"/>
                <w:bCs/>
                <w:kern w:val="2"/>
                <w:sz w:val="21"/>
                <w:szCs w:val="21"/>
              </w:rPr>
            </w:pPr>
            <w:r>
              <w:rPr>
                <w:rFonts w:hint="eastAsia" w:cs="宋体"/>
                <w:bCs/>
                <w:kern w:val="2"/>
                <w:sz w:val="21"/>
                <w:szCs w:val="21"/>
              </w:rPr>
              <w:t>措施</w:t>
            </w:r>
          </w:p>
        </w:tc>
        <w:tc>
          <w:tcPr>
            <w:tcW w:w="13160" w:type="dxa"/>
            <w:vAlign w:val="center"/>
          </w:tcPr>
          <w:p w14:paraId="42FD2CDB">
            <w:pPr>
              <w:adjustRightInd w:val="0"/>
              <w:snapToGrid w:val="0"/>
              <w:spacing w:line="500" w:lineRule="exact"/>
              <w:rPr>
                <w:b/>
                <w:szCs w:val="21"/>
              </w:rPr>
            </w:pPr>
            <w:r>
              <w:rPr>
                <w:rFonts w:hint="eastAsia"/>
                <w:b/>
                <w:szCs w:val="21"/>
              </w:rPr>
              <w:t>二、废水</w:t>
            </w:r>
          </w:p>
          <w:p w14:paraId="727B839B">
            <w:pPr>
              <w:adjustRightInd w:val="0"/>
              <w:snapToGrid w:val="0"/>
              <w:spacing w:line="500" w:lineRule="exact"/>
              <w:jc w:val="center"/>
              <w:rPr>
                <w:b/>
                <w:szCs w:val="21"/>
              </w:rPr>
            </w:pPr>
            <w:r>
              <w:rPr>
                <w:b/>
                <w:szCs w:val="21"/>
              </w:rPr>
              <w:t>表</w:t>
            </w:r>
            <w:r>
              <w:rPr>
                <w:rFonts w:hint="eastAsia"/>
                <w:b/>
                <w:szCs w:val="21"/>
              </w:rPr>
              <w:t>4-</w:t>
            </w:r>
            <w:r>
              <w:rPr>
                <w:rFonts w:hint="eastAsia"/>
                <w:b/>
                <w:szCs w:val="21"/>
                <w:lang w:val="en-US" w:eastAsia="zh-CN"/>
              </w:rPr>
              <w:t>21</w:t>
            </w:r>
            <w:r>
              <w:rPr>
                <w:rFonts w:hint="eastAsia"/>
                <w:b/>
                <w:szCs w:val="21"/>
              </w:rPr>
              <w:t xml:space="preserve"> </w:t>
            </w:r>
            <w:r>
              <w:rPr>
                <w:b/>
                <w:szCs w:val="21"/>
              </w:rPr>
              <w:t>项目废水污染物源强情况</w:t>
            </w:r>
          </w:p>
          <w:tbl>
            <w:tblPr>
              <w:tblStyle w:val="19"/>
              <w:tblW w:w="1297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6"/>
              <w:gridCol w:w="683"/>
              <w:gridCol w:w="773"/>
              <w:gridCol w:w="840"/>
              <w:gridCol w:w="963"/>
              <w:gridCol w:w="996"/>
              <w:gridCol w:w="869"/>
              <w:gridCol w:w="917"/>
              <w:gridCol w:w="749"/>
              <w:gridCol w:w="762"/>
              <w:gridCol w:w="645"/>
              <w:gridCol w:w="945"/>
              <w:gridCol w:w="1043"/>
              <w:gridCol w:w="625"/>
              <w:gridCol w:w="949"/>
              <w:gridCol w:w="540"/>
            </w:tblGrid>
            <w:tr w14:paraId="6CED43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676" w:type="dxa"/>
                  <w:vMerge w:val="restart"/>
                  <w:vAlign w:val="center"/>
                </w:tcPr>
                <w:p w14:paraId="607A7A37">
                  <w:pPr>
                    <w:jc w:val="center"/>
                    <w:textAlignment w:val="center"/>
                    <w:rPr>
                      <w:kern w:val="0"/>
                      <w:sz w:val="18"/>
                      <w:szCs w:val="18"/>
                      <w:lang w:bidi="ar"/>
                    </w:rPr>
                  </w:pPr>
                  <w:bookmarkStart w:id="8" w:name="OLE_LINK77" w:colFirst="15" w:colLast="17"/>
                  <w:bookmarkStart w:id="9" w:name="_Hlk109812299"/>
                  <w:bookmarkStart w:id="10" w:name="OLE_LINK78" w:colFirst="15" w:colLast="17"/>
                  <w:r>
                    <w:rPr>
                      <w:kern w:val="0"/>
                      <w:sz w:val="18"/>
                      <w:szCs w:val="18"/>
                      <w:lang w:bidi="ar"/>
                    </w:rPr>
                    <w:t>产排污环节</w:t>
                  </w:r>
                </w:p>
              </w:tc>
              <w:tc>
                <w:tcPr>
                  <w:tcW w:w="683" w:type="dxa"/>
                  <w:vMerge w:val="restart"/>
                  <w:vAlign w:val="center"/>
                </w:tcPr>
                <w:p w14:paraId="1B40DD4D">
                  <w:pPr>
                    <w:jc w:val="center"/>
                    <w:textAlignment w:val="center"/>
                    <w:rPr>
                      <w:kern w:val="0"/>
                      <w:sz w:val="18"/>
                      <w:szCs w:val="18"/>
                      <w:lang w:bidi="ar"/>
                    </w:rPr>
                  </w:pPr>
                  <w:r>
                    <w:rPr>
                      <w:kern w:val="0"/>
                      <w:sz w:val="18"/>
                      <w:szCs w:val="18"/>
                      <w:lang w:bidi="ar"/>
                    </w:rPr>
                    <w:t>类别</w:t>
                  </w:r>
                </w:p>
              </w:tc>
              <w:tc>
                <w:tcPr>
                  <w:tcW w:w="773" w:type="dxa"/>
                  <w:vMerge w:val="restart"/>
                  <w:vAlign w:val="center"/>
                </w:tcPr>
                <w:p w14:paraId="735AF984">
                  <w:pPr>
                    <w:jc w:val="center"/>
                    <w:textAlignment w:val="center"/>
                    <w:rPr>
                      <w:kern w:val="0"/>
                      <w:sz w:val="18"/>
                      <w:szCs w:val="18"/>
                      <w:lang w:bidi="ar"/>
                    </w:rPr>
                  </w:pPr>
                  <w:r>
                    <w:rPr>
                      <w:kern w:val="0"/>
                      <w:sz w:val="18"/>
                      <w:szCs w:val="18"/>
                      <w:lang w:bidi="ar"/>
                    </w:rPr>
                    <w:t>废水</w:t>
                  </w:r>
                </w:p>
                <w:p w14:paraId="78E679C8">
                  <w:pPr>
                    <w:jc w:val="center"/>
                    <w:textAlignment w:val="center"/>
                    <w:rPr>
                      <w:kern w:val="0"/>
                      <w:sz w:val="18"/>
                      <w:szCs w:val="18"/>
                      <w:lang w:bidi="ar"/>
                    </w:rPr>
                  </w:pPr>
                  <w:r>
                    <w:rPr>
                      <w:kern w:val="0"/>
                      <w:sz w:val="18"/>
                      <w:szCs w:val="18"/>
                      <w:lang w:bidi="ar"/>
                    </w:rPr>
                    <w:t>产生量</w:t>
                  </w:r>
                </w:p>
                <w:p w14:paraId="5A958AE0">
                  <w:pPr>
                    <w:jc w:val="center"/>
                    <w:textAlignment w:val="center"/>
                    <w:rPr>
                      <w:kern w:val="0"/>
                      <w:sz w:val="18"/>
                      <w:szCs w:val="18"/>
                      <w:lang w:bidi="ar"/>
                    </w:rPr>
                  </w:pPr>
                  <w:r>
                    <w:rPr>
                      <w:kern w:val="0"/>
                      <w:sz w:val="18"/>
                      <w:szCs w:val="18"/>
                      <w:lang w:bidi="ar"/>
                    </w:rPr>
                    <w:t>（t/a）</w:t>
                  </w:r>
                </w:p>
              </w:tc>
              <w:tc>
                <w:tcPr>
                  <w:tcW w:w="840" w:type="dxa"/>
                  <w:vMerge w:val="restart"/>
                  <w:vAlign w:val="center"/>
                </w:tcPr>
                <w:p w14:paraId="7A0100B6">
                  <w:pPr>
                    <w:jc w:val="center"/>
                    <w:textAlignment w:val="center"/>
                    <w:rPr>
                      <w:kern w:val="0"/>
                      <w:sz w:val="18"/>
                      <w:szCs w:val="18"/>
                      <w:lang w:bidi="ar"/>
                    </w:rPr>
                  </w:pPr>
                  <w:r>
                    <w:rPr>
                      <w:kern w:val="0"/>
                      <w:sz w:val="18"/>
                      <w:szCs w:val="18"/>
                      <w:lang w:bidi="ar"/>
                    </w:rPr>
                    <w:t>污染物种类</w:t>
                  </w:r>
                </w:p>
              </w:tc>
              <w:tc>
                <w:tcPr>
                  <w:tcW w:w="1959" w:type="dxa"/>
                  <w:gridSpan w:val="2"/>
                  <w:vAlign w:val="center"/>
                </w:tcPr>
                <w:p w14:paraId="767DF602">
                  <w:pPr>
                    <w:jc w:val="center"/>
                    <w:textAlignment w:val="center"/>
                    <w:rPr>
                      <w:kern w:val="0"/>
                      <w:sz w:val="18"/>
                      <w:szCs w:val="18"/>
                      <w:lang w:bidi="ar"/>
                    </w:rPr>
                  </w:pPr>
                  <w:r>
                    <w:rPr>
                      <w:kern w:val="0"/>
                      <w:sz w:val="18"/>
                      <w:szCs w:val="18"/>
                      <w:lang w:bidi="ar"/>
                    </w:rPr>
                    <w:t>污染物产生情况</w:t>
                  </w:r>
                </w:p>
              </w:tc>
              <w:tc>
                <w:tcPr>
                  <w:tcW w:w="1786" w:type="dxa"/>
                  <w:gridSpan w:val="2"/>
                  <w:vAlign w:val="center"/>
                </w:tcPr>
                <w:p w14:paraId="0453F059">
                  <w:pPr>
                    <w:jc w:val="center"/>
                    <w:textAlignment w:val="center"/>
                    <w:rPr>
                      <w:kern w:val="0"/>
                      <w:sz w:val="18"/>
                      <w:szCs w:val="18"/>
                      <w:lang w:bidi="ar"/>
                    </w:rPr>
                  </w:pPr>
                  <w:r>
                    <w:rPr>
                      <w:kern w:val="0"/>
                      <w:sz w:val="18"/>
                      <w:szCs w:val="18"/>
                      <w:lang w:bidi="ar"/>
                    </w:rPr>
                    <w:t>污染物排放情况</w:t>
                  </w:r>
                </w:p>
              </w:tc>
              <w:tc>
                <w:tcPr>
                  <w:tcW w:w="4144" w:type="dxa"/>
                  <w:gridSpan w:val="5"/>
                  <w:vAlign w:val="center"/>
                </w:tcPr>
                <w:p w14:paraId="0FF31BB9">
                  <w:pPr>
                    <w:jc w:val="center"/>
                    <w:textAlignment w:val="center"/>
                    <w:rPr>
                      <w:kern w:val="0"/>
                      <w:sz w:val="18"/>
                      <w:szCs w:val="18"/>
                      <w:lang w:bidi="ar"/>
                    </w:rPr>
                  </w:pPr>
                  <w:r>
                    <w:rPr>
                      <w:kern w:val="0"/>
                      <w:sz w:val="18"/>
                      <w:szCs w:val="18"/>
                      <w:lang w:bidi="ar"/>
                    </w:rPr>
                    <w:t>治理设施情况</w:t>
                  </w:r>
                </w:p>
              </w:tc>
              <w:tc>
                <w:tcPr>
                  <w:tcW w:w="625" w:type="dxa"/>
                  <w:vMerge w:val="restart"/>
                  <w:vAlign w:val="center"/>
                </w:tcPr>
                <w:p w14:paraId="4660E344">
                  <w:pPr>
                    <w:jc w:val="center"/>
                    <w:textAlignment w:val="center"/>
                    <w:rPr>
                      <w:kern w:val="0"/>
                      <w:sz w:val="18"/>
                      <w:szCs w:val="18"/>
                      <w:lang w:bidi="ar"/>
                    </w:rPr>
                  </w:pPr>
                  <w:r>
                    <w:rPr>
                      <w:kern w:val="0"/>
                      <w:sz w:val="18"/>
                      <w:szCs w:val="18"/>
                      <w:lang w:bidi="ar"/>
                    </w:rPr>
                    <w:t>排放</w:t>
                  </w:r>
                </w:p>
                <w:p w14:paraId="2B4D7C04">
                  <w:pPr>
                    <w:jc w:val="center"/>
                    <w:textAlignment w:val="center"/>
                    <w:rPr>
                      <w:kern w:val="0"/>
                      <w:sz w:val="18"/>
                      <w:szCs w:val="18"/>
                      <w:lang w:bidi="ar"/>
                    </w:rPr>
                  </w:pPr>
                  <w:r>
                    <w:rPr>
                      <w:kern w:val="0"/>
                      <w:sz w:val="18"/>
                      <w:szCs w:val="18"/>
                      <w:lang w:bidi="ar"/>
                    </w:rPr>
                    <w:t>方式</w:t>
                  </w:r>
                </w:p>
              </w:tc>
              <w:tc>
                <w:tcPr>
                  <w:tcW w:w="949" w:type="dxa"/>
                  <w:vMerge w:val="restart"/>
                  <w:vAlign w:val="center"/>
                </w:tcPr>
                <w:p w14:paraId="4B2204FB">
                  <w:pPr>
                    <w:jc w:val="center"/>
                    <w:textAlignment w:val="center"/>
                    <w:rPr>
                      <w:kern w:val="0"/>
                      <w:sz w:val="18"/>
                      <w:szCs w:val="18"/>
                      <w:lang w:bidi="ar"/>
                    </w:rPr>
                  </w:pPr>
                  <w:r>
                    <w:rPr>
                      <w:kern w:val="0"/>
                      <w:sz w:val="18"/>
                      <w:szCs w:val="18"/>
                      <w:lang w:bidi="ar"/>
                    </w:rPr>
                    <w:t>排放</w:t>
                  </w:r>
                </w:p>
                <w:p w14:paraId="227CF596">
                  <w:pPr>
                    <w:jc w:val="center"/>
                    <w:textAlignment w:val="center"/>
                    <w:rPr>
                      <w:kern w:val="0"/>
                      <w:sz w:val="18"/>
                      <w:szCs w:val="18"/>
                      <w:lang w:bidi="ar"/>
                    </w:rPr>
                  </w:pPr>
                  <w:r>
                    <w:rPr>
                      <w:kern w:val="0"/>
                      <w:sz w:val="18"/>
                      <w:szCs w:val="18"/>
                      <w:lang w:bidi="ar"/>
                    </w:rPr>
                    <w:t>去向</w:t>
                  </w:r>
                </w:p>
              </w:tc>
              <w:tc>
                <w:tcPr>
                  <w:tcW w:w="540" w:type="dxa"/>
                  <w:vMerge w:val="restart"/>
                  <w:vAlign w:val="center"/>
                </w:tcPr>
                <w:p w14:paraId="5F606CE9">
                  <w:pPr>
                    <w:jc w:val="center"/>
                    <w:textAlignment w:val="center"/>
                    <w:rPr>
                      <w:kern w:val="0"/>
                      <w:sz w:val="18"/>
                      <w:szCs w:val="18"/>
                      <w:lang w:bidi="ar"/>
                    </w:rPr>
                  </w:pPr>
                  <w:r>
                    <w:rPr>
                      <w:kern w:val="0"/>
                      <w:sz w:val="18"/>
                      <w:szCs w:val="18"/>
                      <w:lang w:bidi="ar"/>
                    </w:rPr>
                    <w:t>排放</w:t>
                  </w:r>
                </w:p>
                <w:p w14:paraId="318455AA">
                  <w:pPr>
                    <w:jc w:val="center"/>
                    <w:textAlignment w:val="center"/>
                    <w:rPr>
                      <w:kern w:val="0"/>
                      <w:sz w:val="18"/>
                      <w:szCs w:val="18"/>
                      <w:lang w:bidi="ar"/>
                    </w:rPr>
                  </w:pPr>
                  <w:r>
                    <w:rPr>
                      <w:kern w:val="0"/>
                      <w:sz w:val="18"/>
                      <w:szCs w:val="18"/>
                      <w:lang w:bidi="ar"/>
                    </w:rPr>
                    <w:t>规律</w:t>
                  </w:r>
                </w:p>
              </w:tc>
            </w:tr>
            <w:bookmarkEnd w:id="8"/>
            <w:bookmarkEnd w:id="9"/>
            <w:bookmarkEnd w:id="10"/>
            <w:tr w14:paraId="2B37A7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676" w:type="dxa"/>
                  <w:vMerge w:val="continue"/>
                  <w:vAlign w:val="center"/>
                </w:tcPr>
                <w:p w14:paraId="3A1437EB">
                  <w:pPr>
                    <w:jc w:val="center"/>
                    <w:textAlignment w:val="center"/>
                    <w:rPr>
                      <w:kern w:val="0"/>
                      <w:sz w:val="18"/>
                      <w:szCs w:val="18"/>
                      <w:lang w:bidi="ar"/>
                    </w:rPr>
                  </w:pPr>
                </w:p>
              </w:tc>
              <w:tc>
                <w:tcPr>
                  <w:tcW w:w="683" w:type="dxa"/>
                  <w:vMerge w:val="continue"/>
                  <w:vAlign w:val="center"/>
                </w:tcPr>
                <w:p w14:paraId="34D27AF0">
                  <w:pPr>
                    <w:jc w:val="center"/>
                    <w:textAlignment w:val="center"/>
                    <w:rPr>
                      <w:kern w:val="0"/>
                      <w:sz w:val="18"/>
                      <w:szCs w:val="18"/>
                      <w:lang w:bidi="ar"/>
                    </w:rPr>
                  </w:pPr>
                </w:p>
              </w:tc>
              <w:tc>
                <w:tcPr>
                  <w:tcW w:w="773" w:type="dxa"/>
                  <w:vMerge w:val="continue"/>
                  <w:vAlign w:val="center"/>
                </w:tcPr>
                <w:p w14:paraId="21296C6D">
                  <w:pPr>
                    <w:jc w:val="center"/>
                    <w:textAlignment w:val="center"/>
                    <w:rPr>
                      <w:kern w:val="0"/>
                      <w:sz w:val="18"/>
                      <w:szCs w:val="18"/>
                      <w:lang w:bidi="ar"/>
                    </w:rPr>
                  </w:pPr>
                </w:p>
              </w:tc>
              <w:tc>
                <w:tcPr>
                  <w:tcW w:w="840" w:type="dxa"/>
                  <w:vMerge w:val="continue"/>
                  <w:vAlign w:val="center"/>
                </w:tcPr>
                <w:p w14:paraId="53EACE29">
                  <w:pPr>
                    <w:jc w:val="center"/>
                    <w:textAlignment w:val="center"/>
                    <w:rPr>
                      <w:kern w:val="0"/>
                      <w:sz w:val="18"/>
                      <w:szCs w:val="18"/>
                      <w:lang w:bidi="ar"/>
                    </w:rPr>
                  </w:pPr>
                </w:p>
              </w:tc>
              <w:tc>
                <w:tcPr>
                  <w:tcW w:w="963" w:type="dxa"/>
                  <w:vAlign w:val="center"/>
                </w:tcPr>
                <w:p w14:paraId="2C6E7A48">
                  <w:pPr>
                    <w:jc w:val="center"/>
                    <w:textAlignment w:val="center"/>
                    <w:rPr>
                      <w:kern w:val="0"/>
                      <w:sz w:val="18"/>
                      <w:szCs w:val="18"/>
                      <w:lang w:bidi="ar"/>
                    </w:rPr>
                  </w:pPr>
                  <w:r>
                    <w:rPr>
                      <w:kern w:val="0"/>
                      <w:sz w:val="18"/>
                      <w:szCs w:val="18"/>
                      <w:lang w:bidi="ar"/>
                    </w:rPr>
                    <w:t>产生浓度</w:t>
                  </w:r>
                </w:p>
                <w:p w14:paraId="43FAE268">
                  <w:pPr>
                    <w:jc w:val="center"/>
                    <w:textAlignment w:val="center"/>
                    <w:rPr>
                      <w:kern w:val="0"/>
                      <w:sz w:val="18"/>
                      <w:szCs w:val="18"/>
                      <w:lang w:bidi="ar"/>
                    </w:rPr>
                  </w:pPr>
                  <w:r>
                    <w:rPr>
                      <w:kern w:val="0"/>
                      <w:sz w:val="18"/>
                      <w:szCs w:val="18"/>
                      <w:lang w:bidi="ar"/>
                    </w:rPr>
                    <w:t>mg/L</w:t>
                  </w:r>
                </w:p>
              </w:tc>
              <w:tc>
                <w:tcPr>
                  <w:tcW w:w="996" w:type="dxa"/>
                  <w:vAlign w:val="center"/>
                </w:tcPr>
                <w:p w14:paraId="4BF7BC70">
                  <w:pPr>
                    <w:jc w:val="center"/>
                    <w:textAlignment w:val="center"/>
                    <w:rPr>
                      <w:kern w:val="0"/>
                      <w:sz w:val="18"/>
                      <w:szCs w:val="18"/>
                      <w:lang w:bidi="ar"/>
                    </w:rPr>
                  </w:pPr>
                  <w:r>
                    <w:rPr>
                      <w:kern w:val="0"/>
                      <w:sz w:val="18"/>
                      <w:szCs w:val="18"/>
                      <w:lang w:bidi="ar"/>
                    </w:rPr>
                    <w:t>产生量</w:t>
                  </w:r>
                </w:p>
                <w:p w14:paraId="2D445C1E">
                  <w:pPr>
                    <w:jc w:val="center"/>
                    <w:textAlignment w:val="center"/>
                    <w:rPr>
                      <w:kern w:val="0"/>
                      <w:sz w:val="18"/>
                      <w:szCs w:val="18"/>
                      <w:lang w:bidi="ar"/>
                    </w:rPr>
                  </w:pPr>
                  <w:r>
                    <w:rPr>
                      <w:kern w:val="0"/>
                      <w:sz w:val="18"/>
                      <w:szCs w:val="18"/>
                      <w:lang w:bidi="ar"/>
                    </w:rPr>
                    <w:t>（t/a）</w:t>
                  </w:r>
                </w:p>
              </w:tc>
              <w:tc>
                <w:tcPr>
                  <w:tcW w:w="869" w:type="dxa"/>
                  <w:vAlign w:val="center"/>
                </w:tcPr>
                <w:p w14:paraId="43EF5451">
                  <w:pPr>
                    <w:jc w:val="center"/>
                    <w:textAlignment w:val="center"/>
                    <w:rPr>
                      <w:kern w:val="0"/>
                      <w:sz w:val="18"/>
                      <w:szCs w:val="18"/>
                      <w:lang w:bidi="ar"/>
                    </w:rPr>
                  </w:pPr>
                  <w:r>
                    <w:rPr>
                      <w:kern w:val="0"/>
                      <w:sz w:val="18"/>
                      <w:szCs w:val="18"/>
                      <w:lang w:bidi="ar"/>
                    </w:rPr>
                    <w:t>排放浓度mg/L</w:t>
                  </w:r>
                </w:p>
              </w:tc>
              <w:tc>
                <w:tcPr>
                  <w:tcW w:w="917" w:type="dxa"/>
                  <w:vAlign w:val="center"/>
                </w:tcPr>
                <w:p w14:paraId="00960D6E">
                  <w:pPr>
                    <w:jc w:val="center"/>
                    <w:textAlignment w:val="center"/>
                    <w:rPr>
                      <w:kern w:val="0"/>
                      <w:sz w:val="18"/>
                      <w:szCs w:val="18"/>
                      <w:lang w:bidi="ar"/>
                    </w:rPr>
                  </w:pPr>
                  <w:r>
                    <w:rPr>
                      <w:kern w:val="0"/>
                      <w:sz w:val="18"/>
                      <w:szCs w:val="18"/>
                      <w:lang w:bidi="ar"/>
                    </w:rPr>
                    <w:t>排放量（t/a）</w:t>
                  </w:r>
                </w:p>
              </w:tc>
              <w:tc>
                <w:tcPr>
                  <w:tcW w:w="749" w:type="dxa"/>
                  <w:vAlign w:val="center"/>
                </w:tcPr>
                <w:p w14:paraId="7E423AAD">
                  <w:pPr>
                    <w:jc w:val="center"/>
                    <w:textAlignment w:val="center"/>
                    <w:rPr>
                      <w:kern w:val="0"/>
                      <w:sz w:val="18"/>
                      <w:szCs w:val="18"/>
                      <w:lang w:bidi="ar"/>
                    </w:rPr>
                  </w:pPr>
                  <w:r>
                    <w:rPr>
                      <w:kern w:val="0"/>
                      <w:sz w:val="18"/>
                      <w:szCs w:val="18"/>
                      <w:lang w:bidi="ar"/>
                    </w:rPr>
                    <w:t>治理</w:t>
                  </w:r>
                </w:p>
                <w:p w14:paraId="68BB3251">
                  <w:pPr>
                    <w:jc w:val="center"/>
                    <w:textAlignment w:val="center"/>
                    <w:rPr>
                      <w:kern w:val="0"/>
                      <w:sz w:val="18"/>
                      <w:szCs w:val="18"/>
                      <w:lang w:bidi="ar"/>
                    </w:rPr>
                  </w:pPr>
                  <w:r>
                    <w:rPr>
                      <w:kern w:val="0"/>
                      <w:sz w:val="18"/>
                      <w:szCs w:val="18"/>
                      <w:lang w:bidi="ar"/>
                    </w:rPr>
                    <w:t>设施</w:t>
                  </w:r>
                </w:p>
              </w:tc>
              <w:tc>
                <w:tcPr>
                  <w:tcW w:w="762" w:type="dxa"/>
                  <w:vAlign w:val="center"/>
                </w:tcPr>
                <w:p w14:paraId="49CD86B1">
                  <w:pPr>
                    <w:jc w:val="center"/>
                    <w:textAlignment w:val="center"/>
                    <w:rPr>
                      <w:kern w:val="0"/>
                      <w:sz w:val="18"/>
                      <w:szCs w:val="18"/>
                      <w:lang w:bidi="ar"/>
                    </w:rPr>
                  </w:pPr>
                  <w:r>
                    <w:rPr>
                      <w:kern w:val="0"/>
                      <w:sz w:val="18"/>
                      <w:szCs w:val="18"/>
                      <w:lang w:bidi="ar"/>
                    </w:rPr>
                    <w:t>处理</w:t>
                  </w:r>
                </w:p>
                <w:p w14:paraId="75761672">
                  <w:pPr>
                    <w:jc w:val="center"/>
                    <w:textAlignment w:val="center"/>
                    <w:rPr>
                      <w:kern w:val="0"/>
                      <w:sz w:val="18"/>
                      <w:szCs w:val="18"/>
                      <w:lang w:bidi="ar"/>
                    </w:rPr>
                  </w:pPr>
                  <w:r>
                    <w:rPr>
                      <w:kern w:val="0"/>
                      <w:sz w:val="18"/>
                      <w:szCs w:val="18"/>
                      <w:lang w:bidi="ar"/>
                    </w:rPr>
                    <w:t>能力</w:t>
                  </w:r>
                </w:p>
              </w:tc>
              <w:tc>
                <w:tcPr>
                  <w:tcW w:w="645" w:type="dxa"/>
                  <w:vAlign w:val="center"/>
                </w:tcPr>
                <w:p w14:paraId="067D34DA">
                  <w:pPr>
                    <w:jc w:val="center"/>
                    <w:textAlignment w:val="center"/>
                    <w:rPr>
                      <w:kern w:val="0"/>
                      <w:sz w:val="18"/>
                      <w:szCs w:val="18"/>
                      <w:lang w:bidi="ar"/>
                    </w:rPr>
                  </w:pPr>
                  <w:r>
                    <w:rPr>
                      <w:kern w:val="0"/>
                      <w:sz w:val="18"/>
                      <w:szCs w:val="18"/>
                      <w:lang w:bidi="ar"/>
                    </w:rPr>
                    <w:t>治理</w:t>
                  </w:r>
                </w:p>
                <w:p w14:paraId="7B9E408C">
                  <w:pPr>
                    <w:jc w:val="center"/>
                    <w:textAlignment w:val="center"/>
                    <w:rPr>
                      <w:kern w:val="0"/>
                      <w:sz w:val="18"/>
                      <w:szCs w:val="18"/>
                      <w:lang w:bidi="ar"/>
                    </w:rPr>
                  </w:pPr>
                  <w:r>
                    <w:rPr>
                      <w:kern w:val="0"/>
                      <w:sz w:val="18"/>
                      <w:szCs w:val="18"/>
                      <w:lang w:bidi="ar"/>
                    </w:rPr>
                    <w:t>工艺</w:t>
                  </w:r>
                </w:p>
              </w:tc>
              <w:tc>
                <w:tcPr>
                  <w:tcW w:w="945" w:type="dxa"/>
                  <w:vAlign w:val="center"/>
                </w:tcPr>
                <w:p w14:paraId="171C4172">
                  <w:pPr>
                    <w:jc w:val="center"/>
                    <w:textAlignment w:val="center"/>
                    <w:rPr>
                      <w:kern w:val="0"/>
                      <w:sz w:val="18"/>
                      <w:szCs w:val="18"/>
                      <w:lang w:bidi="ar"/>
                    </w:rPr>
                  </w:pPr>
                  <w:r>
                    <w:rPr>
                      <w:kern w:val="0"/>
                      <w:sz w:val="18"/>
                      <w:szCs w:val="18"/>
                      <w:lang w:bidi="ar"/>
                    </w:rPr>
                    <w:t>治理效率</w:t>
                  </w:r>
                </w:p>
                <w:p w14:paraId="38EC6444">
                  <w:pPr>
                    <w:jc w:val="center"/>
                    <w:textAlignment w:val="center"/>
                    <w:rPr>
                      <w:kern w:val="0"/>
                      <w:sz w:val="18"/>
                      <w:szCs w:val="18"/>
                      <w:lang w:bidi="ar"/>
                    </w:rPr>
                  </w:pPr>
                  <w:r>
                    <w:rPr>
                      <w:kern w:val="0"/>
                      <w:sz w:val="18"/>
                      <w:szCs w:val="18"/>
                      <w:lang w:bidi="ar"/>
                    </w:rPr>
                    <w:t>（%）</w:t>
                  </w:r>
                </w:p>
              </w:tc>
              <w:tc>
                <w:tcPr>
                  <w:tcW w:w="1043" w:type="dxa"/>
                  <w:vAlign w:val="center"/>
                </w:tcPr>
                <w:p w14:paraId="2FB3B90C">
                  <w:pPr>
                    <w:jc w:val="center"/>
                    <w:textAlignment w:val="center"/>
                    <w:rPr>
                      <w:kern w:val="0"/>
                      <w:sz w:val="18"/>
                      <w:szCs w:val="18"/>
                      <w:lang w:bidi="ar"/>
                    </w:rPr>
                  </w:pPr>
                  <w:r>
                    <w:rPr>
                      <w:kern w:val="0"/>
                      <w:sz w:val="18"/>
                      <w:szCs w:val="18"/>
                      <w:lang w:bidi="ar"/>
                    </w:rPr>
                    <w:t>是否为可行技术</w:t>
                  </w:r>
                </w:p>
              </w:tc>
              <w:tc>
                <w:tcPr>
                  <w:tcW w:w="625" w:type="dxa"/>
                  <w:vMerge w:val="continue"/>
                  <w:vAlign w:val="center"/>
                </w:tcPr>
                <w:p w14:paraId="29A0A218">
                  <w:pPr>
                    <w:jc w:val="center"/>
                    <w:textAlignment w:val="center"/>
                    <w:rPr>
                      <w:kern w:val="0"/>
                      <w:sz w:val="18"/>
                      <w:szCs w:val="18"/>
                      <w:lang w:bidi="ar"/>
                    </w:rPr>
                  </w:pPr>
                </w:p>
              </w:tc>
              <w:tc>
                <w:tcPr>
                  <w:tcW w:w="949" w:type="dxa"/>
                  <w:vMerge w:val="continue"/>
                  <w:vAlign w:val="center"/>
                </w:tcPr>
                <w:p w14:paraId="47B7B596">
                  <w:pPr>
                    <w:jc w:val="center"/>
                    <w:textAlignment w:val="center"/>
                    <w:rPr>
                      <w:kern w:val="0"/>
                      <w:sz w:val="18"/>
                      <w:szCs w:val="18"/>
                      <w:lang w:bidi="ar"/>
                    </w:rPr>
                  </w:pPr>
                </w:p>
              </w:tc>
              <w:tc>
                <w:tcPr>
                  <w:tcW w:w="540" w:type="dxa"/>
                  <w:vMerge w:val="continue"/>
                  <w:vAlign w:val="center"/>
                </w:tcPr>
                <w:p w14:paraId="6A631A77">
                  <w:pPr>
                    <w:jc w:val="center"/>
                    <w:textAlignment w:val="center"/>
                    <w:rPr>
                      <w:kern w:val="0"/>
                      <w:sz w:val="18"/>
                      <w:szCs w:val="18"/>
                      <w:lang w:bidi="ar"/>
                    </w:rPr>
                  </w:pPr>
                </w:p>
              </w:tc>
            </w:tr>
            <w:tr w14:paraId="368AE4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76" w:type="dxa"/>
                  <w:vMerge w:val="restart"/>
                  <w:vAlign w:val="center"/>
                </w:tcPr>
                <w:p w14:paraId="6479FCB5">
                  <w:pPr>
                    <w:jc w:val="center"/>
                    <w:textAlignment w:val="center"/>
                    <w:rPr>
                      <w:kern w:val="0"/>
                      <w:sz w:val="18"/>
                      <w:szCs w:val="18"/>
                      <w:lang w:bidi="ar"/>
                    </w:rPr>
                  </w:pPr>
                  <w:bookmarkStart w:id="11" w:name="OLE_LINK1" w:colFirst="3" w:colLast="3"/>
                  <w:r>
                    <w:rPr>
                      <w:kern w:val="0"/>
                      <w:sz w:val="18"/>
                      <w:szCs w:val="18"/>
                      <w:lang w:bidi="ar"/>
                    </w:rPr>
                    <w:t>职工生活</w:t>
                  </w:r>
                </w:p>
              </w:tc>
              <w:tc>
                <w:tcPr>
                  <w:tcW w:w="683" w:type="dxa"/>
                  <w:vMerge w:val="restart"/>
                  <w:vAlign w:val="center"/>
                </w:tcPr>
                <w:p w14:paraId="316F4DB3">
                  <w:pPr>
                    <w:jc w:val="center"/>
                    <w:textAlignment w:val="center"/>
                    <w:rPr>
                      <w:kern w:val="0"/>
                      <w:sz w:val="18"/>
                      <w:szCs w:val="18"/>
                      <w:lang w:bidi="ar"/>
                    </w:rPr>
                  </w:pPr>
                  <w:r>
                    <w:rPr>
                      <w:kern w:val="0"/>
                      <w:sz w:val="18"/>
                      <w:szCs w:val="18"/>
                      <w:lang w:bidi="ar"/>
                    </w:rPr>
                    <w:t>生活污水</w:t>
                  </w:r>
                </w:p>
              </w:tc>
              <w:tc>
                <w:tcPr>
                  <w:tcW w:w="773" w:type="dxa"/>
                  <w:vMerge w:val="restart"/>
                  <w:vAlign w:val="center"/>
                </w:tcPr>
                <w:p w14:paraId="14BED088">
                  <w:pPr>
                    <w:jc w:val="center"/>
                    <w:textAlignment w:val="center"/>
                    <w:rPr>
                      <w:rFonts w:hint="default" w:eastAsia="宋体"/>
                      <w:kern w:val="0"/>
                      <w:sz w:val="18"/>
                      <w:szCs w:val="18"/>
                      <w:lang w:val="en-US" w:eastAsia="zh-CN" w:bidi="ar"/>
                    </w:rPr>
                  </w:pPr>
                  <w:r>
                    <w:rPr>
                      <w:rFonts w:hint="eastAsia"/>
                      <w:kern w:val="0"/>
                      <w:sz w:val="18"/>
                      <w:szCs w:val="18"/>
                      <w:lang w:val="en-US" w:eastAsia="zh-CN" w:bidi="ar"/>
                    </w:rPr>
                    <w:t>360</w:t>
                  </w:r>
                </w:p>
              </w:tc>
              <w:tc>
                <w:tcPr>
                  <w:tcW w:w="840" w:type="dxa"/>
                  <w:vAlign w:val="center"/>
                </w:tcPr>
                <w:p w14:paraId="32ACB1B3">
                  <w:pPr>
                    <w:jc w:val="center"/>
                    <w:rPr>
                      <w:kern w:val="0"/>
                      <w:sz w:val="18"/>
                      <w:szCs w:val="18"/>
                      <w:lang w:bidi="ar"/>
                    </w:rPr>
                  </w:pPr>
                  <w:r>
                    <w:rPr>
                      <w:sz w:val="18"/>
                      <w:szCs w:val="18"/>
                    </w:rPr>
                    <w:t>COD</w:t>
                  </w:r>
                </w:p>
              </w:tc>
              <w:tc>
                <w:tcPr>
                  <w:tcW w:w="963" w:type="dxa"/>
                  <w:vAlign w:val="center"/>
                </w:tcPr>
                <w:p w14:paraId="10FEA1DE">
                  <w:pPr>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350</w:t>
                  </w:r>
                </w:p>
              </w:tc>
              <w:tc>
                <w:tcPr>
                  <w:tcW w:w="996" w:type="dxa"/>
                  <w:vAlign w:val="center"/>
                </w:tcPr>
                <w:p w14:paraId="76A8B133">
                  <w:pPr>
                    <w:jc w:val="center"/>
                    <w:textAlignment w:val="center"/>
                    <w:rPr>
                      <w:rFonts w:hint="default" w:ascii="Times New Roman" w:hAnsi="Times New Roman" w:eastAsia="宋体" w:cs="Times New Roman"/>
                      <w:kern w:val="0"/>
                      <w:sz w:val="18"/>
                      <w:szCs w:val="18"/>
                      <w:lang w:val="en-US" w:bidi="ar"/>
                    </w:rPr>
                  </w:pPr>
                  <w:r>
                    <w:rPr>
                      <w:rFonts w:hint="eastAsia" w:ascii="Times New Roman" w:hAnsi="Times New Roman" w:eastAsia="宋体" w:cs="Times New Roman"/>
                      <w:kern w:val="0"/>
                      <w:sz w:val="18"/>
                      <w:szCs w:val="18"/>
                      <w:lang w:val="en-US" w:eastAsia="zh-CN" w:bidi="ar"/>
                    </w:rPr>
                    <w:t>0.126</w:t>
                  </w:r>
                </w:p>
              </w:tc>
              <w:tc>
                <w:tcPr>
                  <w:tcW w:w="869" w:type="dxa"/>
                  <w:vAlign w:val="center"/>
                </w:tcPr>
                <w:p w14:paraId="05E3311C">
                  <w:pPr>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300</w:t>
                  </w:r>
                </w:p>
              </w:tc>
              <w:tc>
                <w:tcPr>
                  <w:tcW w:w="917" w:type="dxa"/>
                  <w:vAlign w:val="center"/>
                </w:tcPr>
                <w:p w14:paraId="2F465262">
                  <w:pPr>
                    <w:jc w:val="center"/>
                    <w:textAlignment w:val="center"/>
                    <w:rPr>
                      <w:rFonts w:hint="default" w:ascii="Times New Roman" w:hAnsi="Times New Roman" w:eastAsia="宋体" w:cs="Times New Roman"/>
                      <w:kern w:val="0"/>
                      <w:sz w:val="18"/>
                      <w:szCs w:val="18"/>
                      <w:lang w:val="en-US" w:bidi="ar"/>
                    </w:rPr>
                  </w:pPr>
                  <w:r>
                    <w:rPr>
                      <w:rFonts w:hint="eastAsia" w:ascii="Times New Roman" w:hAnsi="Times New Roman" w:eastAsia="宋体" w:cs="Times New Roman"/>
                      <w:kern w:val="0"/>
                      <w:sz w:val="18"/>
                      <w:szCs w:val="18"/>
                      <w:lang w:val="en-US" w:eastAsia="zh-CN" w:bidi="ar"/>
                    </w:rPr>
                    <w:t>0.108</w:t>
                  </w:r>
                </w:p>
              </w:tc>
              <w:tc>
                <w:tcPr>
                  <w:tcW w:w="749" w:type="dxa"/>
                  <w:vMerge w:val="restart"/>
                  <w:vAlign w:val="center"/>
                </w:tcPr>
                <w:p w14:paraId="0CDED52F">
                  <w:pPr>
                    <w:jc w:val="center"/>
                    <w:textAlignment w:val="center"/>
                    <w:rPr>
                      <w:kern w:val="0"/>
                      <w:sz w:val="18"/>
                      <w:szCs w:val="18"/>
                      <w:lang w:bidi="ar"/>
                    </w:rPr>
                  </w:pPr>
                  <w:r>
                    <w:rPr>
                      <w:kern w:val="0"/>
                      <w:sz w:val="18"/>
                      <w:szCs w:val="18"/>
                      <w:lang w:bidi="ar"/>
                    </w:rPr>
                    <w:t>化粪池</w:t>
                  </w:r>
                </w:p>
              </w:tc>
              <w:tc>
                <w:tcPr>
                  <w:tcW w:w="762" w:type="dxa"/>
                  <w:vMerge w:val="restart"/>
                  <w:vAlign w:val="center"/>
                </w:tcPr>
                <w:p w14:paraId="295A087F">
                  <w:pPr>
                    <w:jc w:val="center"/>
                    <w:textAlignment w:val="center"/>
                    <w:rPr>
                      <w:kern w:val="0"/>
                      <w:sz w:val="18"/>
                      <w:szCs w:val="18"/>
                      <w:lang w:bidi="ar"/>
                    </w:rPr>
                  </w:pPr>
                  <w:r>
                    <w:rPr>
                      <w:rFonts w:hint="eastAsia"/>
                      <w:kern w:val="0"/>
                      <w:sz w:val="18"/>
                      <w:szCs w:val="18"/>
                      <w:lang w:val="en-US" w:eastAsia="zh-CN" w:bidi="ar"/>
                    </w:rPr>
                    <w:t>1</w:t>
                  </w:r>
                  <w:r>
                    <w:rPr>
                      <w:kern w:val="0"/>
                      <w:sz w:val="18"/>
                      <w:szCs w:val="18"/>
                      <w:lang w:bidi="ar"/>
                    </w:rPr>
                    <w:t>t/h</w:t>
                  </w:r>
                </w:p>
              </w:tc>
              <w:tc>
                <w:tcPr>
                  <w:tcW w:w="645" w:type="dxa"/>
                  <w:vMerge w:val="restart"/>
                  <w:vAlign w:val="center"/>
                </w:tcPr>
                <w:p w14:paraId="664858A3">
                  <w:pPr>
                    <w:jc w:val="center"/>
                    <w:textAlignment w:val="center"/>
                    <w:rPr>
                      <w:kern w:val="0"/>
                      <w:sz w:val="18"/>
                      <w:szCs w:val="18"/>
                      <w:lang w:bidi="ar"/>
                    </w:rPr>
                  </w:pPr>
                  <w:r>
                    <w:rPr>
                      <w:kern w:val="0"/>
                      <w:sz w:val="18"/>
                      <w:szCs w:val="18"/>
                      <w:lang w:bidi="ar"/>
                    </w:rPr>
                    <w:t>厌氧发酵</w:t>
                  </w:r>
                </w:p>
              </w:tc>
              <w:tc>
                <w:tcPr>
                  <w:tcW w:w="945" w:type="dxa"/>
                  <w:vAlign w:val="center"/>
                </w:tcPr>
                <w:p w14:paraId="1E8AE5B0">
                  <w:pPr>
                    <w:jc w:val="center"/>
                    <w:textAlignment w:val="center"/>
                    <w:rPr>
                      <w:kern w:val="0"/>
                      <w:sz w:val="18"/>
                      <w:szCs w:val="18"/>
                      <w:lang w:bidi="ar"/>
                    </w:rPr>
                  </w:pPr>
                  <w:r>
                    <w:rPr>
                      <w:kern w:val="0"/>
                      <w:sz w:val="18"/>
                      <w:szCs w:val="18"/>
                      <w:lang w:bidi="ar"/>
                    </w:rPr>
                    <w:t>14</w:t>
                  </w:r>
                </w:p>
              </w:tc>
              <w:tc>
                <w:tcPr>
                  <w:tcW w:w="1043" w:type="dxa"/>
                  <w:vMerge w:val="restart"/>
                  <w:vAlign w:val="center"/>
                </w:tcPr>
                <w:p w14:paraId="654844DB">
                  <w:pPr>
                    <w:jc w:val="center"/>
                    <w:textAlignment w:val="center"/>
                    <w:rPr>
                      <w:kern w:val="0"/>
                      <w:sz w:val="18"/>
                      <w:szCs w:val="18"/>
                      <w:lang w:bidi="ar"/>
                    </w:rPr>
                  </w:pPr>
                  <w:r>
                    <w:rPr>
                      <w:kern w:val="0"/>
                      <w:sz w:val="18"/>
                      <w:szCs w:val="18"/>
                      <w:lang w:bidi="ar"/>
                    </w:rPr>
                    <w:t>是</w:t>
                  </w:r>
                </w:p>
              </w:tc>
              <w:tc>
                <w:tcPr>
                  <w:tcW w:w="625" w:type="dxa"/>
                  <w:vMerge w:val="restart"/>
                  <w:vAlign w:val="center"/>
                </w:tcPr>
                <w:p w14:paraId="3A74E9AC">
                  <w:pPr>
                    <w:jc w:val="center"/>
                    <w:textAlignment w:val="center"/>
                    <w:rPr>
                      <w:kern w:val="0"/>
                      <w:sz w:val="18"/>
                      <w:szCs w:val="18"/>
                      <w:lang w:bidi="ar"/>
                    </w:rPr>
                  </w:pPr>
                  <w:r>
                    <w:rPr>
                      <w:kern w:val="0"/>
                      <w:sz w:val="18"/>
                      <w:szCs w:val="18"/>
                      <w:lang w:bidi="ar"/>
                    </w:rPr>
                    <w:t>间接排放</w:t>
                  </w:r>
                </w:p>
              </w:tc>
              <w:tc>
                <w:tcPr>
                  <w:tcW w:w="949" w:type="dxa"/>
                  <w:vMerge w:val="restart"/>
                  <w:vAlign w:val="center"/>
                </w:tcPr>
                <w:p w14:paraId="2DDFFA53">
                  <w:pPr>
                    <w:jc w:val="center"/>
                    <w:textAlignment w:val="center"/>
                    <w:rPr>
                      <w:rFonts w:hint="eastAsia" w:eastAsia="宋体"/>
                      <w:kern w:val="0"/>
                      <w:sz w:val="18"/>
                      <w:szCs w:val="18"/>
                      <w:lang w:eastAsia="zh-CN" w:bidi="ar"/>
                    </w:rPr>
                  </w:pPr>
                  <w:r>
                    <w:rPr>
                      <w:rFonts w:hint="eastAsia"/>
                      <w:kern w:val="0"/>
                      <w:sz w:val="18"/>
                      <w:szCs w:val="18"/>
                      <w:lang w:eastAsia="zh-CN" w:bidi="ar"/>
                    </w:rPr>
                    <w:t>联合水务（启东）有限公司</w:t>
                  </w:r>
                </w:p>
              </w:tc>
              <w:tc>
                <w:tcPr>
                  <w:tcW w:w="540" w:type="dxa"/>
                  <w:vMerge w:val="restart"/>
                  <w:vAlign w:val="center"/>
                </w:tcPr>
                <w:p w14:paraId="681BBDAB">
                  <w:pPr>
                    <w:jc w:val="center"/>
                    <w:textAlignment w:val="center"/>
                    <w:rPr>
                      <w:kern w:val="0"/>
                      <w:sz w:val="18"/>
                      <w:szCs w:val="18"/>
                      <w:lang w:bidi="ar"/>
                    </w:rPr>
                  </w:pPr>
                  <w:r>
                    <w:rPr>
                      <w:kern w:val="0"/>
                      <w:sz w:val="18"/>
                      <w:szCs w:val="18"/>
                      <w:lang w:bidi="ar"/>
                    </w:rPr>
                    <w:t>间歇排放</w:t>
                  </w:r>
                </w:p>
              </w:tc>
            </w:tr>
            <w:tr w14:paraId="665998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76" w:type="dxa"/>
                  <w:vMerge w:val="continue"/>
                  <w:vAlign w:val="center"/>
                </w:tcPr>
                <w:p w14:paraId="6AD29EC6">
                  <w:pPr>
                    <w:jc w:val="center"/>
                    <w:textAlignment w:val="center"/>
                    <w:rPr>
                      <w:kern w:val="0"/>
                      <w:sz w:val="18"/>
                      <w:szCs w:val="18"/>
                      <w:lang w:bidi="ar"/>
                    </w:rPr>
                  </w:pPr>
                </w:p>
              </w:tc>
              <w:tc>
                <w:tcPr>
                  <w:tcW w:w="683" w:type="dxa"/>
                  <w:vMerge w:val="continue"/>
                  <w:vAlign w:val="center"/>
                </w:tcPr>
                <w:p w14:paraId="2D40B926">
                  <w:pPr>
                    <w:jc w:val="center"/>
                    <w:textAlignment w:val="center"/>
                    <w:rPr>
                      <w:kern w:val="0"/>
                      <w:sz w:val="18"/>
                      <w:szCs w:val="18"/>
                      <w:lang w:bidi="ar"/>
                    </w:rPr>
                  </w:pPr>
                </w:p>
              </w:tc>
              <w:tc>
                <w:tcPr>
                  <w:tcW w:w="773" w:type="dxa"/>
                  <w:vMerge w:val="continue"/>
                  <w:vAlign w:val="center"/>
                </w:tcPr>
                <w:p w14:paraId="19A4D3E8">
                  <w:pPr>
                    <w:jc w:val="center"/>
                    <w:textAlignment w:val="center"/>
                    <w:rPr>
                      <w:kern w:val="0"/>
                      <w:sz w:val="18"/>
                      <w:szCs w:val="18"/>
                      <w:lang w:bidi="ar"/>
                    </w:rPr>
                  </w:pPr>
                </w:p>
              </w:tc>
              <w:tc>
                <w:tcPr>
                  <w:tcW w:w="840" w:type="dxa"/>
                  <w:vAlign w:val="center"/>
                </w:tcPr>
                <w:p w14:paraId="3FC598BF">
                  <w:pPr>
                    <w:jc w:val="center"/>
                    <w:rPr>
                      <w:kern w:val="0"/>
                      <w:sz w:val="18"/>
                      <w:szCs w:val="18"/>
                      <w:lang w:bidi="ar"/>
                    </w:rPr>
                  </w:pPr>
                  <w:r>
                    <w:rPr>
                      <w:sz w:val="18"/>
                      <w:szCs w:val="18"/>
                    </w:rPr>
                    <w:t>SS</w:t>
                  </w:r>
                </w:p>
              </w:tc>
              <w:tc>
                <w:tcPr>
                  <w:tcW w:w="963" w:type="dxa"/>
                  <w:vAlign w:val="center"/>
                </w:tcPr>
                <w:p w14:paraId="1EAD4F30">
                  <w:pPr>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200</w:t>
                  </w:r>
                </w:p>
              </w:tc>
              <w:tc>
                <w:tcPr>
                  <w:tcW w:w="996" w:type="dxa"/>
                  <w:vAlign w:val="center"/>
                </w:tcPr>
                <w:p w14:paraId="00207791">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0.072</w:t>
                  </w:r>
                </w:p>
              </w:tc>
              <w:tc>
                <w:tcPr>
                  <w:tcW w:w="869" w:type="dxa"/>
                  <w:vAlign w:val="center"/>
                </w:tcPr>
                <w:p w14:paraId="7E25049C">
                  <w:pPr>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150</w:t>
                  </w:r>
                </w:p>
              </w:tc>
              <w:tc>
                <w:tcPr>
                  <w:tcW w:w="917" w:type="dxa"/>
                  <w:vAlign w:val="center"/>
                </w:tcPr>
                <w:p w14:paraId="36C8C66C">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0.054</w:t>
                  </w:r>
                </w:p>
              </w:tc>
              <w:tc>
                <w:tcPr>
                  <w:tcW w:w="749" w:type="dxa"/>
                  <w:vMerge w:val="continue"/>
                  <w:vAlign w:val="center"/>
                </w:tcPr>
                <w:p w14:paraId="0D62E801">
                  <w:pPr>
                    <w:jc w:val="center"/>
                    <w:textAlignment w:val="center"/>
                    <w:rPr>
                      <w:kern w:val="0"/>
                      <w:sz w:val="18"/>
                      <w:szCs w:val="18"/>
                      <w:lang w:bidi="ar"/>
                    </w:rPr>
                  </w:pPr>
                </w:p>
              </w:tc>
              <w:tc>
                <w:tcPr>
                  <w:tcW w:w="762" w:type="dxa"/>
                  <w:vMerge w:val="continue"/>
                  <w:vAlign w:val="center"/>
                </w:tcPr>
                <w:p w14:paraId="2FC02E1D">
                  <w:pPr>
                    <w:jc w:val="center"/>
                    <w:textAlignment w:val="center"/>
                    <w:rPr>
                      <w:kern w:val="0"/>
                      <w:sz w:val="18"/>
                      <w:szCs w:val="18"/>
                      <w:lang w:bidi="ar"/>
                    </w:rPr>
                  </w:pPr>
                </w:p>
              </w:tc>
              <w:tc>
                <w:tcPr>
                  <w:tcW w:w="645" w:type="dxa"/>
                  <w:vMerge w:val="continue"/>
                  <w:vAlign w:val="center"/>
                </w:tcPr>
                <w:p w14:paraId="577E171D">
                  <w:pPr>
                    <w:jc w:val="center"/>
                    <w:textAlignment w:val="center"/>
                    <w:rPr>
                      <w:kern w:val="0"/>
                      <w:sz w:val="18"/>
                      <w:szCs w:val="18"/>
                      <w:lang w:bidi="ar"/>
                    </w:rPr>
                  </w:pPr>
                </w:p>
              </w:tc>
              <w:tc>
                <w:tcPr>
                  <w:tcW w:w="945" w:type="dxa"/>
                  <w:vAlign w:val="center"/>
                </w:tcPr>
                <w:p w14:paraId="2335F148">
                  <w:pPr>
                    <w:jc w:val="center"/>
                    <w:textAlignment w:val="center"/>
                    <w:rPr>
                      <w:kern w:val="0"/>
                      <w:sz w:val="18"/>
                      <w:szCs w:val="18"/>
                      <w:lang w:bidi="ar"/>
                    </w:rPr>
                  </w:pPr>
                  <w:r>
                    <w:rPr>
                      <w:kern w:val="0"/>
                      <w:sz w:val="18"/>
                      <w:szCs w:val="18"/>
                      <w:lang w:bidi="ar"/>
                    </w:rPr>
                    <w:t>25</w:t>
                  </w:r>
                </w:p>
              </w:tc>
              <w:tc>
                <w:tcPr>
                  <w:tcW w:w="1043" w:type="dxa"/>
                  <w:vMerge w:val="continue"/>
                  <w:vAlign w:val="center"/>
                </w:tcPr>
                <w:p w14:paraId="14A55DFF">
                  <w:pPr>
                    <w:jc w:val="center"/>
                    <w:textAlignment w:val="center"/>
                    <w:rPr>
                      <w:kern w:val="0"/>
                      <w:sz w:val="18"/>
                      <w:szCs w:val="18"/>
                      <w:lang w:bidi="ar"/>
                    </w:rPr>
                  </w:pPr>
                </w:p>
              </w:tc>
              <w:tc>
                <w:tcPr>
                  <w:tcW w:w="625" w:type="dxa"/>
                  <w:vMerge w:val="continue"/>
                  <w:vAlign w:val="center"/>
                </w:tcPr>
                <w:p w14:paraId="4EE3916C">
                  <w:pPr>
                    <w:jc w:val="center"/>
                    <w:textAlignment w:val="center"/>
                    <w:rPr>
                      <w:kern w:val="0"/>
                      <w:sz w:val="18"/>
                      <w:szCs w:val="18"/>
                      <w:lang w:bidi="ar"/>
                    </w:rPr>
                  </w:pPr>
                </w:p>
              </w:tc>
              <w:tc>
                <w:tcPr>
                  <w:tcW w:w="949" w:type="dxa"/>
                  <w:vMerge w:val="continue"/>
                  <w:vAlign w:val="center"/>
                </w:tcPr>
                <w:p w14:paraId="2C219E66">
                  <w:pPr>
                    <w:jc w:val="center"/>
                    <w:textAlignment w:val="center"/>
                    <w:rPr>
                      <w:kern w:val="0"/>
                      <w:sz w:val="18"/>
                      <w:szCs w:val="18"/>
                      <w:lang w:bidi="ar"/>
                    </w:rPr>
                  </w:pPr>
                </w:p>
              </w:tc>
              <w:tc>
                <w:tcPr>
                  <w:tcW w:w="540" w:type="dxa"/>
                  <w:vMerge w:val="continue"/>
                  <w:vAlign w:val="center"/>
                </w:tcPr>
                <w:p w14:paraId="02BEB602">
                  <w:pPr>
                    <w:jc w:val="center"/>
                    <w:textAlignment w:val="center"/>
                    <w:rPr>
                      <w:kern w:val="0"/>
                      <w:sz w:val="18"/>
                      <w:szCs w:val="18"/>
                      <w:lang w:bidi="ar"/>
                    </w:rPr>
                  </w:pPr>
                </w:p>
              </w:tc>
            </w:tr>
            <w:tr w14:paraId="7FD6FF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76" w:type="dxa"/>
                  <w:vMerge w:val="continue"/>
                  <w:vAlign w:val="center"/>
                </w:tcPr>
                <w:p w14:paraId="6BECAA24">
                  <w:pPr>
                    <w:jc w:val="center"/>
                    <w:textAlignment w:val="center"/>
                    <w:rPr>
                      <w:kern w:val="0"/>
                      <w:sz w:val="18"/>
                      <w:szCs w:val="18"/>
                      <w:lang w:bidi="ar"/>
                    </w:rPr>
                  </w:pPr>
                </w:p>
              </w:tc>
              <w:tc>
                <w:tcPr>
                  <w:tcW w:w="683" w:type="dxa"/>
                  <w:vMerge w:val="continue"/>
                  <w:vAlign w:val="center"/>
                </w:tcPr>
                <w:p w14:paraId="1C043DBB">
                  <w:pPr>
                    <w:jc w:val="center"/>
                    <w:textAlignment w:val="center"/>
                    <w:rPr>
                      <w:kern w:val="0"/>
                      <w:sz w:val="18"/>
                      <w:szCs w:val="18"/>
                      <w:lang w:bidi="ar"/>
                    </w:rPr>
                  </w:pPr>
                </w:p>
              </w:tc>
              <w:tc>
                <w:tcPr>
                  <w:tcW w:w="773" w:type="dxa"/>
                  <w:vMerge w:val="continue"/>
                  <w:vAlign w:val="center"/>
                </w:tcPr>
                <w:p w14:paraId="5AD9F1AB">
                  <w:pPr>
                    <w:jc w:val="center"/>
                    <w:textAlignment w:val="center"/>
                    <w:rPr>
                      <w:kern w:val="0"/>
                      <w:sz w:val="18"/>
                      <w:szCs w:val="18"/>
                      <w:lang w:bidi="ar"/>
                    </w:rPr>
                  </w:pPr>
                </w:p>
              </w:tc>
              <w:tc>
                <w:tcPr>
                  <w:tcW w:w="840" w:type="dxa"/>
                  <w:vAlign w:val="center"/>
                </w:tcPr>
                <w:p w14:paraId="1B07A36B">
                  <w:pPr>
                    <w:jc w:val="center"/>
                    <w:rPr>
                      <w:kern w:val="0"/>
                      <w:sz w:val="18"/>
                      <w:szCs w:val="18"/>
                      <w:lang w:bidi="ar"/>
                    </w:rPr>
                  </w:pPr>
                  <w:r>
                    <w:rPr>
                      <w:sz w:val="18"/>
                      <w:szCs w:val="18"/>
                    </w:rPr>
                    <w:t>NH</w:t>
                  </w:r>
                  <w:r>
                    <w:rPr>
                      <w:sz w:val="18"/>
                      <w:szCs w:val="18"/>
                      <w:vertAlign w:val="subscript"/>
                    </w:rPr>
                    <w:t>3</w:t>
                  </w:r>
                  <w:r>
                    <w:rPr>
                      <w:sz w:val="18"/>
                      <w:szCs w:val="18"/>
                    </w:rPr>
                    <w:t>-N</w:t>
                  </w:r>
                </w:p>
              </w:tc>
              <w:tc>
                <w:tcPr>
                  <w:tcW w:w="963" w:type="dxa"/>
                  <w:vAlign w:val="center"/>
                </w:tcPr>
                <w:p w14:paraId="72DFE527">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25</w:t>
                  </w:r>
                </w:p>
              </w:tc>
              <w:tc>
                <w:tcPr>
                  <w:tcW w:w="996" w:type="dxa"/>
                  <w:vAlign w:val="center"/>
                </w:tcPr>
                <w:p w14:paraId="129B04F4">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0.009</w:t>
                  </w:r>
                </w:p>
              </w:tc>
              <w:tc>
                <w:tcPr>
                  <w:tcW w:w="869" w:type="dxa"/>
                  <w:vAlign w:val="center"/>
                </w:tcPr>
                <w:p w14:paraId="7607373F">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25</w:t>
                  </w:r>
                </w:p>
              </w:tc>
              <w:tc>
                <w:tcPr>
                  <w:tcW w:w="917" w:type="dxa"/>
                  <w:vAlign w:val="center"/>
                </w:tcPr>
                <w:p w14:paraId="319E7CD7">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0.009</w:t>
                  </w:r>
                </w:p>
              </w:tc>
              <w:tc>
                <w:tcPr>
                  <w:tcW w:w="749" w:type="dxa"/>
                  <w:vMerge w:val="continue"/>
                  <w:vAlign w:val="center"/>
                </w:tcPr>
                <w:p w14:paraId="42AA96F7">
                  <w:pPr>
                    <w:jc w:val="center"/>
                    <w:textAlignment w:val="center"/>
                    <w:rPr>
                      <w:kern w:val="0"/>
                      <w:sz w:val="18"/>
                      <w:szCs w:val="18"/>
                      <w:lang w:bidi="ar"/>
                    </w:rPr>
                  </w:pPr>
                </w:p>
              </w:tc>
              <w:tc>
                <w:tcPr>
                  <w:tcW w:w="762" w:type="dxa"/>
                  <w:vMerge w:val="continue"/>
                  <w:vAlign w:val="center"/>
                </w:tcPr>
                <w:p w14:paraId="7DE4043D">
                  <w:pPr>
                    <w:jc w:val="center"/>
                    <w:textAlignment w:val="center"/>
                    <w:rPr>
                      <w:kern w:val="0"/>
                      <w:sz w:val="18"/>
                      <w:szCs w:val="18"/>
                      <w:lang w:bidi="ar"/>
                    </w:rPr>
                  </w:pPr>
                </w:p>
              </w:tc>
              <w:tc>
                <w:tcPr>
                  <w:tcW w:w="645" w:type="dxa"/>
                  <w:vMerge w:val="continue"/>
                  <w:vAlign w:val="center"/>
                </w:tcPr>
                <w:p w14:paraId="01566ADD">
                  <w:pPr>
                    <w:jc w:val="center"/>
                    <w:textAlignment w:val="center"/>
                    <w:rPr>
                      <w:kern w:val="0"/>
                      <w:sz w:val="18"/>
                      <w:szCs w:val="18"/>
                      <w:lang w:bidi="ar"/>
                    </w:rPr>
                  </w:pPr>
                </w:p>
              </w:tc>
              <w:tc>
                <w:tcPr>
                  <w:tcW w:w="945" w:type="dxa"/>
                  <w:vAlign w:val="center"/>
                </w:tcPr>
                <w:p w14:paraId="3FC3FDCD">
                  <w:pPr>
                    <w:jc w:val="center"/>
                    <w:textAlignment w:val="center"/>
                    <w:rPr>
                      <w:rFonts w:hint="default" w:eastAsia="宋体"/>
                      <w:kern w:val="0"/>
                      <w:sz w:val="18"/>
                      <w:szCs w:val="18"/>
                      <w:lang w:val="en-US" w:eastAsia="zh-CN" w:bidi="ar"/>
                    </w:rPr>
                  </w:pPr>
                  <w:r>
                    <w:rPr>
                      <w:rFonts w:hint="eastAsia"/>
                      <w:kern w:val="0"/>
                      <w:sz w:val="18"/>
                      <w:szCs w:val="18"/>
                      <w:lang w:val="en-US" w:eastAsia="zh-CN" w:bidi="ar"/>
                    </w:rPr>
                    <w:t>0</w:t>
                  </w:r>
                </w:p>
              </w:tc>
              <w:tc>
                <w:tcPr>
                  <w:tcW w:w="1043" w:type="dxa"/>
                  <w:vMerge w:val="continue"/>
                  <w:vAlign w:val="center"/>
                </w:tcPr>
                <w:p w14:paraId="6216BE8C">
                  <w:pPr>
                    <w:jc w:val="center"/>
                    <w:textAlignment w:val="center"/>
                    <w:rPr>
                      <w:kern w:val="0"/>
                      <w:sz w:val="18"/>
                      <w:szCs w:val="18"/>
                      <w:lang w:bidi="ar"/>
                    </w:rPr>
                  </w:pPr>
                </w:p>
              </w:tc>
              <w:tc>
                <w:tcPr>
                  <w:tcW w:w="625" w:type="dxa"/>
                  <w:vMerge w:val="continue"/>
                  <w:vAlign w:val="center"/>
                </w:tcPr>
                <w:p w14:paraId="56196C7E">
                  <w:pPr>
                    <w:jc w:val="center"/>
                    <w:textAlignment w:val="center"/>
                    <w:rPr>
                      <w:kern w:val="0"/>
                      <w:sz w:val="18"/>
                      <w:szCs w:val="18"/>
                      <w:lang w:bidi="ar"/>
                    </w:rPr>
                  </w:pPr>
                </w:p>
              </w:tc>
              <w:tc>
                <w:tcPr>
                  <w:tcW w:w="949" w:type="dxa"/>
                  <w:vMerge w:val="continue"/>
                  <w:vAlign w:val="center"/>
                </w:tcPr>
                <w:p w14:paraId="432039E2">
                  <w:pPr>
                    <w:jc w:val="center"/>
                    <w:textAlignment w:val="center"/>
                    <w:rPr>
                      <w:kern w:val="0"/>
                      <w:sz w:val="18"/>
                      <w:szCs w:val="18"/>
                      <w:lang w:bidi="ar"/>
                    </w:rPr>
                  </w:pPr>
                </w:p>
              </w:tc>
              <w:tc>
                <w:tcPr>
                  <w:tcW w:w="540" w:type="dxa"/>
                  <w:vMerge w:val="continue"/>
                  <w:vAlign w:val="center"/>
                </w:tcPr>
                <w:p w14:paraId="3C868E61">
                  <w:pPr>
                    <w:jc w:val="center"/>
                    <w:textAlignment w:val="center"/>
                    <w:rPr>
                      <w:kern w:val="0"/>
                      <w:sz w:val="18"/>
                      <w:szCs w:val="18"/>
                      <w:lang w:bidi="ar"/>
                    </w:rPr>
                  </w:pPr>
                </w:p>
              </w:tc>
            </w:tr>
            <w:tr w14:paraId="7FD837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76" w:type="dxa"/>
                  <w:vMerge w:val="continue"/>
                  <w:vAlign w:val="center"/>
                </w:tcPr>
                <w:p w14:paraId="0DCED9E3">
                  <w:pPr>
                    <w:jc w:val="center"/>
                    <w:textAlignment w:val="center"/>
                    <w:rPr>
                      <w:kern w:val="0"/>
                      <w:sz w:val="18"/>
                      <w:szCs w:val="18"/>
                      <w:lang w:bidi="ar"/>
                    </w:rPr>
                  </w:pPr>
                </w:p>
              </w:tc>
              <w:tc>
                <w:tcPr>
                  <w:tcW w:w="683" w:type="dxa"/>
                  <w:vMerge w:val="continue"/>
                  <w:vAlign w:val="center"/>
                </w:tcPr>
                <w:p w14:paraId="4FA0ED67">
                  <w:pPr>
                    <w:jc w:val="center"/>
                    <w:textAlignment w:val="center"/>
                    <w:rPr>
                      <w:kern w:val="0"/>
                      <w:sz w:val="18"/>
                      <w:szCs w:val="18"/>
                      <w:lang w:bidi="ar"/>
                    </w:rPr>
                  </w:pPr>
                </w:p>
              </w:tc>
              <w:tc>
                <w:tcPr>
                  <w:tcW w:w="773" w:type="dxa"/>
                  <w:vMerge w:val="continue"/>
                  <w:vAlign w:val="center"/>
                </w:tcPr>
                <w:p w14:paraId="7CC08F8A">
                  <w:pPr>
                    <w:jc w:val="center"/>
                    <w:textAlignment w:val="center"/>
                    <w:rPr>
                      <w:kern w:val="0"/>
                      <w:sz w:val="18"/>
                      <w:szCs w:val="18"/>
                      <w:lang w:bidi="ar"/>
                    </w:rPr>
                  </w:pPr>
                </w:p>
              </w:tc>
              <w:tc>
                <w:tcPr>
                  <w:tcW w:w="840" w:type="dxa"/>
                  <w:vAlign w:val="center"/>
                </w:tcPr>
                <w:p w14:paraId="3CBA25B2">
                  <w:pPr>
                    <w:jc w:val="center"/>
                    <w:rPr>
                      <w:kern w:val="0"/>
                      <w:sz w:val="18"/>
                      <w:szCs w:val="18"/>
                      <w:lang w:bidi="ar"/>
                    </w:rPr>
                  </w:pPr>
                  <w:r>
                    <w:rPr>
                      <w:sz w:val="18"/>
                      <w:szCs w:val="18"/>
                    </w:rPr>
                    <w:t>TP</w:t>
                  </w:r>
                </w:p>
              </w:tc>
              <w:tc>
                <w:tcPr>
                  <w:tcW w:w="963" w:type="dxa"/>
                  <w:vAlign w:val="center"/>
                </w:tcPr>
                <w:p w14:paraId="6E96AA41">
                  <w:pPr>
                    <w:jc w:val="center"/>
                    <w:textAlignment w:val="center"/>
                    <w:rPr>
                      <w:rFonts w:hint="eastAsia" w:ascii="Times New Roman" w:hAnsi="Times New Roman" w:eastAsia="宋体" w:cs="Times New Roman"/>
                      <w:kern w:val="0"/>
                      <w:sz w:val="18"/>
                      <w:szCs w:val="18"/>
                      <w:lang w:eastAsia="zh-CN" w:bidi="ar"/>
                    </w:rPr>
                  </w:pPr>
                  <w:r>
                    <w:rPr>
                      <w:rFonts w:hint="eastAsia" w:ascii="Times New Roman" w:hAnsi="Times New Roman" w:eastAsia="宋体" w:cs="Times New Roman"/>
                      <w:kern w:val="0"/>
                      <w:sz w:val="18"/>
                      <w:szCs w:val="18"/>
                      <w:lang w:val="en-US" w:eastAsia="zh-CN" w:bidi="ar"/>
                    </w:rPr>
                    <w:t>3</w:t>
                  </w:r>
                </w:p>
              </w:tc>
              <w:tc>
                <w:tcPr>
                  <w:tcW w:w="996" w:type="dxa"/>
                  <w:vAlign w:val="center"/>
                </w:tcPr>
                <w:p w14:paraId="547980E4">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0.00108</w:t>
                  </w:r>
                </w:p>
              </w:tc>
              <w:tc>
                <w:tcPr>
                  <w:tcW w:w="869" w:type="dxa"/>
                  <w:vAlign w:val="center"/>
                </w:tcPr>
                <w:p w14:paraId="75BD240A">
                  <w:pPr>
                    <w:jc w:val="center"/>
                    <w:textAlignment w:val="center"/>
                    <w:rPr>
                      <w:rFonts w:hint="eastAsia" w:ascii="Times New Roman" w:hAnsi="Times New Roman" w:eastAsia="宋体" w:cs="Times New Roman"/>
                      <w:kern w:val="0"/>
                      <w:sz w:val="18"/>
                      <w:szCs w:val="18"/>
                      <w:lang w:eastAsia="zh-CN" w:bidi="ar"/>
                    </w:rPr>
                  </w:pPr>
                  <w:r>
                    <w:rPr>
                      <w:rFonts w:hint="eastAsia" w:ascii="Times New Roman" w:hAnsi="Times New Roman" w:eastAsia="宋体" w:cs="Times New Roman"/>
                      <w:kern w:val="0"/>
                      <w:sz w:val="18"/>
                      <w:szCs w:val="18"/>
                      <w:lang w:val="en-US" w:eastAsia="zh-CN" w:bidi="ar"/>
                    </w:rPr>
                    <w:t>3</w:t>
                  </w:r>
                </w:p>
              </w:tc>
              <w:tc>
                <w:tcPr>
                  <w:tcW w:w="917" w:type="dxa"/>
                  <w:vAlign w:val="center"/>
                </w:tcPr>
                <w:p w14:paraId="43D84376">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0.00108</w:t>
                  </w:r>
                </w:p>
              </w:tc>
              <w:tc>
                <w:tcPr>
                  <w:tcW w:w="749" w:type="dxa"/>
                  <w:vMerge w:val="continue"/>
                  <w:vAlign w:val="center"/>
                </w:tcPr>
                <w:p w14:paraId="15E62376">
                  <w:pPr>
                    <w:jc w:val="center"/>
                    <w:textAlignment w:val="center"/>
                    <w:rPr>
                      <w:kern w:val="0"/>
                      <w:sz w:val="18"/>
                      <w:szCs w:val="18"/>
                      <w:lang w:bidi="ar"/>
                    </w:rPr>
                  </w:pPr>
                </w:p>
              </w:tc>
              <w:tc>
                <w:tcPr>
                  <w:tcW w:w="762" w:type="dxa"/>
                  <w:vMerge w:val="continue"/>
                  <w:vAlign w:val="center"/>
                </w:tcPr>
                <w:p w14:paraId="13DC378B">
                  <w:pPr>
                    <w:jc w:val="center"/>
                    <w:textAlignment w:val="center"/>
                    <w:rPr>
                      <w:kern w:val="0"/>
                      <w:sz w:val="18"/>
                      <w:szCs w:val="18"/>
                      <w:lang w:bidi="ar"/>
                    </w:rPr>
                  </w:pPr>
                </w:p>
              </w:tc>
              <w:tc>
                <w:tcPr>
                  <w:tcW w:w="645" w:type="dxa"/>
                  <w:vMerge w:val="continue"/>
                  <w:vAlign w:val="center"/>
                </w:tcPr>
                <w:p w14:paraId="6166165C">
                  <w:pPr>
                    <w:jc w:val="center"/>
                    <w:textAlignment w:val="center"/>
                    <w:rPr>
                      <w:kern w:val="0"/>
                      <w:sz w:val="18"/>
                      <w:szCs w:val="18"/>
                      <w:lang w:bidi="ar"/>
                    </w:rPr>
                  </w:pPr>
                </w:p>
              </w:tc>
              <w:tc>
                <w:tcPr>
                  <w:tcW w:w="945" w:type="dxa"/>
                  <w:vAlign w:val="center"/>
                </w:tcPr>
                <w:p w14:paraId="2B6447B2">
                  <w:pPr>
                    <w:jc w:val="center"/>
                    <w:textAlignment w:val="center"/>
                    <w:rPr>
                      <w:rFonts w:hint="eastAsia" w:eastAsia="宋体"/>
                      <w:kern w:val="0"/>
                      <w:sz w:val="18"/>
                      <w:szCs w:val="18"/>
                      <w:lang w:val="en-US" w:eastAsia="zh-CN" w:bidi="ar"/>
                    </w:rPr>
                  </w:pPr>
                  <w:r>
                    <w:rPr>
                      <w:rFonts w:hint="eastAsia"/>
                      <w:kern w:val="0"/>
                      <w:sz w:val="18"/>
                      <w:szCs w:val="18"/>
                      <w:lang w:val="en-US" w:eastAsia="zh-CN" w:bidi="ar"/>
                    </w:rPr>
                    <w:t>0</w:t>
                  </w:r>
                </w:p>
              </w:tc>
              <w:tc>
                <w:tcPr>
                  <w:tcW w:w="1043" w:type="dxa"/>
                  <w:vMerge w:val="continue"/>
                  <w:vAlign w:val="center"/>
                </w:tcPr>
                <w:p w14:paraId="39F90CD3">
                  <w:pPr>
                    <w:jc w:val="center"/>
                    <w:textAlignment w:val="center"/>
                    <w:rPr>
                      <w:kern w:val="0"/>
                      <w:sz w:val="18"/>
                      <w:szCs w:val="18"/>
                      <w:lang w:bidi="ar"/>
                    </w:rPr>
                  </w:pPr>
                </w:p>
              </w:tc>
              <w:tc>
                <w:tcPr>
                  <w:tcW w:w="625" w:type="dxa"/>
                  <w:vMerge w:val="continue"/>
                  <w:vAlign w:val="center"/>
                </w:tcPr>
                <w:p w14:paraId="01683C19">
                  <w:pPr>
                    <w:jc w:val="center"/>
                    <w:textAlignment w:val="center"/>
                    <w:rPr>
                      <w:kern w:val="0"/>
                      <w:sz w:val="18"/>
                      <w:szCs w:val="18"/>
                      <w:lang w:bidi="ar"/>
                    </w:rPr>
                  </w:pPr>
                </w:p>
              </w:tc>
              <w:tc>
                <w:tcPr>
                  <w:tcW w:w="949" w:type="dxa"/>
                  <w:vMerge w:val="continue"/>
                  <w:vAlign w:val="center"/>
                </w:tcPr>
                <w:p w14:paraId="317AA47E">
                  <w:pPr>
                    <w:jc w:val="center"/>
                    <w:textAlignment w:val="center"/>
                    <w:rPr>
                      <w:kern w:val="0"/>
                      <w:sz w:val="18"/>
                      <w:szCs w:val="18"/>
                      <w:lang w:bidi="ar"/>
                    </w:rPr>
                  </w:pPr>
                </w:p>
              </w:tc>
              <w:tc>
                <w:tcPr>
                  <w:tcW w:w="540" w:type="dxa"/>
                  <w:vMerge w:val="continue"/>
                  <w:vAlign w:val="center"/>
                </w:tcPr>
                <w:p w14:paraId="4536CD88">
                  <w:pPr>
                    <w:jc w:val="center"/>
                    <w:textAlignment w:val="center"/>
                    <w:rPr>
                      <w:kern w:val="0"/>
                      <w:sz w:val="18"/>
                      <w:szCs w:val="18"/>
                      <w:lang w:bidi="ar"/>
                    </w:rPr>
                  </w:pPr>
                </w:p>
              </w:tc>
            </w:tr>
            <w:tr w14:paraId="7471EA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6" w:type="dxa"/>
                  <w:vMerge w:val="continue"/>
                  <w:vAlign w:val="center"/>
                </w:tcPr>
                <w:p w14:paraId="7C8FD1A6">
                  <w:pPr>
                    <w:jc w:val="center"/>
                    <w:textAlignment w:val="center"/>
                    <w:rPr>
                      <w:kern w:val="0"/>
                      <w:sz w:val="18"/>
                      <w:szCs w:val="18"/>
                      <w:lang w:bidi="ar"/>
                    </w:rPr>
                  </w:pPr>
                </w:p>
              </w:tc>
              <w:tc>
                <w:tcPr>
                  <w:tcW w:w="683" w:type="dxa"/>
                  <w:vMerge w:val="continue"/>
                  <w:vAlign w:val="center"/>
                </w:tcPr>
                <w:p w14:paraId="643F1B04">
                  <w:pPr>
                    <w:jc w:val="center"/>
                    <w:textAlignment w:val="center"/>
                    <w:rPr>
                      <w:kern w:val="0"/>
                      <w:sz w:val="18"/>
                      <w:szCs w:val="18"/>
                      <w:lang w:bidi="ar"/>
                    </w:rPr>
                  </w:pPr>
                </w:p>
              </w:tc>
              <w:tc>
                <w:tcPr>
                  <w:tcW w:w="773" w:type="dxa"/>
                  <w:vMerge w:val="continue"/>
                  <w:vAlign w:val="center"/>
                </w:tcPr>
                <w:p w14:paraId="48754DD3">
                  <w:pPr>
                    <w:jc w:val="center"/>
                    <w:textAlignment w:val="center"/>
                    <w:rPr>
                      <w:kern w:val="0"/>
                      <w:sz w:val="18"/>
                      <w:szCs w:val="18"/>
                      <w:lang w:bidi="ar"/>
                    </w:rPr>
                  </w:pPr>
                </w:p>
              </w:tc>
              <w:tc>
                <w:tcPr>
                  <w:tcW w:w="840" w:type="dxa"/>
                  <w:vAlign w:val="center"/>
                </w:tcPr>
                <w:p w14:paraId="24DB9DCB">
                  <w:pPr>
                    <w:jc w:val="center"/>
                    <w:rPr>
                      <w:kern w:val="0"/>
                      <w:sz w:val="18"/>
                      <w:szCs w:val="18"/>
                      <w:lang w:bidi="ar"/>
                    </w:rPr>
                  </w:pPr>
                  <w:r>
                    <w:rPr>
                      <w:sz w:val="18"/>
                      <w:szCs w:val="18"/>
                    </w:rPr>
                    <w:t>TN</w:t>
                  </w:r>
                </w:p>
              </w:tc>
              <w:tc>
                <w:tcPr>
                  <w:tcW w:w="963" w:type="dxa"/>
                  <w:vAlign w:val="center"/>
                </w:tcPr>
                <w:p w14:paraId="0009C269">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30</w:t>
                  </w:r>
                </w:p>
              </w:tc>
              <w:tc>
                <w:tcPr>
                  <w:tcW w:w="996" w:type="dxa"/>
                  <w:vAlign w:val="center"/>
                </w:tcPr>
                <w:p w14:paraId="20079747">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0.0108</w:t>
                  </w:r>
                </w:p>
              </w:tc>
              <w:tc>
                <w:tcPr>
                  <w:tcW w:w="869" w:type="dxa"/>
                  <w:vAlign w:val="center"/>
                </w:tcPr>
                <w:p w14:paraId="3CDA969C">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30</w:t>
                  </w:r>
                </w:p>
              </w:tc>
              <w:tc>
                <w:tcPr>
                  <w:tcW w:w="917" w:type="dxa"/>
                  <w:vAlign w:val="center"/>
                </w:tcPr>
                <w:p w14:paraId="4E3D4CA4">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0.0108</w:t>
                  </w:r>
                </w:p>
              </w:tc>
              <w:tc>
                <w:tcPr>
                  <w:tcW w:w="749" w:type="dxa"/>
                  <w:vMerge w:val="continue"/>
                  <w:vAlign w:val="center"/>
                </w:tcPr>
                <w:p w14:paraId="4266EB49">
                  <w:pPr>
                    <w:jc w:val="center"/>
                    <w:textAlignment w:val="center"/>
                    <w:rPr>
                      <w:kern w:val="0"/>
                      <w:sz w:val="18"/>
                      <w:szCs w:val="18"/>
                      <w:lang w:bidi="ar"/>
                    </w:rPr>
                  </w:pPr>
                </w:p>
              </w:tc>
              <w:tc>
                <w:tcPr>
                  <w:tcW w:w="762" w:type="dxa"/>
                  <w:vMerge w:val="continue"/>
                  <w:vAlign w:val="center"/>
                </w:tcPr>
                <w:p w14:paraId="4D5BBBEB">
                  <w:pPr>
                    <w:jc w:val="center"/>
                    <w:textAlignment w:val="center"/>
                    <w:rPr>
                      <w:kern w:val="0"/>
                      <w:sz w:val="18"/>
                      <w:szCs w:val="18"/>
                      <w:lang w:bidi="ar"/>
                    </w:rPr>
                  </w:pPr>
                </w:p>
              </w:tc>
              <w:tc>
                <w:tcPr>
                  <w:tcW w:w="645" w:type="dxa"/>
                  <w:vMerge w:val="continue"/>
                  <w:vAlign w:val="center"/>
                </w:tcPr>
                <w:p w14:paraId="4CA4CB44">
                  <w:pPr>
                    <w:jc w:val="center"/>
                    <w:textAlignment w:val="center"/>
                    <w:rPr>
                      <w:kern w:val="0"/>
                      <w:sz w:val="18"/>
                      <w:szCs w:val="18"/>
                      <w:lang w:bidi="ar"/>
                    </w:rPr>
                  </w:pPr>
                </w:p>
              </w:tc>
              <w:tc>
                <w:tcPr>
                  <w:tcW w:w="945" w:type="dxa"/>
                  <w:vAlign w:val="center"/>
                </w:tcPr>
                <w:p w14:paraId="7A080AE5">
                  <w:pPr>
                    <w:jc w:val="center"/>
                    <w:textAlignment w:val="center"/>
                    <w:rPr>
                      <w:kern w:val="0"/>
                      <w:sz w:val="18"/>
                      <w:szCs w:val="18"/>
                      <w:lang w:bidi="ar"/>
                    </w:rPr>
                  </w:pPr>
                  <w:r>
                    <w:rPr>
                      <w:kern w:val="0"/>
                      <w:sz w:val="18"/>
                      <w:szCs w:val="18"/>
                      <w:lang w:bidi="ar"/>
                    </w:rPr>
                    <w:t>0</w:t>
                  </w:r>
                </w:p>
              </w:tc>
              <w:tc>
                <w:tcPr>
                  <w:tcW w:w="1043" w:type="dxa"/>
                  <w:vMerge w:val="continue"/>
                  <w:vAlign w:val="center"/>
                </w:tcPr>
                <w:p w14:paraId="62BF9334">
                  <w:pPr>
                    <w:jc w:val="center"/>
                    <w:textAlignment w:val="center"/>
                    <w:rPr>
                      <w:kern w:val="0"/>
                      <w:sz w:val="18"/>
                      <w:szCs w:val="18"/>
                      <w:lang w:bidi="ar"/>
                    </w:rPr>
                  </w:pPr>
                </w:p>
              </w:tc>
              <w:tc>
                <w:tcPr>
                  <w:tcW w:w="625" w:type="dxa"/>
                  <w:vMerge w:val="continue"/>
                  <w:vAlign w:val="center"/>
                </w:tcPr>
                <w:p w14:paraId="5C3480C8">
                  <w:pPr>
                    <w:jc w:val="center"/>
                    <w:textAlignment w:val="center"/>
                    <w:rPr>
                      <w:kern w:val="0"/>
                      <w:sz w:val="18"/>
                      <w:szCs w:val="18"/>
                      <w:lang w:bidi="ar"/>
                    </w:rPr>
                  </w:pPr>
                </w:p>
              </w:tc>
              <w:tc>
                <w:tcPr>
                  <w:tcW w:w="949" w:type="dxa"/>
                  <w:vMerge w:val="continue"/>
                  <w:vAlign w:val="center"/>
                </w:tcPr>
                <w:p w14:paraId="1CA057D0">
                  <w:pPr>
                    <w:jc w:val="center"/>
                    <w:textAlignment w:val="center"/>
                    <w:rPr>
                      <w:kern w:val="0"/>
                      <w:sz w:val="18"/>
                      <w:szCs w:val="18"/>
                      <w:lang w:bidi="ar"/>
                    </w:rPr>
                  </w:pPr>
                </w:p>
              </w:tc>
              <w:tc>
                <w:tcPr>
                  <w:tcW w:w="540" w:type="dxa"/>
                  <w:vMerge w:val="continue"/>
                  <w:vAlign w:val="center"/>
                </w:tcPr>
                <w:p w14:paraId="7DF4FC8B">
                  <w:pPr>
                    <w:jc w:val="center"/>
                    <w:textAlignment w:val="center"/>
                    <w:rPr>
                      <w:kern w:val="0"/>
                      <w:sz w:val="18"/>
                      <w:szCs w:val="18"/>
                      <w:lang w:bidi="ar"/>
                    </w:rPr>
                  </w:pPr>
                </w:p>
              </w:tc>
            </w:tr>
            <w:tr w14:paraId="0FF136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6" w:type="dxa"/>
                  <w:vMerge w:val="restart"/>
                  <w:vAlign w:val="center"/>
                </w:tcPr>
                <w:p w14:paraId="4AEB6021">
                  <w:pPr>
                    <w:jc w:val="center"/>
                    <w:textAlignment w:val="center"/>
                    <w:rPr>
                      <w:kern w:val="0"/>
                      <w:sz w:val="18"/>
                      <w:szCs w:val="18"/>
                      <w:lang w:bidi="ar"/>
                    </w:rPr>
                  </w:pPr>
                  <w:r>
                    <w:rPr>
                      <w:rFonts w:hint="default" w:ascii="Times New Roman" w:hAnsi="Times New Roman" w:cs="Times New Roman"/>
                      <w:kern w:val="0"/>
                      <w:sz w:val="18"/>
                      <w:szCs w:val="18"/>
                      <w:lang w:bidi="ar"/>
                    </w:rPr>
                    <w:t>食堂</w:t>
                  </w:r>
                </w:p>
              </w:tc>
              <w:tc>
                <w:tcPr>
                  <w:tcW w:w="683" w:type="dxa"/>
                  <w:vMerge w:val="restart"/>
                  <w:vAlign w:val="center"/>
                </w:tcPr>
                <w:p w14:paraId="02B12A60">
                  <w:pPr>
                    <w:jc w:val="center"/>
                    <w:textAlignment w:val="center"/>
                    <w:rPr>
                      <w:kern w:val="0"/>
                      <w:sz w:val="18"/>
                      <w:szCs w:val="18"/>
                      <w:lang w:bidi="ar"/>
                    </w:rPr>
                  </w:pPr>
                  <w:r>
                    <w:rPr>
                      <w:rFonts w:hint="default" w:ascii="Times New Roman" w:hAnsi="Times New Roman" w:cs="Times New Roman"/>
                      <w:kern w:val="0"/>
                      <w:sz w:val="18"/>
                      <w:szCs w:val="18"/>
                      <w:lang w:bidi="ar"/>
                    </w:rPr>
                    <w:t>食堂废水</w:t>
                  </w:r>
                </w:p>
              </w:tc>
              <w:tc>
                <w:tcPr>
                  <w:tcW w:w="773" w:type="dxa"/>
                  <w:vMerge w:val="restart"/>
                  <w:vAlign w:val="center"/>
                </w:tcPr>
                <w:p w14:paraId="73E64AD6">
                  <w:pPr>
                    <w:jc w:val="center"/>
                    <w:textAlignment w:val="center"/>
                    <w:rPr>
                      <w:rFonts w:hint="default" w:eastAsia="宋体"/>
                      <w:kern w:val="0"/>
                      <w:sz w:val="18"/>
                      <w:szCs w:val="18"/>
                      <w:lang w:val="en-US" w:eastAsia="zh-CN" w:bidi="ar"/>
                    </w:rPr>
                  </w:pPr>
                  <w:r>
                    <w:rPr>
                      <w:rFonts w:hint="eastAsia"/>
                      <w:kern w:val="0"/>
                      <w:sz w:val="18"/>
                      <w:szCs w:val="18"/>
                      <w:lang w:val="en-US" w:eastAsia="zh-CN" w:bidi="ar"/>
                    </w:rPr>
                    <w:t>100</w:t>
                  </w:r>
                </w:p>
              </w:tc>
              <w:tc>
                <w:tcPr>
                  <w:tcW w:w="840" w:type="dxa"/>
                  <w:vAlign w:val="center"/>
                </w:tcPr>
                <w:p w14:paraId="386B0059">
                  <w:pPr>
                    <w:jc w:val="center"/>
                    <w:rPr>
                      <w:sz w:val="18"/>
                      <w:szCs w:val="18"/>
                    </w:rPr>
                  </w:pPr>
                  <w:r>
                    <w:rPr>
                      <w:rFonts w:hint="default" w:ascii="Times New Roman" w:hAnsi="Times New Roman" w:cs="Times New Roman"/>
                      <w:sz w:val="18"/>
                      <w:szCs w:val="18"/>
                    </w:rPr>
                    <w:t>COD</w:t>
                  </w:r>
                </w:p>
              </w:tc>
              <w:tc>
                <w:tcPr>
                  <w:tcW w:w="963" w:type="dxa"/>
                  <w:vAlign w:val="center"/>
                </w:tcPr>
                <w:p w14:paraId="5264C256">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350</w:t>
                  </w:r>
                </w:p>
              </w:tc>
              <w:tc>
                <w:tcPr>
                  <w:tcW w:w="996" w:type="dxa"/>
                  <w:vAlign w:val="center"/>
                </w:tcPr>
                <w:p w14:paraId="11B62A7B">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0.035</w:t>
                  </w:r>
                </w:p>
              </w:tc>
              <w:tc>
                <w:tcPr>
                  <w:tcW w:w="869" w:type="dxa"/>
                  <w:vAlign w:val="center"/>
                </w:tcPr>
                <w:p w14:paraId="55679F8E">
                  <w:pPr>
                    <w:jc w:val="center"/>
                    <w:textAlignment w:val="center"/>
                    <w:rPr>
                      <w:rFonts w:hint="eastAsia" w:ascii="Times New Roman" w:hAnsi="Times New Roman" w:eastAsia="宋体" w:cs="Times New Roman"/>
                      <w:kern w:val="0"/>
                      <w:sz w:val="18"/>
                      <w:szCs w:val="18"/>
                      <w:lang w:val="en-US" w:eastAsia="zh-CN" w:bidi="ar"/>
                    </w:rPr>
                  </w:pPr>
                  <w:r>
                    <w:rPr>
                      <w:rFonts w:hint="default" w:ascii="Times New Roman" w:hAnsi="Times New Roman" w:eastAsia="宋体" w:cs="Times New Roman"/>
                      <w:kern w:val="0"/>
                      <w:sz w:val="18"/>
                      <w:szCs w:val="18"/>
                      <w:lang w:bidi="ar"/>
                    </w:rPr>
                    <w:t>300</w:t>
                  </w:r>
                </w:p>
              </w:tc>
              <w:tc>
                <w:tcPr>
                  <w:tcW w:w="917" w:type="dxa"/>
                  <w:vAlign w:val="center"/>
                </w:tcPr>
                <w:p w14:paraId="0BCA367C">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0.03</w:t>
                  </w:r>
                </w:p>
              </w:tc>
              <w:tc>
                <w:tcPr>
                  <w:tcW w:w="749" w:type="dxa"/>
                  <w:vMerge w:val="restart"/>
                  <w:vAlign w:val="center"/>
                </w:tcPr>
                <w:p w14:paraId="089E8AF9">
                  <w:pPr>
                    <w:jc w:val="center"/>
                    <w:textAlignment w:val="center"/>
                    <w:rPr>
                      <w:rFonts w:hint="eastAsia" w:eastAsia="宋体"/>
                      <w:kern w:val="0"/>
                      <w:sz w:val="18"/>
                      <w:szCs w:val="18"/>
                      <w:lang w:eastAsia="zh-CN" w:bidi="ar"/>
                    </w:rPr>
                  </w:pPr>
                  <w:r>
                    <w:rPr>
                      <w:rFonts w:hint="eastAsia"/>
                      <w:kern w:val="0"/>
                      <w:sz w:val="18"/>
                      <w:szCs w:val="18"/>
                      <w:lang w:eastAsia="zh-CN" w:bidi="ar"/>
                    </w:rPr>
                    <w:t>隔油池</w:t>
                  </w:r>
                </w:p>
              </w:tc>
              <w:tc>
                <w:tcPr>
                  <w:tcW w:w="762" w:type="dxa"/>
                  <w:vMerge w:val="restart"/>
                  <w:vAlign w:val="center"/>
                </w:tcPr>
                <w:p w14:paraId="7611B3FC">
                  <w:pPr>
                    <w:jc w:val="center"/>
                    <w:textAlignment w:val="center"/>
                    <w:rPr>
                      <w:kern w:val="0"/>
                      <w:sz w:val="18"/>
                      <w:szCs w:val="18"/>
                      <w:lang w:bidi="ar"/>
                    </w:rPr>
                  </w:pPr>
                  <w:r>
                    <w:rPr>
                      <w:rFonts w:hint="eastAsia"/>
                      <w:kern w:val="0"/>
                      <w:sz w:val="18"/>
                      <w:szCs w:val="18"/>
                      <w:lang w:val="en-US" w:eastAsia="zh-CN" w:bidi="ar"/>
                    </w:rPr>
                    <w:t>1</w:t>
                  </w:r>
                  <w:r>
                    <w:rPr>
                      <w:kern w:val="0"/>
                      <w:sz w:val="18"/>
                      <w:szCs w:val="18"/>
                      <w:lang w:bidi="ar"/>
                    </w:rPr>
                    <w:t>t/h</w:t>
                  </w:r>
                </w:p>
              </w:tc>
              <w:tc>
                <w:tcPr>
                  <w:tcW w:w="645" w:type="dxa"/>
                  <w:vMerge w:val="restart"/>
                  <w:vAlign w:val="center"/>
                </w:tcPr>
                <w:p w14:paraId="40DC86E9">
                  <w:pPr>
                    <w:jc w:val="center"/>
                    <w:textAlignment w:val="center"/>
                    <w:rPr>
                      <w:rFonts w:hint="eastAsia" w:eastAsia="宋体"/>
                      <w:kern w:val="0"/>
                      <w:sz w:val="18"/>
                      <w:szCs w:val="18"/>
                      <w:lang w:eastAsia="zh-CN" w:bidi="ar"/>
                    </w:rPr>
                  </w:pPr>
                  <w:r>
                    <w:rPr>
                      <w:rFonts w:hint="eastAsia"/>
                      <w:kern w:val="0"/>
                      <w:sz w:val="18"/>
                      <w:szCs w:val="18"/>
                      <w:lang w:eastAsia="zh-CN" w:bidi="ar"/>
                    </w:rPr>
                    <w:t>隔油</w:t>
                  </w:r>
                </w:p>
              </w:tc>
              <w:tc>
                <w:tcPr>
                  <w:tcW w:w="945" w:type="dxa"/>
                  <w:vAlign w:val="center"/>
                </w:tcPr>
                <w:p w14:paraId="22A4EFC7">
                  <w:pPr>
                    <w:jc w:val="center"/>
                    <w:textAlignment w:val="center"/>
                    <w:rPr>
                      <w:kern w:val="0"/>
                      <w:sz w:val="18"/>
                      <w:szCs w:val="18"/>
                      <w:lang w:bidi="ar"/>
                    </w:rPr>
                  </w:pPr>
                  <w:r>
                    <w:rPr>
                      <w:rFonts w:hint="default" w:ascii="Times New Roman" w:hAnsi="Times New Roman" w:cs="Times New Roman"/>
                      <w:kern w:val="0"/>
                      <w:sz w:val="18"/>
                      <w:szCs w:val="18"/>
                      <w:lang w:bidi="ar"/>
                    </w:rPr>
                    <w:t>14</w:t>
                  </w:r>
                </w:p>
              </w:tc>
              <w:tc>
                <w:tcPr>
                  <w:tcW w:w="1043" w:type="dxa"/>
                  <w:vMerge w:val="restart"/>
                  <w:vAlign w:val="center"/>
                </w:tcPr>
                <w:p w14:paraId="468DE5D4">
                  <w:pPr>
                    <w:jc w:val="center"/>
                    <w:textAlignment w:val="center"/>
                    <w:rPr>
                      <w:rFonts w:hint="eastAsia" w:eastAsia="宋体"/>
                      <w:kern w:val="0"/>
                      <w:sz w:val="18"/>
                      <w:szCs w:val="18"/>
                      <w:lang w:eastAsia="zh-CN" w:bidi="ar"/>
                    </w:rPr>
                  </w:pPr>
                  <w:r>
                    <w:rPr>
                      <w:rFonts w:hint="eastAsia"/>
                      <w:kern w:val="0"/>
                      <w:sz w:val="18"/>
                      <w:szCs w:val="18"/>
                      <w:lang w:eastAsia="zh-CN" w:bidi="ar"/>
                    </w:rPr>
                    <w:t>是</w:t>
                  </w:r>
                </w:p>
              </w:tc>
              <w:tc>
                <w:tcPr>
                  <w:tcW w:w="625" w:type="dxa"/>
                  <w:vMerge w:val="restart"/>
                  <w:vAlign w:val="center"/>
                </w:tcPr>
                <w:p w14:paraId="6BCD66CB">
                  <w:pPr>
                    <w:jc w:val="center"/>
                    <w:textAlignment w:val="center"/>
                    <w:rPr>
                      <w:rFonts w:hint="eastAsia" w:eastAsia="宋体"/>
                      <w:kern w:val="0"/>
                      <w:sz w:val="18"/>
                      <w:szCs w:val="18"/>
                      <w:lang w:eastAsia="zh-CN" w:bidi="ar"/>
                    </w:rPr>
                  </w:pPr>
                  <w:r>
                    <w:rPr>
                      <w:rFonts w:hint="eastAsia"/>
                      <w:kern w:val="0"/>
                      <w:sz w:val="18"/>
                      <w:szCs w:val="18"/>
                      <w:lang w:eastAsia="zh-CN" w:bidi="ar"/>
                    </w:rPr>
                    <w:t>间接排放</w:t>
                  </w:r>
                </w:p>
              </w:tc>
              <w:tc>
                <w:tcPr>
                  <w:tcW w:w="949" w:type="dxa"/>
                  <w:vMerge w:val="continue"/>
                  <w:vAlign w:val="center"/>
                </w:tcPr>
                <w:p w14:paraId="545F235D">
                  <w:pPr>
                    <w:jc w:val="center"/>
                    <w:textAlignment w:val="center"/>
                    <w:rPr>
                      <w:kern w:val="0"/>
                      <w:sz w:val="18"/>
                      <w:szCs w:val="18"/>
                      <w:lang w:bidi="ar"/>
                    </w:rPr>
                  </w:pPr>
                </w:p>
              </w:tc>
              <w:tc>
                <w:tcPr>
                  <w:tcW w:w="540" w:type="dxa"/>
                  <w:vMerge w:val="continue"/>
                  <w:vAlign w:val="center"/>
                </w:tcPr>
                <w:p w14:paraId="61F4EFF2">
                  <w:pPr>
                    <w:jc w:val="center"/>
                    <w:textAlignment w:val="center"/>
                    <w:rPr>
                      <w:kern w:val="0"/>
                      <w:sz w:val="18"/>
                      <w:szCs w:val="18"/>
                      <w:lang w:bidi="ar"/>
                    </w:rPr>
                  </w:pPr>
                </w:p>
              </w:tc>
            </w:tr>
            <w:tr w14:paraId="15017D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6" w:type="dxa"/>
                  <w:vMerge w:val="continue"/>
                  <w:vAlign w:val="center"/>
                </w:tcPr>
                <w:p w14:paraId="237027CC">
                  <w:pPr>
                    <w:jc w:val="center"/>
                    <w:textAlignment w:val="center"/>
                    <w:rPr>
                      <w:kern w:val="0"/>
                      <w:sz w:val="18"/>
                      <w:szCs w:val="18"/>
                      <w:lang w:bidi="ar"/>
                    </w:rPr>
                  </w:pPr>
                </w:p>
              </w:tc>
              <w:tc>
                <w:tcPr>
                  <w:tcW w:w="683" w:type="dxa"/>
                  <w:vMerge w:val="continue"/>
                  <w:vAlign w:val="center"/>
                </w:tcPr>
                <w:p w14:paraId="3034060E">
                  <w:pPr>
                    <w:jc w:val="center"/>
                    <w:textAlignment w:val="center"/>
                    <w:rPr>
                      <w:kern w:val="0"/>
                      <w:sz w:val="18"/>
                      <w:szCs w:val="18"/>
                      <w:lang w:bidi="ar"/>
                    </w:rPr>
                  </w:pPr>
                </w:p>
              </w:tc>
              <w:tc>
                <w:tcPr>
                  <w:tcW w:w="773" w:type="dxa"/>
                  <w:vMerge w:val="continue"/>
                  <w:vAlign w:val="center"/>
                </w:tcPr>
                <w:p w14:paraId="647167C9">
                  <w:pPr>
                    <w:jc w:val="center"/>
                    <w:textAlignment w:val="center"/>
                    <w:rPr>
                      <w:kern w:val="0"/>
                      <w:sz w:val="18"/>
                      <w:szCs w:val="18"/>
                      <w:lang w:bidi="ar"/>
                    </w:rPr>
                  </w:pPr>
                </w:p>
              </w:tc>
              <w:tc>
                <w:tcPr>
                  <w:tcW w:w="840" w:type="dxa"/>
                  <w:vAlign w:val="center"/>
                </w:tcPr>
                <w:p w14:paraId="280BE3ED">
                  <w:pPr>
                    <w:jc w:val="center"/>
                    <w:rPr>
                      <w:sz w:val="18"/>
                      <w:szCs w:val="18"/>
                    </w:rPr>
                  </w:pPr>
                  <w:r>
                    <w:rPr>
                      <w:rFonts w:hint="default" w:ascii="Times New Roman" w:hAnsi="Times New Roman" w:cs="Times New Roman"/>
                      <w:sz w:val="18"/>
                      <w:szCs w:val="18"/>
                    </w:rPr>
                    <w:t>SS</w:t>
                  </w:r>
                </w:p>
              </w:tc>
              <w:tc>
                <w:tcPr>
                  <w:tcW w:w="963" w:type="dxa"/>
                  <w:vAlign w:val="center"/>
                </w:tcPr>
                <w:p w14:paraId="7C7AE6C6">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200</w:t>
                  </w:r>
                </w:p>
              </w:tc>
              <w:tc>
                <w:tcPr>
                  <w:tcW w:w="996" w:type="dxa"/>
                  <w:vAlign w:val="center"/>
                </w:tcPr>
                <w:p w14:paraId="64DD9159">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0.02</w:t>
                  </w:r>
                </w:p>
              </w:tc>
              <w:tc>
                <w:tcPr>
                  <w:tcW w:w="869" w:type="dxa"/>
                  <w:vAlign w:val="center"/>
                </w:tcPr>
                <w:p w14:paraId="092BC5C5">
                  <w:pPr>
                    <w:jc w:val="center"/>
                    <w:textAlignment w:val="center"/>
                    <w:rPr>
                      <w:rFonts w:hint="eastAsia" w:ascii="Times New Roman" w:hAnsi="Times New Roman" w:eastAsia="宋体" w:cs="Times New Roman"/>
                      <w:kern w:val="0"/>
                      <w:sz w:val="18"/>
                      <w:szCs w:val="18"/>
                      <w:lang w:val="en-US" w:eastAsia="zh-CN" w:bidi="ar"/>
                    </w:rPr>
                  </w:pPr>
                  <w:r>
                    <w:rPr>
                      <w:rFonts w:hint="default" w:ascii="Times New Roman" w:hAnsi="Times New Roman" w:eastAsia="宋体" w:cs="Times New Roman"/>
                      <w:kern w:val="0"/>
                      <w:sz w:val="18"/>
                      <w:szCs w:val="18"/>
                      <w:lang w:bidi="ar"/>
                    </w:rPr>
                    <w:t>150</w:t>
                  </w:r>
                </w:p>
              </w:tc>
              <w:tc>
                <w:tcPr>
                  <w:tcW w:w="917" w:type="dxa"/>
                  <w:vAlign w:val="center"/>
                </w:tcPr>
                <w:p w14:paraId="22E590A7">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0.015</w:t>
                  </w:r>
                </w:p>
              </w:tc>
              <w:tc>
                <w:tcPr>
                  <w:tcW w:w="749" w:type="dxa"/>
                  <w:vMerge w:val="continue"/>
                  <w:vAlign w:val="center"/>
                </w:tcPr>
                <w:p w14:paraId="4455C122">
                  <w:pPr>
                    <w:jc w:val="center"/>
                    <w:textAlignment w:val="center"/>
                    <w:rPr>
                      <w:kern w:val="0"/>
                      <w:sz w:val="18"/>
                      <w:szCs w:val="18"/>
                      <w:lang w:bidi="ar"/>
                    </w:rPr>
                  </w:pPr>
                </w:p>
              </w:tc>
              <w:tc>
                <w:tcPr>
                  <w:tcW w:w="762" w:type="dxa"/>
                  <w:vMerge w:val="continue"/>
                  <w:vAlign w:val="center"/>
                </w:tcPr>
                <w:p w14:paraId="0C1887CF">
                  <w:pPr>
                    <w:jc w:val="center"/>
                    <w:textAlignment w:val="center"/>
                    <w:rPr>
                      <w:kern w:val="0"/>
                      <w:sz w:val="18"/>
                      <w:szCs w:val="18"/>
                      <w:lang w:bidi="ar"/>
                    </w:rPr>
                  </w:pPr>
                </w:p>
              </w:tc>
              <w:tc>
                <w:tcPr>
                  <w:tcW w:w="645" w:type="dxa"/>
                  <w:vMerge w:val="continue"/>
                  <w:vAlign w:val="center"/>
                </w:tcPr>
                <w:p w14:paraId="3A72019F">
                  <w:pPr>
                    <w:jc w:val="center"/>
                    <w:textAlignment w:val="center"/>
                    <w:rPr>
                      <w:kern w:val="0"/>
                      <w:sz w:val="18"/>
                      <w:szCs w:val="18"/>
                      <w:lang w:bidi="ar"/>
                    </w:rPr>
                  </w:pPr>
                </w:p>
              </w:tc>
              <w:tc>
                <w:tcPr>
                  <w:tcW w:w="945" w:type="dxa"/>
                  <w:vAlign w:val="center"/>
                </w:tcPr>
                <w:p w14:paraId="742B237F">
                  <w:pPr>
                    <w:jc w:val="center"/>
                    <w:textAlignment w:val="center"/>
                    <w:rPr>
                      <w:kern w:val="0"/>
                      <w:sz w:val="18"/>
                      <w:szCs w:val="18"/>
                      <w:lang w:bidi="ar"/>
                    </w:rPr>
                  </w:pPr>
                  <w:r>
                    <w:rPr>
                      <w:rFonts w:hint="default" w:ascii="Times New Roman" w:hAnsi="Times New Roman" w:cs="Times New Roman"/>
                      <w:kern w:val="0"/>
                      <w:sz w:val="18"/>
                      <w:szCs w:val="18"/>
                      <w:lang w:bidi="ar"/>
                    </w:rPr>
                    <w:t>25</w:t>
                  </w:r>
                </w:p>
              </w:tc>
              <w:tc>
                <w:tcPr>
                  <w:tcW w:w="1043" w:type="dxa"/>
                  <w:vMerge w:val="continue"/>
                  <w:vAlign w:val="center"/>
                </w:tcPr>
                <w:p w14:paraId="65641403">
                  <w:pPr>
                    <w:jc w:val="center"/>
                    <w:textAlignment w:val="center"/>
                    <w:rPr>
                      <w:kern w:val="0"/>
                      <w:sz w:val="18"/>
                      <w:szCs w:val="18"/>
                      <w:lang w:bidi="ar"/>
                    </w:rPr>
                  </w:pPr>
                </w:p>
              </w:tc>
              <w:tc>
                <w:tcPr>
                  <w:tcW w:w="625" w:type="dxa"/>
                  <w:vMerge w:val="continue"/>
                  <w:vAlign w:val="center"/>
                </w:tcPr>
                <w:p w14:paraId="5B509927">
                  <w:pPr>
                    <w:jc w:val="center"/>
                    <w:textAlignment w:val="center"/>
                    <w:rPr>
                      <w:kern w:val="0"/>
                      <w:sz w:val="18"/>
                      <w:szCs w:val="18"/>
                      <w:lang w:bidi="ar"/>
                    </w:rPr>
                  </w:pPr>
                </w:p>
              </w:tc>
              <w:tc>
                <w:tcPr>
                  <w:tcW w:w="949" w:type="dxa"/>
                  <w:vMerge w:val="continue"/>
                  <w:vAlign w:val="center"/>
                </w:tcPr>
                <w:p w14:paraId="48F87EC9">
                  <w:pPr>
                    <w:jc w:val="center"/>
                    <w:textAlignment w:val="center"/>
                    <w:rPr>
                      <w:kern w:val="0"/>
                      <w:sz w:val="18"/>
                      <w:szCs w:val="18"/>
                      <w:lang w:bidi="ar"/>
                    </w:rPr>
                  </w:pPr>
                </w:p>
              </w:tc>
              <w:tc>
                <w:tcPr>
                  <w:tcW w:w="540" w:type="dxa"/>
                  <w:vMerge w:val="continue"/>
                  <w:vAlign w:val="center"/>
                </w:tcPr>
                <w:p w14:paraId="4E3302D5">
                  <w:pPr>
                    <w:jc w:val="center"/>
                    <w:textAlignment w:val="center"/>
                    <w:rPr>
                      <w:kern w:val="0"/>
                      <w:sz w:val="18"/>
                      <w:szCs w:val="18"/>
                      <w:lang w:bidi="ar"/>
                    </w:rPr>
                  </w:pPr>
                </w:p>
              </w:tc>
            </w:tr>
            <w:tr w14:paraId="3DA017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6" w:type="dxa"/>
                  <w:vMerge w:val="continue"/>
                  <w:vAlign w:val="center"/>
                </w:tcPr>
                <w:p w14:paraId="69E07E5F">
                  <w:pPr>
                    <w:jc w:val="center"/>
                    <w:textAlignment w:val="center"/>
                    <w:rPr>
                      <w:kern w:val="0"/>
                      <w:sz w:val="18"/>
                      <w:szCs w:val="18"/>
                      <w:lang w:bidi="ar"/>
                    </w:rPr>
                  </w:pPr>
                </w:p>
              </w:tc>
              <w:tc>
                <w:tcPr>
                  <w:tcW w:w="683" w:type="dxa"/>
                  <w:vMerge w:val="continue"/>
                  <w:vAlign w:val="center"/>
                </w:tcPr>
                <w:p w14:paraId="39D046B8">
                  <w:pPr>
                    <w:jc w:val="center"/>
                    <w:textAlignment w:val="center"/>
                    <w:rPr>
                      <w:kern w:val="0"/>
                      <w:sz w:val="18"/>
                      <w:szCs w:val="18"/>
                      <w:lang w:bidi="ar"/>
                    </w:rPr>
                  </w:pPr>
                </w:p>
              </w:tc>
              <w:tc>
                <w:tcPr>
                  <w:tcW w:w="773" w:type="dxa"/>
                  <w:vMerge w:val="continue"/>
                  <w:vAlign w:val="center"/>
                </w:tcPr>
                <w:p w14:paraId="533FCD97">
                  <w:pPr>
                    <w:jc w:val="center"/>
                    <w:textAlignment w:val="center"/>
                    <w:rPr>
                      <w:kern w:val="0"/>
                      <w:sz w:val="18"/>
                      <w:szCs w:val="18"/>
                      <w:lang w:bidi="ar"/>
                    </w:rPr>
                  </w:pPr>
                </w:p>
              </w:tc>
              <w:tc>
                <w:tcPr>
                  <w:tcW w:w="840" w:type="dxa"/>
                  <w:vAlign w:val="center"/>
                </w:tcPr>
                <w:p w14:paraId="5422D63D">
                  <w:pPr>
                    <w:jc w:val="center"/>
                    <w:rPr>
                      <w:sz w:val="18"/>
                      <w:szCs w:val="18"/>
                    </w:rPr>
                  </w:pPr>
                  <w:r>
                    <w:rPr>
                      <w:rFonts w:hint="default" w:ascii="Times New Roman" w:hAnsi="Times New Roman" w:cs="Times New Roman"/>
                      <w:sz w:val="18"/>
                      <w:szCs w:val="18"/>
                    </w:rPr>
                    <w:t>NH</w:t>
                  </w:r>
                  <w:r>
                    <w:rPr>
                      <w:rFonts w:hint="default" w:ascii="Times New Roman" w:hAnsi="Times New Roman" w:cs="Times New Roman"/>
                      <w:sz w:val="18"/>
                      <w:szCs w:val="18"/>
                      <w:vertAlign w:val="subscript"/>
                    </w:rPr>
                    <w:t>3</w:t>
                  </w:r>
                  <w:r>
                    <w:rPr>
                      <w:rFonts w:hint="default" w:ascii="Times New Roman" w:hAnsi="Times New Roman" w:cs="Times New Roman"/>
                      <w:sz w:val="18"/>
                      <w:szCs w:val="18"/>
                    </w:rPr>
                    <w:t>-N</w:t>
                  </w:r>
                </w:p>
              </w:tc>
              <w:tc>
                <w:tcPr>
                  <w:tcW w:w="963" w:type="dxa"/>
                  <w:vAlign w:val="center"/>
                </w:tcPr>
                <w:p w14:paraId="7F7F75D6">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35</w:t>
                  </w:r>
                </w:p>
              </w:tc>
              <w:tc>
                <w:tcPr>
                  <w:tcW w:w="996" w:type="dxa"/>
                  <w:vAlign w:val="center"/>
                </w:tcPr>
                <w:p w14:paraId="577465F3">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0.0035</w:t>
                  </w:r>
                </w:p>
              </w:tc>
              <w:tc>
                <w:tcPr>
                  <w:tcW w:w="869" w:type="dxa"/>
                  <w:vAlign w:val="center"/>
                </w:tcPr>
                <w:p w14:paraId="3909CF3A">
                  <w:pPr>
                    <w:jc w:val="center"/>
                    <w:textAlignment w:val="center"/>
                    <w:rPr>
                      <w:rFonts w:hint="eastAsia" w:ascii="Times New Roman" w:hAnsi="Times New Roman" w:eastAsia="宋体" w:cs="Times New Roman"/>
                      <w:kern w:val="0"/>
                      <w:sz w:val="18"/>
                      <w:szCs w:val="18"/>
                      <w:lang w:val="en-US" w:eastAsia="zh-CN" w:bidi="ar"/>
                    </w:rPr>
                  </w:pPr>
                  <w:r>
                    <w:rPr>
                      <w:rFonts w:hint="default" w:ascii="Times New Roman" w:hAnsi="Times New Roman" w:eastAsia="宋体" w:cs="Times New Roman"/>
                      <w:kern w:val="0"/>
                      <w:sz w:val="18"/>
                      <w:szCs w:val="18"/>
                      <w:lang w:bidi="ar"/>
                    </w:rPr>
                    <w:t>35</w:t>
                  </w:r>
                </w:p>
              </w:tc>
              <w:tc>
                <w:tcPr>
                  <w:tcW w:w="917" w:type="dxa"/>
                  <w:vAlign w:val="center"/>
                </w:tcPr>
                <w:p w14:paraId="2B2E3445">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0.0035</w:t>
                  </w:r>
                </w:p>
              </w:tc>
              <w:tc>
                <w:tcPr>
                  <w:tcW w:w="749" w:type="dxa"/>
                  <w:vMerge w:val="continue"/>
                  <w:vAlign w:val="center"/>
                </w:tcPr>
                <w:p w14:paraId="2D238F3A">
                  <w:pPr>
                    <w:jc w:val="center"/>
                    <w:textAlignment w:val="center"/>
                    <w:rPr>
                      <w:kern w:val="0"/>
                      <w:sz w:val="18"/>
                      <w:szCs w:val="18"/>
                      <w:lang w:bidi="ar"/>
                    </w:rPr>
                  </w:pPr>
                </w:p>
              </w:tc>
              <w:tc>
                <w:tcPr>
                  <w:tcW w:w="762" w:type="dxa"/>
                  <w:vMerge w:val="continue"/>
                  <w:vAlign w:val="center"/>
                </w:tcPr>
                <w:p w14:paraId="3C0D0904">
                  <w:pPr>
                    <w:jc w:val="center"/>
                    <w:textAlignment w:val="center"/>
                    <w:rPr>
                      <w:kern w:val="0"/>
                      <w:sz w:val="18"/>
                      <w:szCs w:val="18"/>
                      <w:lang w:bidi="ar"/>
                    </w:rPr>
                  </w:pPr>
                </w:p>
              </w:tc>
              <w:tc>
                <w:tcPr>
                  <w:tcW w:w="645" w:type="dxa"/>
                  <w:vMerge w:val="continue"/>
                  <w:vAlign w:val="center"/>
                </w:tcPr>
                <w:p w14:paraId="5435867B">
                  <w:pPr>
                    <w:jc w:val="center"/>
                    <w:textAlignment w:val="center"/>
                    <w:rPr>
                      <w:kern w:val="0"/>
                      <w:sz w:val="18"/>
                      <w:szCs w:val="18"/>
                      <w:lang w:bidi="ar"/>
                    </w:rPr>
                  </w:pPr>
                </w:p>
              </w:tc>
              <w:tc>
                <w:tcPr>
                  <w:tcW w:w="945" w:type="dxa"/>
                  <w:vAlign w:val="center"/>
                </w:tcPr>
                <w:p w14:paraId="50427079">
                  <w:pPr>
                    <w:jc w:val="center"/>
                    <w:textAlignment w:val="center"/>
                    <w:rPr>
                      <w:kern w:val="0"/>
                      <w:sz w:val="18"/>
                      <w:szCs w:val="18"/>
                      <w:lang w:bidi="ar"/>
                    </w:rPr>
                  </w:pPr>
                  <w:r>
                    <w:rPr>
                      <w:rFonts w:hint="default" w:ascii="Times New Roman" w:hAnsi="Times New Roman" w:cs="Times New Roman"/>
                      <w:kern w:val="0"/>
                      <w:sz w:val="18"/>
                      <w:szCs w:val="18"/>
                      <w:lang w:bidi="ar"/>
                    </w:rPr>
                    <w:t>0</w:t>
                  </w:r>
                </w:p>
              </w:tc>
              <w:tc>
                <w:tcPr>
                  <w:tcW w:w="1043" w:type="dxa"/>
                  <w:vMerge w:val="continue"/>
                  <w:vAlign w:val="center"/>
                </w:tcPr>
                <w:p w14:paraId="330CDE45">
                  <w:pPr>
                    <w:jc w:val="center"/>
                    <w:textAlignment w:val="center"/>
                    <w:rPr>
                      <w:kern w:val="0"/>
                      <w:sz w:val="18"/>
                      <w:szCs w:val="18"/>
                      <w:lang w:bidi="ar"/>
                    </w:rPr>
                  </w:pPr>
                </w:p>
              </w:tc>
              <w:tc>
                <w:tcPr>
                  <w:tcW w:w="625" w:type="dxa"/>
                  <w:vMerge w:val="continue"/>
                  <w:vAlign w:val="center"/>
                </w:tcPr>
                <w:p w14:paraId="72932CDA">
                  <w:pPr>
                    <w:jc w:val="center"/>
                    <w:textAlignment w:val="center"/>
                    <w:rPr>
                      <w:kern w:val="0"/>
                      <w:sz w:val="18"/>
                      <w:szCs w:val="18"/>
                      <w:lang w:bidi="ar"/>
                    </w:rPr>
                  </w:pPr>
                </w:p>
              </w:tc>
              <w:tc>
                <w:tcPr>
                  <w:tcW w:w="949" w:type="dxa"/>
                  <w:vMerge w:val="continue"/>
                  <w:vAlign w:val="center"/>
                </w:tcPr>
                <w:p w14:paraId="5F65B962">
                  <w:pPr>
                    <w:jc w:val="center"/>
                    <w:textAlignment w:val="center"/>
                    <w:rPr>
                      <w:kern w:val="0"/>
                      <w:sz w:val="18"/>
                      <w:szCs w:val="18"/>
                      <w:lang w:bidi="ar"/>
                    </w:rPr>
                  </w:pPr>
                </w:p>
              </w:tc>
              <w:tc>
                <w:tcPr>
                  <w:tcW w:w="540" w:type="dxa"/>
                  <w:vMerge w:val="continue"/>
                  <w:vAlign w:val="center"/>
                </w:tcPr>
                <w:p w14:paraId="63689E74">
                  <w:pPr>
                    <w:jc w:val="center"/>
                    <w:textAlignment w:val="center"/>
                    <w:rPr>
                      <w:kern w:val="0"/>
                      <w:sz w:val="18"/>
                      <w:szCs w:val="18"/>
                      <w:lang w:bidi="ar"/>
                    </w:rPr>
                  </w:pPr>
                </w:p>
              </w:tc>
            </w:tr>
            <w:tr w14:paraId="3D7377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6" w:type="dxa"/>
                  <w:vMerge w:val="continue"/>
                  <w:vAlign w:val="center"/>
                </w:tcPr>
                <w:p w14:paraId="137E79F8">
                  <w:pPr>
                    <w:jc w:val="center"/>
                    <w:textAlignment w:val="center"/>
                    <w:rPr>
                      <w:kern w:val="0"/>
                      <w:sz w:val="18"/>
                      <w:szCs w:val="18"/>
                      <w:lang w:bidi="ar"/>
                    </w:rPr>
                  </w:pPr>
                </w:p>
              </w:tc>
              <w:tc>
                <w:tcPr>
                  <w:tcW w:w="683" w:type="dxa"/>
                  <w:vMerge w:val="continue"/>
                  <w:vAlign w:val="center"/>
                </w:tcPr>
                <w:p w14:paraId="26524BC2">
                  <w:pPr>
                    <w:jc w:val="center"/>
                    <w:textAlignment w:val="center"/>
                    <w:rPr>
                      <w:kern w:val="0"/>
                      <w:sz w:val="18"/>
                      <w:szCs w:val="18"/>
                      <w:lang w:bidi="ar"/>
                    </w:rPr>
                  </w:pPr>
                </w:p>
              </w:tc>
              <w:tc>
                <w:tcPr>
                  <w:tcW w:w="773" w:type="dxa"/>
                  <w:vMerge w:val="continue"/>
                  <w:vAlign w:val="center"/>
                </w:tcPr>
                <w:p w14:paraId="43718835">
                  <w:pPr>
                    <w:jc w:val="center"/>
                    <w:textAlignment w:val="center"/>
                    <w:rPr>
                      <w:kern w:val="0"/>
                      <w:sz w:val="18"/>
                      <w:szCs w:val="18"/>
                      <w:lang w:bidi="ar"/>
                    </w:rPr>
                  </w:pPr>
                </w:p>
              </w:tc>
              <w:tc>
                <w:tcPr>
                  <w:tcW w:w="840" w:type="dxa"/>
                  <w:vAlign w:val="center"/>
                </w:tcPr>
                <w:p w14:paraId="0B92DA99">
                  <w:pPr>
                    <w:jc w:val="center"/>
                    <w:rPr>
                      <w:sz w:val="18"/>
                      <w:szCs w:val="18"/>
                    </w:rPr>
                  </w:pPr>
                  <w:r>
                    <w:rPr>
                      <w:rFonts w:hint="default" w:ascii="Times New Roman" w:hAnsi="Times New Roman" w:cs="Times New Roman"/>
                      <w:sz w:val="18"/>
                      <w:szCs w:val="18"/>
                    </w:rPr>
                    <w:t>TP</w:t>
                  </w:r>
                </w:p>
              </w:tc>
              <w:tc>
                <w:tcPr>
                  <w:tcW w:w="963" w:type="dxa"/>
                  <w:vAlign w:val="center"/>
                </w:tcPr>
                <w:p w14:paraId="776DE5DC">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6</w:t>
                  </w:r>
                </w:p>
              </w:tc>
              <w:tc>
                <w:tcPr>
                  <w:tcW w:w="996" w:type="dxa"/>
                  <w:vAlign w:val="center"/>
                </w:tcPr>
                <w:p w14:paraId="6E3A80B1">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0.0006</w:t>
                  </w:r>
                </w:p>
              </w:tc>
              <w:tc>
                <w:tcPr>
                  <w:tcW w:w="869" w:type="dxa"/>
                  <w:vAlign w:val="center"/>
                </w:tcPr>
                <w:p w14:paraId="74804C9B">
                  <w:pPr>
                    <w:jc w:val="center"/>
                    <w:textAlignment w:val="center"/>
                    <w:rPr>
                      <w:rFonts w:hint="eastAsia" w:ascii="Times New Roman" w:hAnsi="Times New Roman" w:eastAsia="宋体" w:cs="Times New Roman"/>
                      <w:kern w:val="0"/>
                      <w:sz w:val="18"/>
                      <w:szCs w:val="18"/>
                      <w:lang w:val="en-US" w:eastAsia="zh-CN" w:bidi="ar"/>
                    </w:rPr>
                  </w:pPr>
                  <w:r>
                    <w:rPr>
                      <w:rFonts w:hint="default" w:ascii="Times New Roman" w:hAnsi="Times New Roman" w:eastAsia="宋体" w:cs="Times New Roman"/>
                      <w:kern w:val="0"/>
                      <w:sz w:val="18"/>
                      <w:szCs w:val="18"/>
                      <w:lang w:bidi="ar"/>
                    </w:rPr>
                    <w:t>6</w:t>
                  </w:r>
                </w:p>
              </w:tc>
              <w:tc>
                <w:tcPr>
                  <w:tcW w:w="917" w:type="dxa"/>
                  <w:vAlign w:val="center"/>
                </w:tcPr>
                <w:p w14:paraId="66992A66">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0.0006</w:t>
                  </w:r>
                </w:p>
              </w:tc>
              <w:tc>
                <w:tcPr>
                  <w:tcW w:w="749" w:type="dxa"/>
                  <w:vMerge w:val="continue"/>
                  <w:vAlign w:val="center"/>
                </w:tcPr>
                <w:p w14:paraId="0311F86A">
                  <w:pPr>
                    <w:jc w:val="center"/>
                    <w:textAlignment w:val="center"/>
                    <w:rPr>
                      <w:kern w:val="0"/>
                      <w:sz w:val="18"/>
                      <w:szCs w:val="18"/>
                      <w:lang w:bidi="ar"/>
                    </w:rPr>
                  </w:pPr>
                </w:p>
              </w:tc>
              <w:tc>
                <w:tcPr>
                  <w:tcW w:w="762" w:type="dxa"/>
                  <w:vMerge w:val="continue"/>
                  <w:vAlign w:val="center"/>
                </w:tcPr>
                <w:p w14:paraId="413C4BF6">
                  <w:pPr>
                    <w:jc w:val="center"/>
                    <w:textAlignment w:val="center"/>
                    <w:rPr>
                      <w:kern w:val="0"/>
                      <w:sz w:val="18"/>
                      <w:szCs w:val="18"/>
                      <w:lang w:bidi="ar"/>
                    </w:rPr>
                  </w:pPr>
                </w:p>
              </w:tc>
              <w:tc>
                <w:tcPr>
                  <w:tcW w:w="645" w:type="dxa"/>
                  <w:vMerge w:val="continue"/>
                  <w:vAlign w:val="center"/>
                </w:tcPr>
                <w:p w14:paraId="7DB402EA">
                  <w:pPr>
                    <w:jc w:val="center"/>
                    <w:textAlignment w:val="center"/>
                    <w:rPr>
                      <w:kern w:val="0"/>
                      <w:sz w:val="18"/>
                      <w:szCs w:val="18"/>
                      <w:lang w:bidi="ar"/>
                    </w:rPr>
                  </w:pPr>
                </w:p>
              </w:tc>
              <w:tc>
                <w:tcPr>
                  <w:tcW w:w="945" w:type="dxa"/>
                  <w:vAlign w:val="center"/>
                </w:tcPr>
                <w:p w14:paraId="4E3764EF">
                  <w:pPr>
                    <w:jc w:val="center"/>
                    <w:textAlignment w:val="center"/>
                    <w:rPr>
                      <w:kern w:val="0"/>
                      <w:sz w:val="18"/>
                      <w:szCs w:val="18"/>
                      <w:lang w:bidi="ar"/>
                    </w:rPr>
                  </w:pPr>
                  <w:r>
                    <w:rPr>
                      <w:rFonts w:hint="default" w:ascii="Times New Roman" w:hAnsi="Times New Roman" w:cs="Times New Roman"/>
                      <w:kern w:val="0"/>
                      <w:sz w:val="18"/>
                      <w:szCs w:val="18"/>
                      <w:lang w:bidi="ar"/>
                    </w:rPr>
                    <w:t>0</w:t>
                  </w:r>
                </w:p>
              </w:tc>
              <w:tc>
                <w:tcPr>
                  <w:tcW w:w="1043" w:type="dxa"/>
                  <w:vMerge w:val="continue"/>
                  <w:vAlign w:val="center"/>
                </w:tcPr>
                <w:p w14:paraId="1E688301">
                  <w:pPr>
                    <w:jc w:val="center"/>
                    <w:textAlignment w:val="center"/>
                    <w:rPr>
                      <w:kern w:val="0"/>
                      <w:sz w:val="18"/>
                      <w:szCs w:val="18"/>
                      <w:lang w:bidi="ar"/>
                    </w:rPr>
                  </w:pPr>
                </w:p>
              </w:tc>
              <w:tc>
                <w:tcPr>
                  <w:tcW w:w="625" w:type="dxa"/>
                  <w:vMerge w:val="continue"/>
                  <w:vAlign w:val="center"/>
                </w:tcPr>
                <w:p w14:paraId="055E95A5">
                  <w:pPr>
                    <w:jc w:val="center"/>
                    <w:textAlignment w:val="center"/>
                    <w:rPr>
                      <w:kern w:val="0"/>
                      <w:sz w:val="18"/>
                      <w:szCs w:val="18"/>
                      <w:lang w:bidi="ar"/>
                    </w:rPr>
                  </w:pPr>
                </w:p>
              </w:tc>
              <w:tc>
                <w:tcPr>
                  <w:tcW w:w="949" w:type="dxa"/>
                  <w:vMerge w:val="continue"/>
                  <w:vAlign w:val="center"/>
                </w:tcPr>
                <w:p w14:paraId="7503E0B7">
                  <w:pPr>
                    <w:jc w:val="center"/>
                    <w:textAlignment w:val="center"/>
                    <w:rPr>
                      <w:kern w:val="0"/>
                      <w:sz w:val="18"/>
                      <w:szCs w:val="18"/>
                      <w:lang w:bidi="ar"/>
                    </w:rPr>
                  </w:pPr>
                </w:p>
              </w:tc>
              <w:tc>
                <w:tcPr>
                  <w:tcW w:w="540" w:type="dxa"/>
                  <w:vMerge w:val="continue"/>
                  <w:vAlign w:val="center"/>
                </w:tcPr>
                <w:p w14:paraId="302CF7AF">
                  <w:pPr>
                    <w:jc w:val="center"/>
                    <w:textAlignment w:val="center"/>
                    <w:rPr>
                      <w:kern w:val="0"/>
                      <w:sz w:val="18"/>
                      <w:szCs w:val="18"/>
                      <w:lang w:bidi="ar"/>
                    </w:rPr>
                  </w:pPr>
                </w:p>
              </w:tc>
            </w:tr>
            <w:tr w14:paraId="439C17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6" w:type="dxa"/>
                  <w:vMerge w:val="continue"/>
                  <w:vAlign w:val="center"/>
                </w:tcPr>
                <w:p w14:paraId="69DBAC15">
                  <w:pPr>
                    <w:jc w:val="center"/>
                    <w:textAlignment w:val="center"/>
                    <w:rPr>
                      <w:kern w:val="0"/>
                      <w:sz w:val="18"/>
                      <w:szCs w:val="18"/>
                      <w:lang w:bidi="ar"/>
                    </w:rPr>
                  </w:pPr>
                </w:p>
              </w:tc>
              <w:tc>
                <w:tcPr>
                  <w:tcW w:w="683" w:type="dxa"/>
                  <w:vMerge w:val="continue"/>
                  <w:vAlign w:val="center"/>
                </w:tcPr>
                <w:p w14:paraId="01879097">
                  <w:pPr>
                    <w:jc w:val="center"/>
                    <w:textAlignment w:val="center"/>
                    <w:rPr>
                      <w:kern w:val="0"/>
                      <w:sz w:val="18"/>
                      <w:szCs w:val="18"/>
                      <w:lang w:bidi="ar"/>
                    </w:rPr>
                  </w:pPr>
                </w:p>
              </w:tc>
              <w:tc>
                <w:tcPr>
                  <w:tcW w:w="773" w:type="dxa"/>
                  <w:vMerge w:val="continue"/>
                  <w:vAlign w:val="center"/>
                </w:tcPr>
                <w:p w14:paraId="6BB5E242">
                  <w:pPr>
                    <w:jc w:val="center"/>
                    <w:textAlignment w:val="center"/>
                    <w:rPr>
                      <w:kern w:val="0"/>
                      <w:sz w:val="18"/>
                      <w:szCs w:val="18"/>
                      <w:lang w:bidi="ar"/>
                    </w:rPr>
                  </w:pPr>
                </w:p>
              </w:tc>
              <w:tc>
                <w:tcPr>
                  <w:tcW w:w="840" w:type="dxa"/>
                  <w:vAlign w:val="center"/>
                </w:tcPr>
                <w:p w14:paraId="3E9CECE4">
                  <w:pPr>
                    <w:jc w:val="center"/>
                    <w:rPr>
                      <w:sz w:val="18"/>
                      <w:szCs w:val="18"/>
                    </w:rPr>
                  </w:pPr>
                  <w:r>
                    <w:rPr>
                      <w:rFonts w:hint="default" w:ascii="Times New Roman" w:hAnsi="Times New Roman" w:cs="Times New Roman"/>
                      <w:sz w:val="18"/>
                      <w:szCs w:val="18"/>
                    </w:rPr>
                    <w:t>TN</w:t>
                  </w:r>
                </w:p>
              </w:tc>
              <w:tc>
                <w:tcPr>
                  <w:tcW w:w="963" w:type="dxa"/>
                  <w:vAlign w:val="center"/>
                </w:tcPr>
                <w:p w14:paraId="1EC33FF7">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40</w:t>
                  </w:r>
                </w:p>
              </w:tc>
              <w:tc>
                <w:tcPr>
                  <w:tcW w:w="996" w:type="dxa"/>
                  <w:vAlign w:val="center"/>
                </w:tcPr>
                <w:p w14:paraId="63C70FE9">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0.004</w:t>
                  </w:r>
                </w:p>
              </w:tc>
              <w:tc>
                <w:tcPr>
                  <w:tcW w:w="869" w:type="dxa"/>
                  <w:vAlign w:val="center"/>
                </w:tcPr>
                <w:p w14:paraId="1E806424">
                  <w:pPr>
                    <w:jc w:val="center"/>
                    <w:textAlignment w:val="center"/>
                    <w:rPr>
                      <w:rFonts w:hint="eastAsia" w:ascii="Times New Roman" w:hAnsi="Times New Roman" w:eastAsia="宋体" w:cs="Times New Roman"/>
                      <w:kern w:val="0"/>
                      <w:sz w:val="18"/>
                      <w:szCs w:val="18"/>
                      <w:lang w:val="en-US" w:eastAsia="zh-CN" w:bidi="ar"/>
                    </w:rPr>
                  </w:pPr>
                  <w:r>
                    <w:rPr>
                      <w:rFonts w:hint="default" w:ascii="Times New Roman" w:hAnsi="Times New Roman" w:eastAsia="宋体" w:cs="Times New Roman"/>
                      <w:kern w:val="0"/>
                      <w:sz w:val="18"/>
                      <w:szCs w:val="18"/>
                      <w:lang w:bidi="ar"/>
                    </w:rPr>
                    <w:t>40</w:t>
                  </w:r>
                </w:p>
              </w:tc>
              <w:tc>
                <w:tcPr>
                  <w:tcW w:w="917" w:type="dxa"/>
                  <w:vAlign w:val="center"/>
                </w:tcPr>
                <w:p w14:paraId="39F204CA">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0.004</w:t>
                  </w:r>
                </w:p>
              </w:tc>
              <w:tc>
                <w:tcPr>
                  <w:tcW w:w="749" w:type="dxa"/>
                  <w:vMerge w:val="continue"/>
                  <w:vAlign w:val="center"/>
                </w:tcPr>
                <w:p w14:paraId="4A8A3FCD">
                  <w:pPr>
                    <w:jc w:val="center"/>
                    <w:textAlignment w:val="center"/>
                    <w:rPr>
                      <w:kern w:val="0"/>
                      <w:sz w:val="18"/>
                      <w:szCs w:val="18"/>
                      <w:lang w:bidi="ar"/>
                    </w:rPr>
                  </w:pPr>
                </w:p>
              </w:tc>
              <w:tc>
                <w:tcPr>
                  <w:tcW w:w="762" w:type="dxa"/>
                  <w:vMerge w:val="continue"/>
                  <w:vAlign w:val="center"/>
                </w:tcPr>
                <w:p w14:paraId="1042DE74">
                  <w:pPr>
                    <w:jc w:val="center"/>
                    <w:textAlignment w:val="center"/>
                    <w:rPr>
                      <w:kern w:val="0"/>
                      <w:sz w:val="18"/>
                      <w:szCs w:val="18"/>
                      <w:lang w:bidi="ar"/>
                    </w:rPr>
                  </w:pPr>
                </w:p>
              </w:tc>
              <w:tc>
                <w:tcPr>
                  <w:tcW w:w="645" w:type="dxa"/>
                  <w:vMerge w:val="continue"/>
                  <w:vAlign w:val="center"/>
                </w:tcPr>
                <w:p w14:paraId="16DB1A94">
                  <w:pPr>
                    <w:jc w:val="center"/>
                    <w:textAlignment w:val="center"/>
                    <w:rPr>
                      <w:kern w:val="0"/>
                      <w:sz w:val="18"/>
                      <w:szCs w:val="18"/>
                      <w:lang w:bidi="ar"/>
                    </w:rPr>
                  </w:pPr>
                </w:p>
              </w:tc>
              <w:tc>
                <w:tcPr>
                  <w:tcW w:w="945" w:type="dxa"/>
                  <w:vAlign w:val="center"/>
                </w:tcPr>
                <w:p w14:paraId="1FD3C410">
                  <w:pPr>
                    <w:jc w:val="center"/>
                    <w:textAlignment w:val="center"/>
                    <w:rPr>
                      <w:kern w:val="0"/>
                      <w:sz w:val="18"/>
                      <w:szCs w:val="18"/>
                      <w:lang w:bidi="ar"/>
                    </w:rPr>
                  </w:pPr>
                  <w:r>
                    <w:rPr>
                      <w:rFonts w:hint="default" w:ascii="Times New Roman" w:hAnsi="Times New Roman" w:cs="Times New Roman"/>
                      <w:kern w:val="0"/>
                      <w:sz w:val="18"/>
                      <w:szCs w:val="18"/>
                      <w:lang w:bidi="ar"/>
                    </w:rPr>
                    <w:t>0</w:t>
                  </w:r>
                </w:p>
              </w:tc>
              <w:tc>
                <w:tcPr>
                  <w:tcW w:w="1043" w:type="dxa"/>
                  <w:vMerge w:val="continue"/>
                  <w:vAlign w:val="center"/>
                </w:tcPr>
                <w:p w14:paraId="12601B3E">
                  <w:pPr>
                    <w:jc w:val="center"/>
                    <w:textAlignment w:val="center"/>
                    <w:rPr>
                      <w:kern w:val="0"/>
                      <w:sz w:val="18"/>
                      <w:szCs w:val="18"/>
                      <w:lang w:bidi="ar"/>
                    </w:rPr>
                  </w:pPr>
                </w:p>
              </w:tc>
              <w:tc>
                <w:tcPr>
                  <w:tcW w:w="625" w:type="dxa"/>
                  <w:vMerge w:val="continue"/>
                  <w:vAlign w:val="center"/>
                </w:tcPr>
                <w:p w14:paraId="25371A47">
                  <w:pPr>
                    <w:jc w:val="center"/>
                    <w:textAlignment w:val="center"/>
                    <w:rPr>
                      <w:kern w:val="0"/>
                      <w:sz w:val="18"/>
                      <w:szCs w:val="18"/>
                      <w:lang w:bidi="ar"/>
                    </w:rPr>
                  </w:pPr>
                </w:p>
              </w:tc>
              <w:tc>
                <w:tcPr>
                  <w:tcW w:w="949" w:type="dxa"/>
                  <w:vMerge w:val="continue"/>
                  <w:vAlign w:val="center"/>
                </w:tcPr>
                <w:p w14:paraId="12AFEE4E">
                  <w:pPr>
                    <w:jc w:val="center"/>
                    <w:textAlignment w:val="center"/>
                    <w:rPr>
                      <w:kern w:val="0"/>
                      <w:sz w:val="18"/>
                      <w:szCs w:val="18"/>
                      <w:lang w:bidi="ar"/>
                    </w:rPr>
                  </w:pPr>
                </w:p>
              </w:tc>
              <w:tc>
                <w:tcPr>
                  <w:tcW w:w="540" w:type="dxa"/>
                  <w:vMerge w:val="continue"/>
                  <w:vAlign w:val="center"/>
                </w:tcPr>
                <w:p w14:paraId="6CDD550D">
                  <w:pPr>
                    <w:jc w:val="center"/>
                    <w:textAlignment w:val="center"/>
                    <w:rPr>
                      <w:kern w:val="0"/>
                      <w:sz w:val="18"/>
                      <w:szCs w:val="18"/>
                      <w:lang w:bidi="ar"/>
                    </w:rPr>
                  </w:pPr>
                </w:p>
              </w:tc>
            </w:tr>
            <w:tr w14:paraId="011FD6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6" w:type="dxa"/>
                  <w:vMerge w:val="continue"/>
                  <w:vAlign w:val="center"/>
                </w:tcPr>
                <w:p w14:paraId="23D0063C">
                  <w:pPr>
                    <w:jc w:val="center"/>
                    <w:textAlignment w:val="center"/>
                    <w:rPr>
                      <w:kern w:val="0"/>
                      <w:sz w:val="18"/>
                      <w:szCs w:val="18"/>
                      <w:lang w:bidi="ar"/>
                    </w:rPr>
                  </w:pPr>
                </w:p>
              </w:tc>
              <w:tc>
                <w:tcPr>
                  <w:tcW w:w="683" w:type="dxa"/>
                  <w:vMerge w:val="continue"/>
                  <w:vAlign w:val="center"/>
                </w:tcPr>
                <w:p w14:paraId="648F1042">
                  <w:pPr>
                    <w:jc w:val="center"/>
                    <w:textAlignment w:val="center"/>
                    <w:rPr>
                      <w:kern w:val="0"/>
                      <w:sz w:val="18"/>
                      <w:szCs w:val="18"/>
                      <w:lang w:bidi="ar"/>
                    </w:rPr>
                  </w:pPr>
                </w:p>
              </w:tc>
              <w:tc>
                <w:tcPr>
                  <w:tcW w:w="773" w:type="dxa"/>
                  <w:vMerge w:val="continue"/>
                  <w:vAlign w:val="center"/>
                </w:tcPr>
                <w:p w14:paraId="38B82641">
                  <w:pPr>
                    <w:jc w:val="center"/>
                    <w:textAlignment w:val="center"/>
                    <w:rPr>
                      <w:kern w:val="0"/>
                      <w:sz w:val="18"/>
                      <w:szCs w:val="18"/>
                      <w:lang w:bidi="ar"/>
                    </w:rPr>
                  </w:pPr>
                </w:p>
              </w:tc>
              <w:tc>
                <w:tcPr>
                  <w:tcW w:w="840" w:type="dxa"/>
                  <w:vAlign w:val="center"/>
                </w:tcPr>
                <w:p w14:paraId="1948CDB2">
                  <w:pPr>
                    <w:jc w:val="center"/>
                    <w:rPr>
                      <w:sz w:val="18"/>
                      <w:szCs w:val="18"/>
                    </w:rPr>
                  </w:pPr>
                  <w:r>
                    <w:rPr>
                      <w:rFonts w:hint="default" w:ascii="Times New Roman" w:hAnsi="Times New Roman" w:cs="Times New Roman"/>
                      <w:sz w:val="18"/>
                      <w:szCs w:val="18"/>
                    </w:rPr>
                    <w:t>动植物油</w:t>
                  </w:r>
                </w:p>
              </w:tc>
              <w:tc>
                <w:tcPr>
                  <w:tcW w:w="963" w:type="dxa"/>
                  <w:vAlign w:val="center"/>
                </w:tcPr>
                <w:p w14:paraId="5295233B">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160</w:t>
                  </w:r>
                </w:p>
              </w:tc>
              <w:tc>
                <w:tcPr>
                  <w:tcW w:w="996" w:type="dxa"/>
                  <w:vAlign w:val="center"/>
                </w:tcPr>
                <w:p w14:paraId="00E9634E">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0.016</w:t>
                  </w:r>
                </w:p>
              </w:tc>
              <w:tc>
                <w:tcPr>
                  <w:tcW w:w="869" w:type="dxa"/>
                  <w:vAlign w:val="center"/>
                </w:tcPr>
                <w:p w14:paraId="241599B3">
                  <w:pPr>
                    <w:jc w:val="center"/>
                    <w:textAlignment w:val="center"/>
                    <w:rPr>
                      <w:rFonts w:hint="eastAsia" w:ascii="Times New Roman" w:hAnsi="Times New Roman" w:eastAsia="宋体" w:cs="Times New Roman"/>
                      <w:kern w:val="0"/>
                      <w:sz w:val="18"/>
                      <w:szCs w:val="18"/>
                      <w:lang w:val="en-US" w:eastAsia="zh-CN" w:bidi="ar"/>
                    </w:rPr>
                  </w:pPr>
                  <w:r>
                    <w:rPr>
                      <w:rFonts w:hint="default" w:ascii="Times New Roman" w:hAnsi="Times New Roman" w:eastAsia="宋体" w:cs="Times New Roman"/>
                      <w:kern w:val="0"/>
                      <w:sz w:val="18"/>
                      <w:szCs w:val="18"/>
                      <w:lang w:bidi="ar"/>
                    </w:rPr>
                    <w:t>80</w:t>
                  </w:r>
                </w:p>
              </w:tc>
              <w:tc>
                <w:tcPr>
                  <w:tcW w:w="917" w:type="dxa"/>
                  <w:vAlign w:val="center"/>
                </w:tcPr>
                <w:p w14:paraId="4E99B72C">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0.008</w:t>
                  </w:r>
                </w:p>
              </w:tc>
              <w:tc>
                <w:tcPr>
                  <w:tcW w:w="749" w:type="dxa"/>
                  <w:vMerge w:val="continue"/>
                  <w:vAlign w:val="center"/>
                </w:tcPr>
                <w:p w14:paraId="4F097C95">
                  <w:pPr>
                    <w:jc w:val="center"/>
                    <w:textAlignment w:val="center"/>
                    <w:rPr>
                      <w:kern w:val="0"/>
                      <w:sz w:val="18"/>
                      <w:szCs w:val="18"/>
                      <w:lang w:bidi="ar"/>
                    </w:rPr>
                  </w:pPr>
                </w:p>
              </w:tc>
              <w:tc>
                <w:tcPr>
                  <w:tcW w:w="762" w:type="dxa"/>
                  <w:vMerge w:val="continue"/>
                  <w:vAlign w:val="center"/>
                </w:tcPr>
                <w:p w14:paraId="3D6592AF">
                  <w:pPr>
                    <w:jc w:val="center"/>
                    <w:textAlignment w:val="center"/>
                    <w:rPr>
                      <w:kern w:val="0"/>
                      <w:sz w:val="18"/>
                      <w:szCs w:val="18"/>
                      <w:lang w:bidi="ar"/>
                    </w:rPr>
                  </w:pPr>
                </w:p>
              </w:tc>
              <w:tc>
                <w:tcPr>
                  <w:tcW w:w="645" w:type="dxa"/>
                  <w:vMerge w:val="continue"/>
                  <w:vAlign w:val="center"/>
                </w:tcPr>
                <w:p w14:paraId="4EB2FB44">
                  <w:pPr>
                    <w:jc w:val="center"/>
                    <w:textAlignment w:val="center"/>
                    <w:rPr>
                      <w:kern w:val="0"/>
                      <w:sz w:val="18"/>
                      <w:szCs w:val="18"/>
                      <w:lang w:bidi="ar"/>
                    </w:rPr>
                  </w:pPr>
                </w:p>
              </w:tc>
              <w:tc>
                <w:tcPr>
                  <w:tcW w:w="945" w:type="dxa"/>
                  <w:vAlign w:val="center"/>
                </w:tcPr>
                <w:p w14:paraId="7DCB8FE3">
                  <w:pPr>
                    <w:jc w:val="center"/>
                    <w:textAlignment w:val="center"/>
                    <w:rPr>
                      <w:kern w:val="0"/>
                      <w:sz w:val="18"/>
                      <w:szCs w:val="18"/>
                      <w:lang w:bidi="ar"/>
                    </w:rPr>
                  </w:pPr>
                  <w:r>
                    <w:rPr>
                      <w:rFonts w:hint="default" w:ascii="Times New Roman" w:hAnsi="Times New Roman" w:cs="Times New Roman"/>
                      <w:kern w:val="0"/>
                      <w:sz w:val="18"/>
                      <w:szCs w:val="18"/>
                      <w:lang w:bidi="ar"/>
                    </w:rPr>
                    <w:t>50</w:t>
                  </w:r>
                </w:p>
              </w:tc>
              <w:tc>
                <w:tcPr>
                  <w:tcW w:w="1043" w:type="dxa"/>
                  <w:vMerge w:val="continue"/>
                  <w:vAlign w:val="center"/>
                </w:tcPr>
                <w:p w14:paraId="5A600099">
                  <w:pPr>
                    <w:jc w:val="center"/>
                    <w:textAlignment w:val="center"/>
                    <w:rPr>
                      <w:kern w:val="0"/>
                      <w:sz w:val="18"/>
                      <w:szCs w:val="18"/>
                      <w:lang w:bidi="ar"/>
                    </w:rPr>
                  </w:pPr>
                </w:p>
              </w:tc>
              <w:tc>
                <w:tcPr>
                  <w:tcW w:w="625" w:type="dxa"/>
                  <w:vMerge w:val="continue"/>
                  <w:vAlign w:val="center"/>
                </w:tcPr>
                <w:p w14:paraId="0DB4DD08">
                  <w:pPr>
                    <w:jc w:val="center"/>
                    <w:textAlignment w:val="center"/>
                    <w:rPr>
                      <w:kern w:val="0"/>
                      <w:sz w:val="18"/>
                      <w:szCs w:val="18"/>
                      <w:lang w:bidi="ar"/>
                    </w:rPr>
                  </w:pPr>
                </w:p>
              </w:tc>
              <w:tc>
                <w:tcPr>
                  <w:tcW w:w="949" w:type="dxa"/>
                  <w:vMerge w:val="continue"/>
                  <w:vAlign w:val="center"/>
                </w:tcPr>
                <w:p w14:paraId="4B3E789D">
                  <w:pPr>
                    <w:jc w:val="center"/>
                    <w:textAlignment w:val="center"/>
                    <w:rPr>
                      <w:kern w:val="0"/>
                      <w:sz w:val="18"/>
                      <w:szCs w:val="18"/>
                      <w:lang w:bidi="ar"/>
                    </w:rPr>
                  </w:pPr>
                </w:p>
              </w:tc>
              <w:tc>
                <w:tcPr>
                  <w:tcW w:w="540" w:type="dxa"/>
                  <w:vMerge w:val="continue"/>
                  <w:vAlign w:val="center"/>
                </w:tcPr>
                <w:p w14:paraId="7AD0412A">
                  <w:pPr>
                    <w:jc w:val="center"/>
                    <w:textAlignment w:val="center"/>
                    <w:rPr>
                      <w:kern w:val="0"/>
                      <w:sz w:val="18"/>
                      <w:szCs w:val="18"/>
                      <w:lang w:bidi="ar"/>
                    </w:rPr>
                  </w:pPr>
                </w:p>
              </w:tc>
            </w:tr>
            <w:tr w14:paraId="4A6589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6" w:type="dxa"/>
                  <w:vMerge w:val="restart"/>
                  <w:vAlign w:val="center"/>
                </w:tcPr>
                <w:p w14:paraId="26C798F7">
                  <w:pPr>
                    <w:jc w:val="center"/>
                    <w:textAlignment w:val="center"/>
                    <w:rPr>
                      <w:rFonts w:hint="eastAsia" w:eastAsia="宋体"/>
                      <w:kern w:val="0"/>
                      <w:sz w:val="18"/>
                      <w:szCs w:val="18"/>
                      <w:lang w:eastAsia="zh-CN" w:bidi="ar"/>
                    </w:rPr>
                  </w:pPr>
                  <w:r>
                    <w:rPr>
                      <w:rFonts w:hint="eastAsia"/>
                      <w:kern w:val="0"/>
                      <w:sz w:val="18"/>
                      <w:szCs w:val="18"/>
                      <w:lang w:eastAsia="zh-CN" w:bidi="ar"/>
                    </w:rPr>
                    <w:t>综合废水</w:t>
                  </w:r>
                </w:p>
              </w:tc>
              <w:tc>
                <w:tcPr>
                  <w:tcW w:w="683" w:type="dxa"/>
                  <w:vMerge w:val="restart"/>
                  <w:vAlign w:val="center"/>
                </w:tcPr>
                <w:p w14:paraId="0592C208">
                  <w:pPr>
                    <w:jc w:val="center"/>
                    <w:textAlignment w:val="center"/>
                    <w:rPr>
                      <w:kern w:val="0"/>
                      <w:sz w:val="18"/>
                      <w:szCs w:val="18"/>
                      <w:lang w:bidi="ar"/>
                    </w:rPr>
                  </w:pPr>
                  <w:r>
                    <w:rPr>
                      <w:rFonts w:hint="eastAsia"/>
                      <w:kern w:val="0"/>
                      <w:sz w:val="18"/>
                      <w:szCs w:val="18"/>
                      <w:lang w:eastAsia="zh-CN" w:bidi="ar"/>
                    </w:rPr>
                    <w:t>综合废水</w:t>
                  </w:r>
                </w:p>
              </w:tc>
              <w:tc>
                <w:tcPr>
                  <w:tcW w:w="773" w:type="dxa"/>
                  <w:vMerge w:val="restart"/>
                  <w:vAlign w:val="center"/>
                </w:tcPr>
                <w:p w14:paraId="5BA261EB">
                  <w:pPr>
                    <w:jc w:val="center"/>
                    <w:textAlignment w:val="center"/>
                    <w:rPr>
                      <w:rFonts w:hint="default" w:eastAsia="宋体"/>
                      <w:kern w:val="0"/>
                      <w:sz w:val="18"/>
                      <w:szCs w:val="18"/>
                      <w:lang w:val="en-US" w:eastAsia="zh-CN" w:bidi="ar"/>
                    </w:rPr>
                  </w:pPr>
                  <w:r>
                    <w:rPr>
                      <w:rFonts w:hint="eastAsia"/>
                      <w:kern w:val="0"/>
                      <w:sz w:val="18"/>
                      <w:szCs w:val="18"/>
                      <w:lang w:val="en-US" w:eastAsia="zh-CN" w:bidi="ar"/>
                    </w:rPr>
                    <w:t>460</w:t>
                  </w:r>
                </w:p>
              </w:tc>
              <w:tc>
                <w:tcPr>
                  <w:tcW w:w="840" w:type="dxa"/>
                  <w:vAlign w:val="center"/>
                </w:tcPr>
                <w:p w14:paraId="2B8E83E9">
                  <w:pPr>
                    <w:jc w:val="center"/>
                    <w:rPr>
                      <w:rFonts w:hint="default" w:ascii="Times New Roman" w:hAnsi="Times New Roman" w:cs="Times New Roman"/>
                      <w:sz w:val="18"/>
                      <w:szCs w:val="18"/>
                    </w:rPr>
                  </w:pPr>
                  <w:r>
                    <w:rPr>
                      <w:rFonts w:hint="default" w:ascii="Times New Roman" w:hAnsi="Times New Roman" w:cs="Times New Roman"/>
                      <w:sz w:val="18"/>
                      <w:szCs w:val="18"/>
                    </w:rPr>
                    <w:t>COD</w:t>
                  </w:r>
                </w:p>
              </w:tc>
              <w:tc>
                <w:tcPr>
                  <w:tcW w:w="963" w:type="dxa"/>
                  <w:vAlign w:val="center"/>
                </w:tcPr>
                <w:p w14:paraId="1AFF51B0">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350</w:t>
                  </w:r>
                </w:p>
              </w:tc>
              <w:tc>
                <w:tcPr>
                  <w:tcW w:w="996" w:type="dxa"/>
                  <w:vAlign w:val="center"/>
                </w:tcPr>
                <w:p w14:paraId="4EF24535">
                  <w:pPr>
                    <w:jc w:val="center"/>
                    <w:textAlignment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0.161</w:t>
                  </w:r>
                </w:p>
              </w:tc>
              <w:tc>
                <w:tcPr>
                  <w:tcW w:w="869" w:type="dxa"/>
                  <w:vAlign w:val="center"/>
                </w:tcPr>
                <w:p w14:paraId="022A4788">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300</w:t>
                  </w:r>
                </w:p>
              </w:tc>
              <w:tc>
                <w:tcPr>
                  <w:tcW w:w="917" w:type="dxa"/>
                  <w:vAlign w:val="center"/>
                </w:tcPr>
                <w:p w14:paraId="0014D793">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0.138</w:t>
                  </w:r>
                </w:p>
              </w:tc>
              <w:tc>
                <w:tcPr>
                  <w:tcW w:w="749" w:type="dxa"/>
                  <w:vMerge w:val="restart"/>
                  <w:vAlign w:val="center"/>
                </w:tcPr>
                <w:p w14:paraId="50DC287B">
                  <w:pPr>
                    <w:jc w:val="center"/>
                    <w:textAlignment w:val="center"/>
                    <w:rPr>
                      <w:rFonts w:hint="eastAsia" w:eastAsia="宋体"/>
                      <w:kern w:val="0"/>
                      <w:sz w:val="18"/>
                      <w:szCs w:val="18"/>
                      <w:lang w:val="en-US" w:eastAsia="zh-CN" w:bidi="ar"/>
                    </w:rPr>
                  </w:pPr>
                  <w:r>
                    <w:rPr>
                      <w:rFonts w:hint="eastAsia"/>
                      <w:kern w:val="0"/>
                      <w:sz w:val="18"/>
                      <w:szCs w:val="18"/>
                      <w:lang w:val="en-US" w:eastAsia="zh-CN" w:bidi="ar"/>
                    </w:rPr>
                    <w:t>/</w:t>
                  </w:r>
                </w:p>
              </w:tc>
              <w:tc>
                <w:tcPr>
                  <w:tcW w:w="762" w:type="dxa"/>
                  <w:vMerge w:val="restart"/>
                  <w:vAlign w:val="center"/>
                </w:tcPr>
                <w:p w14:paraId="32E07F11">
                  <w:pPr>
                    <w:jc w:val="center"/>
                    <w:textAlignment w:val="center"/>
                    <w:rPr>
                      <w:rFonts w:hint="eastAsia" w:eastAsia="宋体"/>
                      <w:kern w:val="0"/>
                      <w:sz w:val="18"/>
                      <w:szCs w:val="18"/>
                      <w:lang w:val="en-US" w:eastAsia="zh-CN" w:bidi="ar"/>
                    </w:rPr>
                  </w:pPr>
                  <w:r>
                    <w:rPr>
                      <w:rFonts w:hint="eastAsia"/>
                      <w:kern w:val="0"/>
                      <w:sz w:val="18"/>
                      <w:szCs w:val="18"/>
                      <w:lang w:val="en-US" w:eastAsia="zh-CN" w:bidi="ar"/>
                    </w:rPr>
                    <w:t>/</w:t>
                  </w:r>
                </w:p>
              </w:tc>
              <w:tc>
                <w:tcPr>
                  <w:tcW w:w="645" w:type="dxa"/>
                  <w:vMerge w:val="restart"/>
                  <w:vAlign w:val="center"/>
                </w:tcPr>
                <w:p w14:paraId="4DEDFEF8">
                  <w:pPr>
                    <w:jc w:val="center"/>
                    <w:textAlignment w:val="center"/>
                    <w:rPr>
                      <w:rFonts w:hint="eastAsia" w:eastAsia="宋体"/>
                      <w:kern w:val="0"/>
                      <w:sz w:val="18"/>
                      <w:szCs w:val="18"/>
                      <w:lang w:val="en-US" w:eastAsia="zh-CN" w:bidi="ar"/>
                    </w:rPr>
                  </w:pPr>
                  <w:r>
                    <w:rPr>
                      <w:rFonts w:hint="eastAsia"/>
                      <w:kern w:val="0"/>
                      <w:sz w:val="18"/>
                      <w:szCs w:val="18"/>
                      <w:lang w:val="en-US" w:eastAsia="zh-CN" w:bidi="ar"/>
                    </w:rPr>
                    <w:t>/</w:t>
                  </w:r>
                </w:p>
              </w:tc>
              <w:tc>
                <w:tcPr>
                  <w:tcW w:w="945" w:type="dxa"/>
                  <w:vMerge w:val="restart"/>
                  <w:vAlign w:val="center"/>
                </w:tcPr>
                <w:p w14:paraId="442D210D">
                  <w:pPr>
                    <w:jc w:val="center"/>
                    <w:textAlignment w:val="center"/>
                    <w:rPr>
                      <w:rFonts w:hint="eastAsia" w:ascii="Times New Roman" w:hAnsi="Times New Roman" w:eastAsia="宋体" w:cs="Times New Roman"/>
                      <w:kern w:val="0"/>
                      <w:sz w:val="18"/>
                      <w:szCs w:val="18"/>
                      <w:lang w:val="en-US" w:eastAsia="zh-CN" w:bidi="ar"/>
                    </w:rPr>
                  </w:pPr>
                  <w:r>
                    <w:rPr>
                      <w:rFonts w:hint="eastAsia" w:ascii="Times New Roman" w:hAnsi="Times New Roman" w:cs="Times New Roman"/>
                      <w:kern w:val="0"/>
                      <w:sz w:val="18"/>
                      <w:szCs w:val="18"/>
                      <w:lang w:val="en-US" w:eastAsia="zh-CN" w:bidi="ar"/>
                    </w:rPr>
                    <w:t>/</w:t>
                  </w:r>
                </w:p>
              </w:tc>
              <w:tc>
                <w:tcPr>
                  <w:tcW w:w="1043" w:type="dxa"/>
                  <w:vMerge w:val="restart"/>
                  <w:vAlign w:val="center"/>
                </w:tcPr>
                <w:p w14:paraId="1F7F88FE">
                  <w:pPr>
                    <w:jc w:val="center"/>
                    <w:textAlignment w:val="center"/>
                    <w:rPr>
                      <w:rFonts w:hint="eastAsia" w:eastAsia="宋体"/>
                      <w:kern w:val="0"/>
                      <w:sz w:val="18"/>
                      <w:szCs w:val="18"/>
                      <w:lang w:val="en-US" w:eastAsia="zh-CN" w:bidi="ar"/>
                    </w:rPr>
                  </w:pPr>
                  <w:r>
                    <w:rPr>
                      <w:rFonts w:hint="eastAsia"/>
                      <w:kern w:val="0"/>
                      <w:sz w:val="18"/>
                      <w:szCs w:val="18"/>
                      <w:lang w:val="en-US" w:eastAsia="zh-CN" w:bidi="ar"/>
                    </w:rPr>
                    <w:t>/</w:t>
                  </w:r>
                </w:p>
              </w:tc>
              <w:tc>
                <w:tcPr>
                  <w:tcW w:w="625" w:type="dxa"/>
                  <w:vMerge w:val="restart"/>
                  <w:vAlign w:val="center"/>
                </w:tcPr>
                <w:p w14:paraId="70DB098B">
                  <w:pPr>
                    <w:jc w:val="center"/>
                    <w:textAlignment w:val="center"/>
                    <w:rPr>
                      <w:rFonts w:hint="eastAsia" w:eastAsia="宋体"/>
                      <w:kern w:val="0"/>
                      <w:sz w:val="18"/>
                      <w:szCs w:val="18"/>
                      <w:lang w:val="en-US" w:eastAsia="zh-CN" w:bidi="ar"/>
                    </w:rPr>
                  </w:pPr>
                  <w:r>
                    <w:rPr>
                      <w:rFonts w:hint="eastAsia"/>
                      <w:kern w:val="0"/>
                      <w:sz w:val="18"/>
                      <w:szCs w:val="18"/>
                      <w:lang w:val="en-US" w:eastAsia="zh-CN" w:bidi="ar"/>
                    </w:rPr>
                    <w:t>/</w:t>
                  </w:r>
                </w:p>
              </w:tc>
              <w:tc>
                <w:tcPr>
                  <w:tcW w:w="949" w:type="dxa"/>
                  <w:vMerge w:val="restart"/>
                  <w:vAlign w:val="center"/>
                </w:tcPr>
                <w:p w14:paraId="0BA094B5">
                  <w:pPr>
                    <w:jc w:val="center"/>
                    <w:textAlignment w:val="center"/>
                    <w:rPr>
                      <w:rFonts w:hint="eastAsia" w:eastAsia="宋体"/>
                      <w:kern w:val="0"/>
                      <w:sz w:val="18"/>
                      <w:szCs w:val="18"/>
                      <w:lang w:val="en-US" w:eastAsia="zh-CN" w:bidi="ar"/>
                    </w:rPr>
                  </w:pPr>
                  <w:r>
                    <w:rPr>
                      <w:rFonts w:hint="eastAsia"/>
                      <w:kern w:val="0"/>
                      <w:sz w:val="18"/>
                      <w:szCs w:val="18"/>
                      <w:lang w:val="en-US" w:eastAsia="zh-CN" w:bidi="ar"/>
                    </w:rPr>
                    <w:t>/</w:t>
                  </w:r>
                </w:p>
              </w:tc>
              <w:tc>
                <w:tcPr>
                  <w:tcW w:w="540" w:type="dxa"/>
                  <w:vMerge w:val="restart"/>
                  <w:vAlign w:val="center"/>
                </w:tcPr>
                <w:p w14:paraId="46F58E02">
                  <w:pPr>
                    <w:jc w:val="center"/>
                    <w:textAlignment w:val="center"/>
                    <w:rPr>
                      <w:rFonts w:hint="eastAsia" w:eastAsia="宋体"/>
                      <w:kern w:val="0"/>
                      <w:sz w:val="18"/>
                      <w:szCs w:val="18"/>
                      <w:lang w:val="en-US" w:eastAsia="zh-CN" w:bidi="ar"/>
                    </w:rPr>
                  </w:pPr>
                  <w:r>
                    <w:rPr>
                      <w:rFonts w:hint="eastAsia"/>
                      <w:kern w:val="0"/>
                      <w:sz w:val="18"/>
                      <w:szCs w:val="18"/>
                      <w:lang w:val="en-US" w:eastAsia="zh-CN" w:bidi="ar"/>
                    </w:rPr>
                    <w:t>/</w:t>
                  </w:r>
                </w:p>
              </w:tc>
            </w:tr>
            <w:tr w14:paraId="6A5B9A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6" w:type="dxa"/>
                  <w:vMerge w:val="continue"/>
                  <w:vAlign w:val="center"/>
                </w:tcPr>
                <w:p w14:paraId="37275192">
                  <w:pPr>
                    <w:jc w:val="center"/>
                    <w:textAlignment w:val="center"/>
                    <w:rPr>
                      <w:rFonts w:hint="eastAsia"/>
                      <w:kern w:val="0"/>
                      <w:sz w:val="18"/>
                      <w:szCs w:val="18"/>
                      <w:lang w:eastAsia="zh-CN" w:bidi="ar"/>
                    </w:rPr>
                  </w:pPr>
                </w:p>
              </w:tc>
              <w:tc>
                <w:tcPr>
                  <w:tcW w:w="683" w:type="dxa"/>
                  <w:vMerge w:val="continue"/>
                  <w:vAlign w:val="center"/>
                </w:tcPr>
                <w:p w14:paraId="7E20E2AB">
                  <w:pPr>
                    <w:jc w:val="center"/>
                    <w:textAlignment w:val="center"/>
                    <w:rPr>
                      <w:kern w:val="0"/>
                      <w:sz w:val="18"/>
                      <w:szCs w:val="18"/>
                      <w:lang w:bidi="ar"/>
                    </w:rPr>
                  </w:pPr>
                </w:p>
              </w:tc>
              <w:tc>
                <w:tcPr>
                  <w:tcW w:w="773" w:type="dxa"/>
                  <w:vMerge w:val="continue"/>
                  <w:vAlign w:val="center"/>
                </w:tcPr>
                <w:p w14:paraId="7A97E6DD">
                  <w:pPr>
                    <w:jc w:val="center"/>
                    <w:textAlignment w:val="center"/>
                    <w:rPr>
                      <w:kern w:val="0"/>
                      <w:sz w:val="18"/>
                      <w:szCs w:val="18"/>
                      <w:lang w:bidi="ar"/>
                    </w:rPr>
                  </w:pPr>
                </w:p>
              </w:tc>
              <w:tc>
                <w:tcPr>
                  <w:tcW w:w="840" w:type="dxa"/>
                  <w:vAlign w:val="center"/>
                </w:tcPr>
                <w:p w14:paraId="2615BBCD">
                  <w:pPr>
                    <w:jc w:val="center"/>
                    <w:rPr>
                      <w:rFonts w:hint="default" w:ascii="Times New Roman" w:hAnsi="Times New Roman" w:cs="Times New Roman"/>
                      <w:sz w:val="18"/>
                      <w:szCs w:val="18"/>
                    </w:rPr>
                  </w:pPr>
                  <w:r>
                    <w:rPr>
                      <w:rFonts w:hint="default" w:ascii="Times New Roman" w:hAnsi="Times New Roman" w:cs="Times New Roman"/>
                      <w:sz w:val="18"/>
                      <w:szCs w:val="18"/>
                    </w:rPr>
                    <w:t>SS</w:t>
                  </w:r>
                </w:p>
              </w:tc>
              <w:tc>
                <w:tcPr>
                  <w:tcW w:w="963" w:type="dxa"/>
                  <w:vAlign w:val="center"/>
                </w:tcPr>
                <w:p w14:paraId="28FB3425">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200</w:t>
                  </w:r>
                </w:p>
              </w:tc>
              <w:tc>
                <w:tcPr>
                  <w:tcW w:w="996" w:type="dxa"/>
                  <w:vAlign w:val="center"/>
                </w:tcPr>
                <w:p w14:paraId="61523E67">
                  <w:pPr>
                    <w:jc w:val="center"/>
                    <w:textAlignment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0.092</w:t>
                  </w:r>
                </w:p>
              </w:tc>
              <w:tc>
                <w:tcPr>
                  <w:tcW w:w="869" w:type="dxa"/>
                  <w:vAlign w:val="center"/>
                </w:tcPr>
                <w:p w14:paraId="5F4B1913">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150</w:t>
                  </w:r>
                </w:p>
              </w:tc>
              <w:tc>
                <w:tcPr>
                  <w:tcW w:w="917" w:type="dxa"/>
                  <w:vAlign w:val="center"/>
                </w:tcPr>
                <w:p w14:paraId="0F189F0A">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0.069</w:t>
                  </w:r>
                </w:p>
              </w:tc>
              <w:tc>
                <w:tcPr>
                  <w:tcW w:w="749" w:type="dxa"/>
                  <w:vMerge w:val="continue"/>
                  <w:vAlign w:val="center"/>
                </w:tcPr>
                <w:p w14:paraId="40D2937A">
                  <w:pPr>
                    <w:jc w:val="center"/>
                    <w:textAlignment w:val="center"/>
                    <w:rPr>
                      <w:kern w:val="0"/>
                      <w:sz w:val="18"/>
                      <w:szCs w:val="18"/>
                      <w:lang w:bidi="ar"/>
                    </w:rPr>
                  </w:pPr>
                </w:p>
              </w:tc>
              <w:tc>
                <w:tcPr>
                  <w:tcW w:w="762" w:type="dxa"/>
                  <w:vMerge w:val="continue"/>
                  <w:vAlign w:val="center"/>
                </w:tcPr>
                <w:p w14:paraId="34E837B4">
                  <w:pPr>
                    <w:jc w:val="center"/>
                    <w:textAlignment w:val="center"/>
                    <w:rPr>
                      <w:kern w:val="0"/>
                      <w:sz w:val="18"/>
                      <w:szCs w:val="18"/>
                      <w:lang w:bidi="ar"/>
                    </w:rPr>
                  </w:pPr>
                </w:p>
              </w:tc>
              <w:tc>
                <w:tcPr>
                  <w:tcW w:w="645" w:type="dxa"/>
                  <w:vMerge w:val="continue"/>
                  <w:vAlign w:val="center"/>
                </w:tcPr>
                <w:p w14:paraId="5CAF543E">
                  <w:pPr>
                    <w:jc w:val="center"/>
                    <w:textAlignment w:val="center"/>
                    <w:rPr>
                      <w:kern w:val="0"/>
                      <w:sz w:val="18"/>
                      <w:szCs w:val="18"/>
                      <w:lang w:bidi="ar"/>
                    </w:rPr>
                  </w:pPr>
                </w:p>
              </w:tc>
              <w:tc>
                <w:tcPr>
                  <w:tcW w:w="945" w:type="dxa"/>
                  <w:vMerge w:val="continue"/>
                  <w:vAlign w:val="center"/>
                </w:tcPr>
                <w:p w14:paraId="2FB959C6">
                  <w:pPr>
                    <w:jc w:val="center"/>
                    <w:textAlignment w:val="center"/>
                    <w:rPr>
                      <w:rFonts w:hint="default" w:ascii="Times New Roman" w:hAnsi="Times New Roman" w:cs="Times New Roman"/>
                      <w:kern w:val="0"/>
                      <w:sz w:val="18"/>
                      <w:szCs w:val="18"/>
                      <w:lang w:bidi="ar"/>
                    </w:rPr>
                  </w:pPr>
                </w:p>
              </w:tc>
              <w:tc>
                <w:tcPr>
                  <w:tcW w:w="1043" w:type="dxa"/>
                  <w:vMerge w:val="continue"/>
                  <w:vAlign w:val="center"/>
                </w:tcPr>
                <w:p w14:paraId="74D675AB">
                  <w:pPr>
                    <w:jc w:val="center"/>
                    <w:textAlignment w:val="center"/>
                    <w:rPr>
                      <w:kern w:val="0"/>
                      <w:sz w:val="18"/>
                      <w:szCs w:val="18"/>
                      <w:lang w:bidi="ar"/>
                    </w:rPr>
                  </w:pPr>
                </w:p>
              </w:tc>
              <w:tc>
                <w:tcPr>
                  <w:tcW w:w="625" w:type="dxa"/>
                  <w:vMerge w:val="continue"/>
                  <w:vAlign w:val="center"/>
                </w:tcPr>
                <w:p w14:paraId="1AC52E17">
                  <w:pPr>
                    <w:jc w:val="center"/>
                    <w:textAlignment w:val="center"/>
                    <w:rPr>
                      <w:kern w:val="0"/>
                      <w:sz w:val="18"/>
                      <w:szCs w:val="18"/>
                      <w:lang w:bidi="ar"/>
                    </w:rPr>
                  </w:pPr>
                </w:p>
              </w:tc>
              <w:tc>
                <w:tcPr>
                  <w:tcW w:w="949" w:type="dxa"/>
                  <w:vMerge w:val="continue"/>
                  <w:vAlign w:val="center"/>
                </w:tcPr>
                <w:p w14:paraId="5DFE7180">
                  <w:pPr>
                    <w:jc w:val="center"/>
                    <w:textAlignment w:val="center"/>
                    <w:rPr>
                      <w:kern w:val="0"/>
                      <w:sz w:val="18"/>
                      <w:szCs w:val="18"/>
                      <w:lang w:bidi="ar"/>
                    </w:rPr>
                  </w:pPr>
                </w:p>
              </w:tc>
              <w:tc>
                <w:tcPr>
                  <w:tcW w:w="540" w:type="dxa"/>
                  <w:vMerge w:val="continue"/>
                  <w:vAlign w:val="center"/>
                </w:tcPr>
                <w:p w14:paraId="5DDD45D5">
                  <w:pPr>
                    <w:jc w:val="center"/>
                    <w:textAlignment w:val="center"/>
                    <w:rPr>
                      <w:kern w:val="0"/>
                      <w:sz w:val="18"/>
                      <w:szCs w:val="18"/>
                      <w:lang w:bidi="ar"/>
                    </w:rPr>
                  </w:pPr>
                </w:p>
              </w:tc>
            </w:tr>
            <w:tr w14:paraId="733099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6" w:type="dxa"/>
                  <w:vMerge w:val="continue"/>
                  <w:vAlign w:val="center"/>
                </w:tcPr>
                <w:p w14:paraId="78C6B063">
                  <w:pPr>
                    <w:jc w:val="center"/>
                    <w:textAlignment w:val="center"/>
                    <w:rPr>
                      <w:rFonts w:hint="eastAsia"/>
                      <w:kern w:val="0"/>
                      <w:sz w:val="18"/>
                      <w:szCs w:val="18"/>
                      <w:lang w:eastAsia="zh-CN" w:bidi="ar"/>
                    </w:rPr>
                  </w:pPr>
                </w:p>
              </w:tc>
              <w:tc>
                <w:tcPr>
                  <w:tcW w:w="683" w:type="dxa"/>
                  <w:vMerge w:val="continue"/>
                  <w:vAlign w:val="center"/>
                </w:tcPr>
                <w:p w14:paraId="34B0F016">
                  <w:pPr>
                    <w:jc w:val="center"/>
                    <w:textAlignment w:val="center"/>
                    <w:rPr>
                      <w:kern w:val="0"/>
                      <w:sz w:val="18"/>
                      <w:szCs w:val="18"/>
                      <w:lang w:bidi="ar"/>
                    </w:rPr>
                  </w:pPr>
                </w:p>
              </w:tc>
              <w:tc>
                <w:tcPr>
                  <w:tcW w:w="773" w:type="dxa"/>
                  <w:vMerge w:val="continue"/>
                  <w:vAlign w:val="center"/>
                </w:tcPr>
                <w:p w14:paraId="7417145A">
                  <w:pPr>
                    <w:jc w:val="center"/>
                    <w:textAlignment w:val="center"/>
                    <w:rPr>
                      <w:kern w:val="0"/>
                      <w:sz w:val="18"/>
                      <w:szCs w:val="18"/>
                      <w:lang w:bidi="ar"/>
                    </w:rPr>
                  </w:pPr>
                </w:p>
              </w:tc>
              <w:tc>
                <w:tcPr>
                  <w:tcW w:w="840" w:type="dxa"/>
                  <w:vAlign w:val="center"/>
                </w:tcPr>
                <w:p w14:paraId="1846CD84">
                  <w:pPr>
                    <w:jc w:val="center"/>
                    <w:rPr>
                      <w:rFonts w:hint="default" w:ascii="Times New Roman" w:hAnsi="Times New Roman" w:cs="Times New Roman"/>
                      <w:sz w:val="18"/>
                      <w:szCs w:val="18"/>
                    </w:rPr>
                  </w:pPr>
                  <w:r>
                    <w:rPr>
                      <w:rFonts w:hint="default" w:ascii="Times New Roman" w:hAnsi="Times New Roman" w:cs="Times New Roman"/>
                      <w:sz w:val="18"/>
                      <w:szCs w:val="18"/>
                    </w:rPr>
                    <w:t>NH</w:t>
                  </w:r>
                  <w:r>
                    <w:rPr>
                      <w:rFonts w:hint="default" w:ascii="Times New Roman" w:hAnsi="Times New Roman" w:cs="Times New Roman"/>
                      <w:sz w:val="18"/>
                      <w:szCs w:val="18"/>
                      <w:vertAlign w:val="subscript"/>
                    </w:rPr>
                    <w:t>3</w:t>
                  </w:r>
                  <w:r>
                    <w:rPr>
                      <w:rFonts w:hint="default" w:ascii="Times New Roman" w:hAnsi="Times New Roman" w:cs="Times New Roman"/>
                      <w:sz w:val="18"/>
                      <w:szCs w:val="18"/>
                    </w:rPr>
                    <w:t>-N</w:t>
                  </w:r>
                </w:p>
              </w:tc>
              <w:tc>
                <w:tcPr>
                  <w:tcW w:w="963" w:type="dxa"/>
                  <w:vAlign w:val="center"/>
                </w:tcPr>
                <w:p w14:paraId="4C0F6863">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27.17</w:t>
                  </w:r>
                </w:p>
              </w:tc>
              <w:tc>
                <w:tcPr>
                  <w:tcW w:w="996" w:type="dxa"/>
                  <w:vAlign w:val="center"/>
                </w:tcPr>
                <w:p w14:paraId="5045FA80">
                  <w:pPr>
                    <w:jc w:val="center"/>
                    <w:textAlignment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0.0125</w:t>
                  </w:r>
                </w:p>
              </w:tc>
              <w:tc>
                <w:tcPr>
                  <w:tcW w:w="869" w:type="dxa"/>
                  <w:vAlign w:val="center"/>
                </w:tcPr>
                <w:p w14:paraId="1C262EAB">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27.17</w:t>
                  </w:r>
                </w:p>
              </w:tc>
              <w:tc>
                <w:tcPr>
                  <w:tcW w:w="917" w:type="dxa"/>
                  <w:vAlign w:val="center"/>
                </w:tcPr>
                <w:p w14:paraId="3E5ECD59">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0.0125</w:t>
                  </w:r>
                </w:p>
              </w:tc>
              <w:tc>
                <w:tcPr>
                  <w:tcW w:w="749" w:type="dxa"/>
                  <w:vMerge w:val="continue"/>
                  <w:vAlign w:val="center"/>
                </w:tcPr>
                <w:p w14:paraId="48E37BA6">
                  <w:pPr>
                    <w:jc w:val="center"/>
                    <w:textAlignment w:val="center"/>
                    <w:rPr>
                      <w:kern w:val="0"/>
                      <w:sz w:val="18"/>
                      <w:szCs w:val="18"/>
                      <w:lang w:bidi="ar"/>
                    </w:rPr>
                  </w:pPr>
                </w:p>
              </w:tc>
              <w:tc>
                <w:tcPr>
                  <w:tcW w:w="762" w:type="dxa"/>
                  <w:vMerge w:val="continue"/>
                  <w:vAlign w:val="center"/>
                </w:tcPr>
                <w:p w14:paraId="3F02283B">
                  <w:pPr>
                    <w:jc w:val="center"/>
                    <w:textAlignment w:val="center"/>
                    <w:rPr>
                      <w:kern w:val="0"/>
                      <w:sz w:val="18"/>
                      <w:szCs w:val="18"/>
                      <w:lang w:bidi="ar"/>
                    </w:rPr>
                  </w:pPr>
                </w:p>
              </w:tc>
              <w:tc>
                <w:tcPr>
                  <w:tcW w:w="645" w:type="dxa"/>
                  <w:vMerge w:val="continue"/>
                  <w:vAlign w:val="center"/>
                </w:tcPr>
                <w:p w14:paraId="4635D2CD">
                  <w:pPr>
                    <w:jc w:val="center"/>
                    <w:textAlignment w:val="center"/>
                    <w:rPr>
                      <w:kern w:val="0"/>
                      <w:sz w:val="18"/>
                      <w:szCs w:val="18"/>
                      <w:lang w:bidi="ar"/>
                    </w:rPr>
                  </w:pPr>
                </w:p>
              </w:tc>
              <w:tc>
                <w:tcPr>
                  <w:tcW w:w="945" w:type="dxa"/>
                  <w:vMerge w:val="continue"/>
                  <w:vAlign w:val="center"/>
                </w:tcPr>
                <w:p w14:paraId="79244C41">
                  <w:pPr>
                    <w:jc w:val="center"/>
                    <w:textAlignment w:val="center"/>
                    <w:rPr>
                      <w:rFonts w:hint="default" w:ascii="Times New Roman" w:hAnsi="Times New Roman" w:cs="Times New Roman"/>
                      <w:kern w:val="0"/>
                      <w:sz w:val="18"/>
                      <w:szCs w:val="18"/>
                      <w:lang w:bidi="ar"/>
                    </w:rPr>
                  </w:pPr>
                </w:p>
              </w:tc>
              <w:tc>
                <w:tcPr>
                  <w:tcW w:w="1043" w:type="dxa"/>
                  <w:vMerge w:val="continue"/>
                  <w:vAlign w:val="center"/>
                </w:tcPr>
                <w:p w14:paraId="1D50F1C7">
                  <w:pPr>
                    <w:jc w:val="center"/>
                    <w:textAlignment w:val="center"/>
                    <w:rPr>
                      <w:kern w:val="0"/>
                      <w:sz w:val="18"/>
                      <w:szCs w:val="18"/>
                      <w:lang w:bidi="ar"/>
                    </w:rPr>
                  </w:pPr>
                </w:p>
              </w:tc>
              <w:tc>
                <w:tcPr>
                  <w:tcW w:w="625" w:type="dxa"/>
                  <w:vMerge w:val="continue"/>
                  <w:vAlign w:val="center"/>
                </w:tcPr>
                <w:p w14:paraId="21995398">
                  <w:pPr>
                    <w:jc w:val="center"/>
                    <w:textAlignment w:val="center"/>
                    <w:rPr>
                      <w:kern w:val="0"/>
                      <w:sz w:val="18"/>
                      <w:szCs w:val="18"/>
                      <w:lang w:bidi="ar"/>
                    </w:rPr>
                  </w:pPr>
                </w:p>
              </w:tc>
              <w:tc>
                <w:tcPr>
                  <w:tcW w:w="949" w:type="dxa"/>
                  <w:vMerge w:val="continue"/>
                  <w:vAlign w:val="center"/>
                </w:tcPr>
                <w:p w14:paraId="2C45F364">
                  <w:pPr>
                    <w:jc w:val="center"/>
                    <w:textAlignment w:val="center"/>
                    <w:rPr>
                      <w:kern w:val="0"/>
                      <w:sz w:val="18"/>
                      <w:szCs w:val="18"/>
                      <w:lang w:bidi="ar"/>
                    </w:rPr>
                  </w:pPr>
                </w:p>
              </w:tc>
              <w:tc>
                <w:tcPr>
                  <w:tcW w:w="540" w:type="dxa"/>
                  <w:vMerge w:val="continue"/>
                  <w:vAlign w:val="center"/>
                </w:tcPr>
                <w:p w14:paraId="65839B34">
                  <w:pPr>
                    <w:jc w:val="center"/>
                    <w:textAlignment w:val="center"/>
                    <w:rPr>
                      <w:kern w:val="0"/>
                      <w:sz w:val="18"/>
                      <w:szCs w:val="18"/>
                      <w:lang w:bidi="ar"/>
                    </w:rPr>
                  </w:pPr>
                </w:p>
              </w:tc>
            </w:tr>
            <w:tr w14:paraId="2B1471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6" w:type="dxa"/>
                  <w:vMerge w:val="continue"/>
                  <w:vAlign w:val="center"/>
                </w:tcPr>
                <w:p w14:paraId="0C321596">
                  <w:pPr>
                    <w:jc w:val="center"/>
                    <w:textAlignment w:val="center"/>
                    <w:rPr>
                      <w:rFonts w:hint="eastAsia"/>
                      <w:kern w:val="0"/>
                      <w:sz w:val="18"/>
                      <w:szCs w:val="18"/>
                      <w:lang w:eastAsia="zh-CN" w:bidi="ar"/>
                    </w:rPr>
                  </w:pPr>
                </w:p>
              </w:tc>
              <w:tc>
                <w:tcPr>
                  <w:tcW w:w="683" w:type="dxa"/>
                  <w:vMerge w:val="continue"/>
                  <w:vAlign w:val="center"/>
                </w:tcPr>
                <w:p w14:paraId="350282E9">
                  <w:pPr>
                    <w:jc w:val="center"/>
                    <w:textAlignment w:val="center"/>
                    <w:rPr>
                      <w:kern w:val="0"/>
                      <w:sz w:val="18"/>
                      <w:szCs w:val="18"/>
                      <w:lang w:bidi="ar"/>
                    </w:rPr>
                  </w:pPr>
                </w:p>
              </w:tc>
              <w:tc>
                <w:tcPr>
                  <w:tcW w:w="773" w:type="dxa"/>
                  <w:vMerge w:val="continue"/>
                  <w:vAlign w:val="center"/>
                </w:tcPr>
                <w:p w14:paraId="462F31F5">
                  <w:pPr>
                    <w:jc w:val="center"/>
                    <w:textAlignment w:val="center"/>
                    <w:rPr>
                      <w:kern w:val="0"/>
                      <w:sz w:val="18"/>
                      <w:szCs w:val="18"/>
                      <w:lang w:bidi="ar"/>
                    </w:rPr>
                  </w:pPr>
                </w:p>
              </w:tc>
              <w:tc>
                <w:tcPr>
                  <w:tcW w:w="840" w:type="dxa"/>
                  <w:vAlign w:val="center"/>
                </w:tcPr>
                <w:p w14:paraId="6192A4E3">
                  <w:pPr>
                    <w:jc w:val="center"/>
                    <w:rPr>
                      <w:rFonts w:hint="default" w:ascii="Times New Roman" w:hAnsi="Times New Roman" w:cs="Times New Roman"/>
                      <w:sz w:val="18"/>
                      <w:szCs w:val="18"/>
                    </w:rPr>
                  </w:pPr>
                  <w:r>
                    <w:rPr>
                      <w:rFonts w:hint="default" w:ascii="Times New Roman" w:hAnsi="Times New Roman" w:cs="Times New Roman"/>
                      <w:sz w:val="18"/>
                      <w:szCs w:val="18"/>
                    </w:rPr>
                    <w:t>TP</w:t>
                  </w:r>
                </w:p>
              </w:tc>
              <w:tc>
                <w:tcPr>
                  <w:tcW w:w="963" w:type="dxa"/>
                  <w:vAlign w:val="center"/>
                </w:tcPr>
                <w:p w14:paraId="56673DD1">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3.65</w:t>
                  </w:r>
                </w:p>
              </w:tc>
              <w:tc>
                <w:tcPr>
                  <w:tcW w:w="996" w:type="dxa"/>
                  <w:vAlign w:val="center"/>
                </w:tcPr>
                <w:p w14:paraId="0D7FFDE4">
                  <w:pPr>
                    <w:jc w:val="center"/>
                    <w:textAlignment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0.0017</w:t>
                  </w:r>
                </w:p>
              </w:tc>
              <w:tc>
                <w:tcPr>
                  <w:tcW w:w="869" w:type="dxa"/>
                  <w:vAlign w:val="center"/>
                </w:tcPr>
                <w:p w14:paraId="4EA72E1A">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3.65</w:t>
                  </w:r>
                </w:p>
              </w:tc>
              <w:tc>
                <w:tcPr>
                  <w:tcW w:w="917" w:type="dxa"/>
                  <w:vAlign w:val="center"/>
                </w:tcPr>
                <w:p w14:paraId="0D96976D">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0.0017</w:t>
                  </w:r>
                </w:p>
              </w:tc>
              <w:tc>
                <w:tcPr>
                  <w:tcW w:w="749" w:type="dxa"/>
                  <w:vMerge w:val="continue"/>
                  <w:vAlign w:val="center"/>
                </w:tcPr>
                <w:p w14:paraId="1DC98447">
                  <w:pPr>
                    <w:jc w:val="center"/>
                    <w:textAlignment w:val="center"/>
                    <w:rPr>
                      <w:kern w:val="0"/>
                      <w:sz w:val="18"/>
                      <w:szCs w:val="18"/>
                      <w:lang w:bidi="ar"/>
                    </w:rPr>
                  </w:pPr>
                </w:p>
              </w:tc>
              <w:tc>
                <w:tcPr>
                  <w:tcW w:w="762" w:type="dxa"/>
                  <w:vMerge w:val="continue"/>
                  <w:vAlign w:val="center"/>
                </w:tcPr>
                <w:p w14:paraId="0E1E44F9">
                  <w:pPr>
                    <w:jc w:val="center"/>
                    <w:textAlignment w:val="center"/>
                    <w:rPr>
                      <w:kern w:val="0"/>
                      <w:sz w:val="18"/>
                      <w:szCs w:val="18"/>
                      <w:lang w:bidi="ar"/>
                    </w:rPr>
                  </w:pPr>
                </w:p>
              </w:tc>
              <w:tc>
                <w:tcPr>
                  <w:tcW w:w="645" w:type="dxa"/>
                  <w:vMerge w:val="continue"/>
                  <w:vAlign w:val="center"/>
                </w:tcPr>
                <w:p w14:paraId="5430AB14">
                  <w:pPr>
                    <w:jc w:val="center"/>
                    <w:textAlignment w:val="center"/>
                    <w:rPr>
                      <w:kern w:val="0"/>
                      <w:sz w:val="18"/>
                      <w:szCs w:val="18"/>
                      <w:lang w:bidi="ar"/>
                    </w:rPr>
                  </w:pPr>
                </w:p>
              </w:tc>
              <w:tc>
                <w:tcPr>
                  <w:tcW w:w="945" w:type="dxa"/>
                  <w:vMerge w:val="continue"/>
                  <w:vAlign w:val="center"/>
                </w:tcPr>
                <w:p w14:paraId="2397FCEF">
                  <w:pPr>
                    <w:jc w:val="center"/>
                    <w:textAlignment w:val="center"/>
                    <w:rPr>
                      <w:rFonts w:hint="default" w:ascii="Times New Roman" w:hAnsi="Times New Roman" w:cs="Times New Roman"/>
                      <w:kern w:val="0"/>
                      <w:sz w:val="18"/>
                      <w:szCs w:val="18"/>
                      <w:lang w:bidi="ar"/>
                    </w:rPr>
                  </w:pPr>
                </w:p>
              </w:tc>
              <w:tc>
                <w:tcPr>
                  <w:tcW w:w="1043" w:type="dxa"/>
                  <w:vMerge w:val="continue"/>
                  <w:vAlign w:val="center"/>
                </w:tcPr>
                <w:p w14:paraId="31BA2822">
                  <w:pPr>
                    <w:jc w:val="center"/>
                    <w:textAlignment w:val="center"/>
                    <w:rPr>
                      <w:kern w:val="0"/>
                      <w:sz w:val="18"/>
                      <w:szCs w:val="18"/>
                      <w:lang w:bidi="ar"/>
                    </w:rPr>
                  </w:pPr>
                </w:p>
              </w:tc>
              <w:tc>
                <w:tcPr>
                  <w:tcW w:w="625" w:type="dxa"/>
                  <w:vMerge w:val="continue"/>
                  <w:vAlign w:val="center"/>
                </w:tcPr>
                <w:p w14:paraId="13ACF256">
                  <w:pPr>
                    <w:jc w:val="center"/>
                    <w:textAlignment w:val="center"/>
                    <w:rPr>
                      <w:kern w:val="0"/>
                      <w:sz w:val="18"/>
                      <w:szCs w:val="18"/>
                      <w:lang w:bidi="ar"/>
                    </w:rPr>
                  </w:pPr>
                </w:p>
              </w:tc>
              <w:tc>
                <w:tcPr>
                  <w:tcW w:w="949" w:type="dxa"/>
                  <w:vMerge w:val="continue"/>
                  <w:vAlign w:val="center"/>
                </w:tcPr>
                <w:p w14:paraId="429E56C4">
                  <w:pPr>
                    <w:jc w:val="center"/>
                    <w:textAlignment w:val="center"/>
                    <w:rPr>
                      <w:kern w:val="0"/>
                      <w:sz w:val="18"/>
                      <w:szCs w:val="18"/>
                      <w:lang w:bidi="ar"/>
                    </w:rPr>
                  </w:pPr>
                </w:p>
              </w:tc>
              <w:tc>
                <w:tcPr>
                  <w:tcW w:w="540" w:type="dxa"/>
                  <w:vMerge w:val="continue"/>
                  <w:vAlign w:val="center"/>
                </w:tcPr>
                <w:p w14:paraId="6D0B727F">
                  <w:pPr>
                    <w:jc w:val="center"/>
                    <w:textAlignment w:val="center"/>
                    <w:rPr>
                      <w:kern w:val="0"/>
                      <w:sz w:val="18"/>
                      <w:szCs w:val="18"/>
                      <w:lang w:bidi="ar"/>
                    </w:rPr>
                  </w:pPr>
                </w:p>
              </w:tc>
            </w:tr>
            <w:tr w14:paraId="7D2690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6" w:type="dxa"/>
                  <w:vMerge w:val="continue"/>
                  <w:vAlign w:val="center"/>
                </w:tcPr>
                <w:p w14:paraId="31BA5708">
                  <w:pPr>
                    <w:jc w:val="center"/>
                    <w:textAlignment w:val="center"/>
                    <w:rPr>
                      <w:rFonts w:hint="eastAsia"/>
                      <w:kern w:val="0"/>
                      <w:sz w:val="18"/>
                      <w:szCs w:val="18"/>
                      <w:lang w:eastAsia="zh-CN" w:bidi="ar"/>
                    </w:rPr>
                  </w:pPr>
                </w:p>
              </w:tc>
              <w:tc>
                <w:tcPr>
                  <w:tcW w:w="683" w:type="dxa"/>
                  <w:vMerge w:val="continue"/>
                  <w:vAlign w:val="center"/>
                </w:tcPr>
                <w:p w14:paraId="37061640">
                  <w:pPr>
                    <w:jc w:val="center"/>
                    <w:textAlignment w:val="center"/>
                    <w:rPr>
                      <w:kern w:val="0"/>
                      <w:sz w:val="18"/>
                      <w:szCs w:val="18"/>
                      <w:lang w:bidi="ar"/>
                    </w:rPr>
                  </w:pPr>
                </w:p>
              </w:tc>
              <w:tc>
                <w:tcPr>
                  <w:tcW w:w="773" w:type="dxa"/>
                  <w:vMerge w:val="continue"/>
                  <w:vAlign w:val="center"/>
                </w:tcPr>
                <w:p w14:paraId="4DB289FF">
                  <w:pPr>
                    <w:jc w:val="center"/>
                    <w:textAlignment w:val="center"/>
                    <w:rPr>
                      <w:kern w:val="0"/>
                      <w:sz w:val="18"/>
                      <w:szCs w:val="18"/>
                      <w:lang w:bidi="ar"/>
                    </w:rPr>
                  </w:pPr>
                </w:p>
              </w:tc>
              <w:tc>
                <w:tcPr>
                  <w:tcW w:w="840" w:type="dxa"/>
                  <w:vAlign w:val="center"/>
                </w:tcPr>
                <w:p w14:paraId="07ED88C5">
                  <w:pPr>
                    <w:jc w:val="center"/>
                    <w:rPr>
                      <w:rFonts w:hint="default" w:ascii="Times New Roman" w:hAnsi="Times New Roman" w:cs="Times New Roman"/>
                      <w:sz w:val="18"/>
                      <w:szCs w:val="18"/>
                    </w:rPr>
                  </w:pPr>
                  <w:r>
                    <w:rPr>
                      <w:rFonts w:hint="default" w:ascii="Times New Roman" w:hAnsi="Times New Roman" w:cs="Times New Roman"/>
                      <w:sz w:val="18"/>
                      <w:szCs w:val="18"/>
                    </w:rPr>
                    <w:t>TN</w:t>
                  </w:r>
                </w:p>
              </w:tc>
              <w:tc>
                <w:tcPr>
                  <w:tcW w:w="963" w:type="dxa"/>
                  <w:vAlign w:val="center"/>
                </w:tcPr>
                <w:p w14:paraId="5A021945">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32.17</w:t>
                  </w:r>
                </w:p>
              </w:tc>
              <w:tc>
                <w:tcPr>
                  <w:tcW w:w="996" w:type="dxa"/>
                  <w:vAlign w:val="center"/>
                </w:tcPr>
                <w:p w14:paraId="64AE9192">
                  <w:pPr>
                    <w:jc w:val="center"/>
                    <w:textAlignment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0.0148</w:t>
                  </w:r>
                </w:p>
              </w:tc>
              <w:tc>
                <w:tcPr>
                  <w:tcW w:w="869" w:type="dxa"/>
                  <w:vAlign w:val="center"/>
                </w:tcPr>
                <w:p w14:paraId="4A20B172">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32.17</w:t>
                  </w:r>
                </w:p>
              </w:tc>
              <w:tc>
                <w:tcPr>
                  <w:tcW w:w="917" w:type="dxa"/>
                  <w:vAlign w:val="center"/>
                </w:tcPr>
                <w:p w14:paraId="5DC8834C">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0.0148</w:t>
                  </w:r>
                </w:p>
              </w:tc>
              <w:tc>
                <w:tcPr>
                  <w:tcW w:w="749" w:type="dxa"/>
                  <w:vMerge w:val="continue"/>
                  <w:vAlign w:val="center"/>
                </w:tcPr>
                <w:p w14:paraId="6D9A9178">
                  <w:pPr>
                    <w:jc w:val="center"/>
                    <w:textAlignment w:val="center"/>
                    <w:rPr>
                      <w:kern w:val="0"/>
                      <w:sz w:val="18"/>
                      <w:szCs w:val="18"/>
                      <w:lang w:bidi="ar"/>
                    </w:rPr>
                  </w:pPr>
                </w:p>
              </w:tc>
              <w:tc>
                <w:tcPr>
                  <w:tcW w:w="762" w:type="dxa"/>
                  <w:vMerge w:val="continue"/>
                  <w:vAlign w:val="center"/>
                </w:tcPr>
                <w:p w14:paraId="373BA633">
                  <w:pPr>
                    <w:jc w:val="center"/>
                    <w:textAlignment w:val="center"/>
                    <w:rPr>
                      <w:kern w:val="0"/>
                      <w:sz w:val="18"/>
                      <w:szCs w:val="18"/>
                      <w:lang w:bidi="ar"/>
                    </w:rPr>
                  </w:pPr>
                </w:p>
              </w:tc>
              <w:tc>
                <w:tcPr>
                  <w:tcW w:w="645" w:type="dxa"/>
                  <w:vMerge w:val="continue"/>
                  <w:vAlign w:val="center"/>
                </w:tcPr>
                <w:p w14:paraId="38FA0A5E">
                  <w:pPr>
                    <w:jc w:val="center"/>
                    <w:textAlignment w:val="center"/>
                    <w:rPr>
                      <w:kern w:val="0"/>
                      <w:sz w:val="18"/>
                      <w:szCs w:val="18"/>
                      <w:lang w:bidi="ar"/>
                    </w:rPr>
                  </w:pPr>
                </w:p>
              </w:tc>
              <w:tc>
                <w:tcPr>
                  <w:tcW w:w="945" w:type="dxa"/>
                  <w:vMerge w:val="continue"/>
                  <w:vAlign w:val="center"/>
                </w:tcPr>
                <w:p w14:paraId="6E5872E9">
                  <w:pPr>
                    <w:jc w:val="center"/>
                    <w:textAlignment w:val="center"/>
                    <w:rPr>
                      <w:rFonts w:hint="default" w:ascii="Times New Roman" w:hAnsi="Times New Roman" w:cs="Times New Roman"/>
                      <w:kern w:val="0"/>
                      <w:sz w:val="18"/>
                      <w:szCs w:val="18"/>
                      <w:lang w:bidi="ar"/>
                    </w:rPr>
                  </w:pPr>
                </w:p>
              </w:tc>
              <w:tc>
                <w:tcPr>
                  <w:tcW w:w="1043" w:type="dxa"/>
                  <w:vMerge w:val="continue"/>
                  <w:vAlign w:val="center"/>
                </w:tcPr>
                <w:p w14:paraId="3ADF2825">
                  <w:pPr>
                    <w:jc w:val="center"/>
                    <w:textAlignment w:val="center"/>
                    <w:rPr>
                      <w:kern w:val="0"/>
                      <w:sz w:val="18"/>
                      <w:szCs w:val="18"/>
                      <w:lang w:bidi="ar"/>
                    </w:rPr>
                  </w:pPr>
                </w:p>
              </w:tc>
              <w:tc>
                <w:tcPr>
                  <w:tcW w:w="625" w:type="dxa"/>
                  <w:vMerge w:val="continue"/>
                  <w:vAlign w:val="center"/>
                </w:tcPr>
                <w:p w14:paraId="0DC7EC18">
                  <w:pPr>
                    <w:jc w:val="center"/>
                    <w:textAlignment w:val="center"/>
                    <w:rPr>
                      <w:kern w:val="0"/>
                      <w:sz w:val="18"/>
                      <w:szCs w:val="18"/>
                      <w:lang w:bidi="ar"/>
                    </w:rPr>
                  </w:pPr>
                </w:p>
              </w:tc>
              <w:tc>
                <w:tcPr>
                  <w:tcW w:w="949" w:type="dxa"/>
                  <w:vMerge w:val="continue"/>
                  <w:vAlign w:val="center"/>
                </w:tcPr>
                <w:p w14:paraId="7EC730B8">
                  <w:pPr>
                    <w:jc w:val="center"/>
                    <w:textAlignment w:val="center"/>
                    <w:rPr>
                      <w:kern w:val="0"/>
                      <w:sz w:val="18"/>
                      <w:szCs w:val="18"/>
                      <w:lang w:bidi="ar"/>
                    </w:rPr>
                  </w:pPr>
                </w:p>
              </w:tc>
              <w:tc>
                <w:tcPr>
                  <w:tcW w:w="540" w:type="dxa"/>
                  <w:vMerge w:val="continue"/>
                  <w:vAlign w:val="center"/>
                </w:tcPr>
                <w:p w14:paraId="35B21333">
                  <w:pPr>
                    <w:jc w:val="center"/>
                    <w:textAlignment w:val="center"/>
                    <w:rPr>
                      <w:kern w:val="0"/>
                      <w:sz w:val="18"/>
                      <w:szCs w:val="18"/>
                      <w:lang w:bidi="ar"/>
                    </w:rPr>
                  </w:pPr>
                </w:p>
              </w:tc>
            </w:tr>
            <w:tr w14:paraId="78FDBC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6" w:type="dxa"/>
                  <w:vMerge w:val="continue"/>
                  <w:vAlign w:val="center"/>
                </w:tcPr>
                <w:p w14:paraId="69C2EC68">
                  <w:pPr>
                    <w:jc w:val="center"/>
                    <w:textAlignment w:val="center"/>
                    <w:rPr>
                      <w:rFonts w:hint="eastAsia"/>
                      <w:kern w:val="0"/>
                      <w:sz w:val="18"/>
                      <w:szCs w:val="18"/>
                      <w:lang w:eastAsia="zh-CN" w:bidi="ar"/>
                    </w:rPr>
                  </w:pPr>
                </w:p>
              </w:tc>
              <w:tc>
                <w:tcPr>
                  <w:tcW w:w="683" w:type="dxa"/>
                  <w:vMerge w:val="continue"/>
                  <w:vAlign w:val="center"/>
                </w:tcPr>
                <w:p w14:paraId="7EF9A507">
                  <w:pPr>
                    <w:jc w:val="center"/>
                    <w:textAlignment w:val="center"/>
                    <w:rPr>
                      <w:kern w:val="0"/>
                      <w:sz w:val="18"/>
                      <w:szCs w:val="18"/>
                      <w:lang w:bidi="ar"/>
                    </w:rPr>
                  </w:pPr>
                </w:p>
              </w:tc>
              <w:tc>
                <w:tcPr>
                  <w:tcW w:w="773" w:type="dxa"/>
                  <w:vMerge w:val="continue"/>
                  <w:vAlign w:val="center"/>
                </w:tcPr>
                <w:p w14:paraId="70ECC3EC">
                  <w:pPr>
                    <w:jc w:val="center"/>
                    <w:textAlignment w:val="center"/>
                    <w:rPr>
                      <w:kern w:val="0"/>
                      <w:sz w:val="18"/>
                      <w:szCs w:val="18"/>
                      <w:lang w:bidi="ar"/>
                    </w:rPr>
                  </w:pPr>
                </w:p>
              </w:tc>
              <w:tc>
                <w:tcPr>
                  <w:tcW w:w="840" w:type="dxa"/>
                  <w:vAlign w:val="center"/>
                </w:tcPr>
                <w:p w14:paraId="4EB88F11">
                  <w:pPr>
                    <w:jc w:val="center"/>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eastAsia="zh-CN"/>
                    </w:rPr>
                    <w:t>动植物油</w:t>
                  </w:r>
                </w:p>
              </w:tc>
              <w:tc>
                <w:tcPr>
                  <w:tcW w:w="963" w:type="dxa"/>
                  <w:vAlign w:val="center"/>
                </w:tcPr>
                <w:p w14:paraId="1C2D6938">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34.78</w:t>
                  </w:r>
                </w:p>
              </w:tc>
              <w:tc>
                <w:tcPr>
                  <w:tcW w:w="996" w:type="dxa"/>
                  <w:vAlign w:val="center"/>
                </w:tcPr>
                <w:p w14:paraId="2B2697EE">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0.016</w:t>
                  </w:r>
                </w:p>
              </w:tc>
              <w:tc>
                <w:tcPr>
                  <w:tcW w:w="869" w:type="dxa"/>
                  <w:vAlign w:val="center"/>
                </w:tcPr>
                <w:p w14:paraId="346B23A1">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17.39</w:t>
                  </w:r>
                </w:p>
              </w:tc>
              <w:tc>
                <w:tcPr>
                  <w:tcW w:w="917" w:type="dxa"/>
                  <w:vAlign w:val="center"/>
                </w:tcPr>
                <w:p w14:paraId="7C14410A">
                  <w:pPr>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0.008</w:t>
                  </w:r>
                </w:p>
              </w:tc>
              <w:tc>
                <w:tcPr>
                  <w:tcW w:w="749" w:type="dxa"/>
                  <w:vMerge w:val="continue"/>
                  <w:vAlign w:val="center"/>
                </w:tcPr>
                <w:p w14:paraId="09492120">
                  <w:pPr>
                    <w:jc w:val="center"/>
                    <w:textAlignment w:val="center"/>
                    <w:rPr>
                      <w:kern w:val="0"/>
                      <w:sz w:val="18"/>
                      <w:szCs w:val="18"/>
                      <w:lang w:bidi="ar"/>
                    </w:rPr>
                  </w:pPr>
                </w:p>
              </w:tc>
              <w:tc>
                <w:tcPr>
                  <w:tcW w:w="762" w:type="dxa"/>
                  <w:vMerge w:val="continue"/>
                  <w:vAlign w:val="center"/>
                </w:tcPr>
                <w:p w14:paraId="265774D5">
                  <w:pPr>
                    <w:jc w:val="center"/>
                    <w:textAlignment w:val="center"/>
                    <w:rPr>
                      <w:kern w:val="0"/>
                      <w:sz w:val="18"/>
                      <w:szCs w:val="18"/>
                      <w:lang w:bidi="ar"/>
                    </w:rPr>
                  </w:pPr>
                </w:p>
              </w:tc>
              <w:tc>
                <w:tcPr>
                  <w:tcW w:w="645" w:type="dxa"/>
                  <w:vMerge w:val="continue"/>
                  <w:vAlign w:val="center"/>
                </w:tcPr>
                <w:p w14:paraId="0053D107">
                  <w:pPr>
                    <w:jc w:val="center"/>
                    <w:textAlignment w:val="center"/>
                    <w:rPr>
                      <w:kern w:val="0"/>
                      <w:sz w:val="18"/>
                      <w:szCs w:val="18"/>
                      <w:lang w:bidi="ar"/>
                    </w:rPr>
                  </w:pPr>
                </w:p>
              </w:tc>
              <w:tc>
                <w:tcPr>
                  <w:tcW w:w="945" w:type="dxa"/>
                  <w:vMerge w:val="continue"/>
                  <w:vAlign w:val="center"/>
                </w:tcPr>
                <w:p w14:paraId="095AB1D7">
                  <w:pPr>
                    <w:jc w:val="center"/>
                    <w:textAlignment w:val="center"/>
                    <w:rPr>
                      <w:rFonts w:hint="default" w:ascii="Times New Roman" w:hAnsi="Times New Roman" w:cs="Times New Roman"/>
                      <w:kern w:val="0"/>
                      <w:sz w:val="18"/>
                      <w:szCs w:val="18"/>
                      <w:lang w:bidi="ar"/>
                    </w:rPr>
                  </w:pPr>
                </w:p>
              </w:tc>
              <w:tc>
                <w:tcPr>
                  <w:tcW w:w="1043" w:type="dxa"/>
                  <w:vMerge w:val="continue"/>
                  <w:vAlign w:val="center"/>
                </w:tcPr>
                <w:p w14:paraId="23E0A72A">
                  <w:pPr>
                    <w:jc w:val="center"/>
                    <w:textAlignment w:val="center"/>
                    <w:rPr>
                      <w:kern w:val="0"/>
                      <w:sz w:val="18"/>
                      <w:szCs w:val="18"/>
                      <w:lang w:bidi="ar"/>
                    </w:rPr>
                  </w:pPr>
                </w:p>
              </w:tc>
              <w:tc>
                <w:tcPr>
                  <w:tcW w:w="625" w:type="dxa"/>
                  <w:vMerge w:val="continue"/>
                  <w:vAlign w:val="center"/>
                </w:tcPr>
                <w:p w14:paraId="34617F8A">
                  <w:pPr>
                    <w:jc w:val="center"/>
                    <w:textAlignment w:val="center"/>
                    <w:rPr>
                      <w:kern w:val="0"/>
                      <w:sz w:val="18"/>
                      <w:szCs w:val="18"/>
                      <w:lang w:bidi="ar"/>
                    </w:rPr>
                  </w:pPr>
                </w:p>
              </w:tc>
              <w:tc>
                <w:tcPr>
                  <w:tcW w:w="949" w:type="dxa"/>
                  <w:vMerge w:val="continue"/>
                  <w:vAlign w:val="center"/>
                </w:tcPr>
                <w:p w14:paraId="43B11EE6">
                  <w:pPr>
                    <w:jc w:val="center"/>
                    <w:textAlignment w:val="center"/>
                    <w:rPr>
                      <w:kern w:val="0"/>
                      <w:sz w:val="18"/>
                      <w:szCs w:val="18"/>
                      <w:lang w:bidi="ar"/>
                    </w:rPr>
                  </w:pPr>
                </w:p>
              </w:tc>
              <w:tc>
                <w:tcPr>
                  <w:tcW w:w="540" w:type="dxa"/>
                  <w:vMerge w:val="continue"/>
                  <w:vAlign w:val="center"/>
                </w:tcPr>
                <w:p w14:paraId="7739CEB9">
                  <w:pPr>
                    <w:jc w:val="center"/>
                    <w:textAlignment w:val="center"/>
                    <w:rPr>
                      <w:kern w:val="0"/>
                      <w:sz w:val="18"/>
                      <w:szCs w:val="18"/>
                      <w:lang w:bidi="ar"/>
                    </w:rPr>
                  </w:pPr>
                </w:p>
              </w:tc>
            </w:tr>
            <w:bookmarkEnd w:id="11"/>
          </w:tbl>
          <w:p w14:paraId="26C6FDB2">
            <w:pPr>
              <w:spacing w:line="500" w:lineRule="exact"/>
              <w:ind w:firstLine="420" w:firstLineChars="200"/>
            </w:pPr>
            <w:r>
              <w:t>（2）废水类别、污染物及污染治理设施信息</w:t>
            </w:r>
          </w:p>
          <w:p w14:paraId="3B843FDD">
            <w:pPr>
              <w:spacing w:line="500" w:lineRule="exact"/>
              <w:ind w:firstLine="420" w:firstLineChars="200"/>
              <w:rPr>
                <w:rFonts w:hint="default" w:eastAsia="宋体"/>
                <w:lang w:val="en-US" w:eastAsia="zh-CN"/>
              </w:rPr>
            </w:pPr>
            <w:r>
              <w:t>废水类别、污染物及污染治理设施信息表见4-</w:t>
            </w:r>
            <w:r>
              <w:rPr>
                <w:rFonts w:hint="eastAsia"/>
                <w:lang w:val="en-US" w:eastAsia="zh-CN"/>
              </w:rPr>
              <w:t>22</w:t>
            </w:r>
          </w:p>
          <w:p w14:paraId="6EAB3AC6">
            <w:pPr>
              <w:pStyle w:val="2"/>
              <w:spacing w:after="0"/>
              <w:jc w:val="center"/>
              <w:rPr>
                <w:rFonts w:ascii="Times New Roman" w:hAnsi="Times New Roman"/>
                <w:b/>
                <w:bCs/>
                <w:sz w:val="21"/>
                <w:szCs w:val="21"/>
              </w:rPr>
            </w:pPr>
            <w:r>
              <w:rPr>
                <w:rFonts w:ascii="Times New Roman" w:hAnsi="Times New Roman"/>
                <w:b/>
                <w:bCs/>
                <w:sz w:val="21"/>
                <w:szCs w:val="21"/>
              </w:rPr>
              <w:t>表4-</w:t>
            </w:r>
            <w:r>
              <w:rPr>
                <w:rFonts w:hint="eastAsia" w:ascii="Times New Roman" w:hAnsi="Times New Roman"/>
                <w:b/>
                <w:bCs/>
                <w:sz w:val="21"/>
                <w:szCs w:val="21"/>
                <w:lang w:val="en-US" w:eastAsia="zh-CN"/>
              </w:rPr>
              <w:t>22</w:t>
            </w:r>
            <w:r>
              <w:rPr>
                <w:rFonts w:ascii="Times New Roman" w:hAnsi="Times New Roman"/>
                <w:b/>
                <w:bCs/>
                <w:sz w:val="21"/>
                <w:szCs w:val="21"/>
              </w:rPr>
              <w:t>废水类别及污染治理设施信息表</w:t>
            </w:r>
          </w:p>
          <w:tbl>
            <w:tblPr>
              <w:tblStyle w:val="19"/>
              <w:tblW w:w="13044"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27"/>
              <w:gridCol w:w="678"/>
              <w:gridCol w:w="1181"/>
              <w:gridCol w:w="1125"/>
              <w:gridCol w:w="900"/>
              <w:gridCol w:w="1470"/>
              <w:gridCol w:w="1939"/>
              <w:gridCol w:w="1545"/>
              <w:gridCol w:w="825"/>
              <w:gridCol w:w="1350"/>
              <w:gridCol w:w="1704"/>
            </w:tblGrid>
            <w:tr w14:paraId="26026B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 w:type="dxa"/>
                  <w:vMerge w:val="restart"/>
                  <w:vAlign w:val="center"/>
                </w:tcPr>
                <w:p w14:paraId="326C87FC">
                  <w:pPr>
                    <w:jc w:val="center"/>
                    <w:rPr>
                      <w:sz w:val="18"/>
                      <w:szCs w:val="18"/>
                    </w:rPr>
                  </w:pPr>
                  <w:r>
                    <w:rPr>
                      <w:sz w:val="18"/>
                      <w:szCs w:val="18"/>
                    </w:rPr>
                    <w:t>序号</w:t>
                  </w:r>
                </w:p>
              </w:tc>
              <w:tc>
                <w:tcPr>
                  <w:tcW w:w="678" w:type="dxa"/>
                  <w:vMerge w:val="restart"/>
                  <w:vAlign w:val="center"/>
                </w:tcPr>
                <w:p w14:paraId="3B027E69">
                  <w:pPr>
                    <w:jc w:val="center"/>
                    <w:rPr>
                      <w:sz w:val="18"/>
                      <w:szCs w:val="18"/>
                    </w:rPr>
                  </w:pPr>
                  <w:r>
                    <w:rPr>
                      <w:sz w:val="18"/>
                      <w:szCs w:val="18"/>
                    </w:rPr>
                    <w:t>废水类别</w:t>
                  </w:r>
                </w:p>
              </w:tc>
              <w:tc>
                <w:tcPr>
                  <w:tcW w:w="1181" w:type="dxa"/>
                  <w:vMerge w:val="restart"/>
                  <w:vAlign w:val="center"/>
                </w:tcPr>
                <w:p w14:paraId="6D170DD9">
                  <w:pPr>
                    <w:jc w:val="center"/>
                    <w:rPr>
                      <w:sz w:val="18"/>
                      <w:szCs w:val="18"/>
                    </w:rPr>
                  </w:pPr>
                  <w:r>
                    <w:rPr>
                      <w:sz w:val="18"/>
                      <w:szCs w:val="18"/>
                    </w:rPr>
                    <w:t>污染物种类</w:t>
                  </w:r>
                </w:p>
              </w:tc>
              <w:tc>
                <w:tcPr>
                  <w:tcW w:w="1125" w:type="dxa"/>
                  <w:vMerge w:val="restart"/>
                  <w:vAlign w:val="center"/>
                </w:tcPr>
                <w:p w14:paraId="1B02B628">
                  <w:pPr>
                    <w:jc w:val="center"/>
                    <w:rPr>
                      <w:sz w:val="18"/>
                      <w:szCs w:val="18"/>
                    </w:rPr>
                  </w:pPr>
                  <w:r>
                    <w:rPr>
                      <w:sz w:val="18"/>
                      <w:szCs w:val="18"/>
                    </w:rPr>
                    <w:t>排放去向</w:t>
                  </w:r>
                </w:p>
              </w:tc>
              <w:tc>
                <w:tcPr>
                  <w:tcW w:w="900" w:type="dxa"/>
                  <w:vMerge w:val="restart"/>
                  <w:vAlign w:val="center"/>
                </w:tcPr>
                <w:p w14:paraId="122D0089">
                  <w:pPr>
                    <w:jc w:val="center"/>
                    <w:rPr>
                      <w:sz w:val="18"/>
                      <w:szCs w:val="18"/>
                    </w:rPr>
                  </w:pPr>
                  <w:r>
                    <w:rPr>
                      <w:sz w:val="18"/>
                      <w:szCs w:val="18"/>
                    </w:rPr>
                    <w:t>排放规律</w:t>
                  </w:r>
                </w:p>
              </w:tc>
              <w:tc>
                <w:tcPr>
                  <w:tcW w:w="4954" w:type="dxa"/>
                  <w:gridSpan w:val="3"/>
                  <w:vAlign w:val="center"/>
                </w:tcPr>
                <w:p w14:paraId="14071F5A">
                  <w:pPr>
                    <w:jc w:val="center"/>
                    <w:rPr>
                      <w:sz w:val="18"/>
                      <w:szCs w:val="18"/>
                    </w:rPr>
                  </w:pPr>
                  <w:r>
                    <w:rPr>
                      <w:sz w:val="18"/>
                      <w:szCs w:val="18"/>
                    </w:rPr>
                    <w:t>污染治理设施</w:t>
                  </w:r>
                </w:p>
              </w:tc>
              <w:tc>
                <w:tcPr>
                  <w:tcW w:w="825" w:type="dxa"/>
                  <w:vMerge w:val="restart"/>
                  <w:vAlign w:val="center"/>
                </w:tcPr>
                <w:p w14:paraId="109EF935">
                  <w:pPr>
                    <w:jc w:val="center"/>
                    <w:rPr>
                      <w:sz w:val="18"/>
                      <w:szCs w:val="18"/>
                    </w:rPr>
                  </w:pPr>
                  <w:r>
                    <w:rPr>
                      <w:sz w:val="18"/>
                      <w:szCs w:val="18"/>
                    </w:rPr>
                    <w:t>排放口编号</w:t>
                  </w:r>
                </w:p>
              </w:tc>
              <w:tc>
                <w:tcPr>
                  <w:tcW w:w="1350" w:type="dxa"/>
                  <w:vMerge w:val="restart"/>
                  <w:vAlign w:val="center"/>
                </w:tcPr>
                <w:p w14:paraId="1EAD9A2A">
                  <w:pPr>
                    <w:jc w:val="center"/>
                    <w:rPr>
                      <w:sz w:val="18"/>
                      <w:szCs w:val="18"/>
                    </w:rPr>
                  </w:pPr>
                  <w:r>
                    <w:rPr>
                      <w:sz w:val="18"/>
                      <w:szCs w:val="18"/>
                    </w:rPr>
                    <w:t>排放设置是否符合要求</w:t>
                  </w:r>
                </w:p>
              </w:tc>
              <w:tc>
                <w:tcPr>
                  <w:tcW w:w="1704" w:type="dxa"/>
                  <w:vMerge w:val="restart"/>
                  <w:vAlign w:val="center"/>
                </w:tcPr>
                <w:p w14:paraId="7225BC19">
                  <w:pPr>
                    <w:jc w:val="center"/>
                    <w:rPr>
                      <w:sz w:val="18"/>
                      <w:szCs w:val="18"/>
                    </w:rPr>
                  </w:pPr>
                  <w:r>
                    <w:rPr>
                      <w:sz w:val="18"/>
                      <w:szCs w:val="18"/>
                    </w:rPr>
                    <w:t>排放口类型</w:t>
                  </w:r>
                </w:p>
              </w:tc>
            </w:tr>
            <w:tr w14:paraId="63E1C6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27" w:type="dxa"/>
                  <w:vMerge w:val="continue"/>
                  <w:vAlign w:val="center"/>
                </w:tcPr>
                <w:p w14:paraId="4AF3AE58">
                  <w:pPr>
                    <w:jc w:val="center"/>
                    <w:rPr>
                      <w:sz w:val="18"/>
                      <w:szCs w:val="18"/>
                    </w:rPr>
                  </w:pPr>
                </w:p>
              </w:tc>
              <w:tc>
                <w:tcPr>
                  <w:tcW w:w="678" w:type="dxa"/>
                  <w:vMerge w:val="continue"/>
                  <w:vAlign w:val="center"/>
                </w:tcPr>
                <w:p w14:paraId="3DD9EDCD">
                  <w:pPr>
                    <w:jc w:val="center"/>
                    <w:rPr>
                      <w:sz w:val="18"/>
                      <w:szCs w:val="18"/>
                    </w:rPr>
                  </w:pPr>
                </w:p>
              </w:tc>
              <w:tc>
                <w:tcPr>
                  <w:tcW w:w="1181" w:type="dxa"/>
                  <w:vMerge w:val="continue"/>
                  <w:vAlign w:val="center"/>
                </w:tcPr>
                <w:p w14:paraId="5D5CF546">
                  <w:pPr>
                    <w:jc w:val="center"/>
                    <w:rPr>
                      <w:sz w:val="18"/>
                      <w:szCs w:val="18"/>
                    </w:rPr>
                  </w:pPr>
                </w:p>
              </w:tc>
              <w:tc>
                <w:tcPr>
                  <w:tcW w:w="1125" w:type="dxa"/>
                  <w:vMerge w:val="continue"/>
                  <w:vAlign w:val="center"/>
                </w:tcPr>
                <w:p w14:paraId="1C53714A">
                  <w:pPr>
                    <w:jc w:val="center"/>
                    <w:rPr>
                      <w:sz w:val="18"/>
                      <w:szCs w:val="18"/>
                    </w:rPr>
                  </w:pPr>
                </w:p>
              </w:tc>
              <w:tc>
                <w:tcPr>
                  <w:tcW w:w="900" w:type="dxa"/>
                  <w:vMerge w:val="continue"/>
                  <w:vAlign w:val="center"/>
                </w:tcPr>
                <w:p w14:paraId="28B6CD63">
                  <w:pPr>
                    <w:jc w:val="center"/>
                    <w:rPr>
                      <w:sz w:val="18"/>
                      <w:szCs w:val="18"/>
                    </w:rPr>
                  </w:pPr>
                </w:p>
              </w:tc>
              <w:tc>
                <w:tcPr>
                  <w:tcW w:w="1470" w:type="dxa"/>
                  <w:vAlign w:val="center"/>
                </w:tcPr>
                <w:p w14:paraId="4FBC0FBE">
                  <w:pPr>
                    <w:jc w:val="center"/>
                    <w:rPr>
                      <w:sz w:val="18"/>
                      <w:szCs w:val="18"/>
                    </w:rPr>
                  </w:pPr>
                  <w:r>
                    <w:rPr>
                      <w:sz w:val="18"/>
                      <w:szCs w:val="18"/>
                    </w:rPr>
                    <w:t>污染治理设施编号</w:t>
                  </w:r>
                </w:p>
              </w:tc>
              <w:tc>
                <w:tcPr>
                  <w:tcW w:w="1939" w:type="dxa"/>
                  <w:vAlign w:val="center"/>
                </w:tcPr>
                <w:p w14:paraId="05CCA77F">
                  <w:pPr>
                    <w:jc w:val="center"/>
                    <w:rPr>
                      <w:sz w:val="18"/>
                      <w:szCs w:val="18"/>
                    </w:rPr>
                  </w:pPr>
                  <w:r>
                    <w:rPr>
                      <w:sz w:val="18"/>
                      <w:szCs w:val="18"/>
                    </w:rPr>
                    <w:t>污染治理设施名称</w:t>
                  </w:r>
                </w:p>
              </w:tc>
              <w:tc>
                <w:tcPr>
                  <w:tcW w:w="1545" w:type="dxa"/>
                  <w:vAlign w:val="center"/>
                </w:tcPr>
                <w:p w14:paraId="58F8B40B">
                  <w:pPr>
                    <w:jc w:val="center"/>
                    <w:rPr>
                      <w:sz w:val="18"/>
                      <w:szCs w:val="18"/>
                    </w:rPr>
                  </w:pPr>
                  <w:r>
                    <w:rPr>
                      <w:sz w:val="18"/>
                      <w:szCs w:val="18"/>
                    </w:rPr>
                    <w:t>污染治理设施工艺</w:t>
                  </w:r>
                </w:p>
              </w:tc>
              <w:tc>
                <w:tcPr>
                  <w:tcW w:w="825" w:type="dxa"/>
                  <w:vMerge w:val="continue"/>
                  <w:vAlign w:val="center"/>
                </w:tcPr>
                <w:p w14:paraId="594DCABE">
                  <w:pPr>
                    <w:jc w:val="center"/>
                    <w:rPr>
                      <w:sz w:val="18"/>
                      <w:szCs w:val="18"/>
                    </w:rPr>
                  </w:pPr>
                </w:p>
              </w:tc>
              <w:tc>
                <w:tcPr>
                  <w:tcW w:w="1350" w:type="dxa"/>
                  <w:vMerge w:val="continue"/>
                  <w:vAlign w:val="center"/>
                </w:tcPr>
                <w:p w14:paraId="6AFABB52">
                  <w:pPr>
                    <w:jc w:val="center"/>
                    <w:rPr>
                      <w:sz w:val="18"/>
                      <w:szCs w:val="18"/>
                    </w:rPr>
                  </w:pPr>
                </w:p>
              </w:tc>
              <w:tc>
                <w:tcPr>
                  <w:tcW w:w="1704" w:type="dxa"/>
                  <w:vMerge w:val="continue"/>
                  <w:vAlign w:val="center"/>
                </w:tcPr>
                <w:p w14:paraId="0B37AF15">
                  <w:pPr>
                    <w:jc w:val="center"/>
                    <w:rPr>
                      <w:sz w:val="18"/>
                      <w:szCs w:val="18"/>
                    </w:rPr>
                  </w:pPr>
                </w:p>
              </w:tc>
            </w:tr>
            <w:tr w14:paraId="07E884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7" w:type="dxa"/>
                  <w:vAlign w:val="center"/>
                </w:tcPr>
                <w:p w14:paraId="4E7004E7">
                  <w:pPr>
                    <w:jc w:val="center"/>
                    <w:rPr>
                      <w:sz w:val="18"/>
                      <w:szCs w:val="18"/>
                    </w:rPr>
                  </w:pPr>
                  <w:r>
                    <w:rPr>
                      <w:sz w:val="18"/>
                      <w:szCs w:val="18"/>
                    </w:rPr>
                    <w:t>1</w:t>
                  </w:r>
                </w:p>
              </w:tc>
              <w:tc>
                <w:tcPr>
                  <w:tcW w:w="678" w:type="dxa"/>
                  <w:vAlign w:val="center"/>
                </w:tcPr>
                <w:p w14:paraId="5E96BF61">
                  <w:pPr>
                    <w:jc w:val="center"/>
                    <w:rPr>
                      <w:rFonts w:hint="eastAsia" w:eastAsia="宋体"/>
                      <w:sz w:val="18"/>
                      <w:szCs w:val="18"/>
                      <w:lang w:eastAsia="zh-CN"/>
                    </w:rPr>
                  </w:pPr>
                  <w:r>
                    <w:rPr>
                      <w:sz w:val="18"/>
                      <w:szCs w:val="18"/>
                    </w:rPr>
                    <w:t>生活污水</w:t>
                  </w:r>
                  <w:r>
                    <w:rPr>
                      <w:rFonts w:hint="eastAsia"/>
                      <w:sz w:val="18"/>
                      <w:szCs w:val="18"/>
                      <w:lang w:eastAsia="zh-CN"/>
                    </w:rPr>
                    <w:t>、食堂废水</w:t>
                  </w:r>
                </w:p>
              </w:tc>
              <w:tc>
                <w:tcPr>
                  <w:tcW w:w="1181" w:type="dxa"/>
                  <w:vAlign w:val="center"/>
                </w:tcPr>
                <w:p w14:paraId="1E512CC0">
                  <w:pPr>
                    <w:jc w:val="center"/>
                    <w:rPr>
                      <w:rFonts w:hint="eastAsia" w:eastAsia="宋体"/>
                      <w:sz w:val="18"/>
                      <w:szCs w:val="18"/>
                      <w:lang w:eastAsia="zh-CN"/>
                    </w:rPr>
                  </w:pPr>
                  <w:r>
                    <w:rPr>
                      <w:sz w:val="18"/>
                      <w:szCs w:val="18"/>
                    </w:rPr>
                    <w:t>COD、SS、TP、TN、NH</w:t>
                  </w:r>
                  <w:r>
                    <w:rPr>
                      <w:sz w:val="18"/>
                      <w:szCs w:val="18"/>
                      <w:vertAlign w:val="subscript"/>
                    </w:rPr>
                    <w:t>3</w:t>
                  </w:r>
                  <w:r>
                    <w:rPr>
                      <w:sz w:val="18"/>
                      <w:szCs w:val="18"/>
                    </w:rPr>
                    <w:t>-N</w:t>
                  </w:r>
                  <w:r>
                    <w:rPr>
                      <w:rFonts w:hint="eastAsia"/>
                      <w:sz w:val="18"/>
                      <w:szCs w:val="18"/>
                      <w:lang w:eastAsia="zh-CN"/>
                    </w:rPr>
                    <w:t>、动植物油</w:t>
                  </w:r>
                </w:p>
              </w:tc>
              <w:tc>
                <w:tcPr>
                  <w:tcW w:w="1125" w:type="dxa"/>
                  <w:vAlign w:val="center"/>
                </w:tcPr>
                <w:p w14:paraId="2E8E5447">
                  <w:pPr>
                    <w:jc w:val="center"/>
                    <w:rPr>
                      <w:rFonts w:hint="eastAsia" w:eastAsia="宋体"/>
                      <w:sz w:val="18"/>
                      <w:szCs w:val="18"/>
                      <w:lang w:eastAsia="zh-CN"/>
                    </w:rPr>
                  </w:pPr>
                  <w:r>
                    <w:rPr>
                      <w:rFonts w:hint="eastAsia"/>
                      <w:sz w:val="18"/>
                      <w:szCs w:val="18"/>
                      <w:lang w:eastAsia="zh-CN"/>
                    </w:rPr>
                    <w:t>联合水务（启东）有限公司</w:t>
                  </w:r>
                </w:p>
              </w:tc>
              <w:tc>
                <w:tcPr>
                  <w:tcW w:w="900" w:type="dxa"/>
                  <w:vAlign w:val="center"/>
                </w:tcPr>
                <w:p w14:paraId="233D1491">
                  <w:pPr>
                    <w:jc w:val="center"/>
                    <w:rPr>
                      <w:sz w:val="18"/>
                      <w:szCs w:val="18"/>
                    </w:rPr>
                  </w:pPr>
                  <w:r>
                    <w:rPr>
                      <w:sz w:val="18"/>
                      <w:szCs w:val="18"/>
                    </w:rPr>
                    <w:t>间歇排放</w:t>
                  </w:r>
                </w:p>
              </w:tc>
              <w:tc>
                <w:tcPr>
                  <w:tcW w:w="1470" w:type="dxa"/>
                  <w:vAlign w:val="center"/>
                </w:tcPr>
                <w:p w14:paraId="4B3DD614">
                  <w:pPr>
                    <w:jc w:val="center"/>
                    <w:rPr>
                      <w:sz w:val="18"/>
                      <w:szCs w:val="18"/>
                    </w:rPr>
                  </w:pPr>
                  <w:r>
                    <w:rPr>
                      <w:sz w:val="18"/>
                      <w:szCs w:val="18"/>
                    </w:rPr>
                    <w:t>TW00</w:t>
                  </w:r>
                  <w:r>
                    <w:rPr>
                      <w:rFonts w:hint="eastAsia"/>
                      <w:sz w:val="18"/>
                      <w:szCs w:val="18"/>
                    </w:rPr>
                    <w:t>1</w:t>
                  </w:r>
                </w:p>
              </w:tc>
              <w:tc>
                <w:tcPr>
                  <w:tcW w:w="1939" w:type="dxa"/>
                  <w:vAlign w:val="center"/>
                </w:tcPr>
                <w:p w14:paraId="0208CB10">
                  <w:pPr>
                    <w:jc w:val="center"/>
                    <w:rPr>
                      <w:rFonts w:hint="eastAsia" w:eastAsia="宋体"/>
                      <w:sz w:val="18"/>
                      <w:szCs w:val="18"/>
                      <w:lang w:eastAsia="zh-CN"/>
                    </w:rPr>
                  </w:pPr>
                  <w:r>
                    <w:rPr>
                      <w:sz w:val="18"/>
                      <w:szCs w:val="18"/>
                    </w:rPr>
                    <w:t>化粪池</w:t>
                  </w:r>
                  <w:r>
                    <w:rPr>
                      <w:rFonts w:hint="eastAsia"/>
                      <w:sz w:val="18"/>
                      <w:szCs w:val="18"/>
                      <w:lang w:eastAsia="zh-CN"/>
                    </w:rPr>
                    <w:t>、隔油池</w:t>
                  </w:r>
                </w:p>
              </w:tc>
              <w:tc>
                <w:tcPr>
                  <w:tcW w:w="1545" w:type="dxa"/>
                  <w:vAlign w:val="center"/>
                </w:tcPr>
                <w:p w14:paraId="35FE1237">
                  <w:pPr>
                    <w:jc w:val="center"/>
                    <w:rPr>
                      <w:rFonts w:hint="eastAsia" w:eastAsia="宋体"/>
                      <w:sz w:val="18"/>
                      <w:szCs w:val="18"/>
                      <w:lang w:eastAsia="zh-CN"/>
                    </w:rPr>
                  </w:pPr>
                  <w:r>
                    <w:rPr>
                      <w:sz w:val="18"/>
                      <w:szCs w:val="18"/>
                    </w:rPr>
                    <w:t>厌氧发酵</w:t>
                  </w:r>
                  <w:r>
                    <w:rPr>
                      <w:rFonts w:hint="eastAsia"/>
                      <w:sz w:val="18"/>
                      <w:szCs w:val="18"/>
                      <w:lang w:eastAsia="zh-CN"/>
                    </w:rPr>
                    <w:t>、隔油</w:t>
                  </w:r>
                </w:p>
              </w:tc>
              <w:tc>
                <w:tcPr>
                  <w:tcW w:w="825" w:type="dxa"/>
                  <w:vAlign w:val="center"/>
                </w:tcPr>
                <w:p w14:paraId="6CF6DC56">
                  <w:pPr>
                    <w:jc w:val="center"/>
                    <w:rPr>
                      <w:sz w:val="18"/>
                      <w:szCs w:val="18"/>
                    </w:rPr>
                  </w:pPr>
                  <w:r>
                    <w:rPr>
                      <w:sz w:val="18"/>
                      <w:szCs w:val="18"/>
                    </w:rPr>
                    <w:t>DW001</w:t>
                  </w:r>
                </w:p>
              </w:tc>
              <w:tc>
                <w:tcPr>
                  <w:tcW w:w="1350" w:type="dxa"/>
                  <w:vAlign w:val="center"/>
                </w:tcPr>
                <w:p w14:paraId="684CB4D7">
                  <w:pPr>
                    <w:jc w:val="center"/>
                    <w:rPr>
                      <w:sz w:val="18"/>
                      <w:szCs w:val="18"/>
                    </w:rPr>
                  </w:pPr>
                  <w:r>
                    <w:rPr>
                      <w:sz w:val="18"/>
                      <w:szCs w:val="18"/>
                    </w:rPr>
                    <w:sym w:font="Wingdings 2" w:char="0052"/>
                  </w:r>
                  <w:r>
                    <w:rPr>
                      <w:sz w:val="18"/>
                      <w:szCs w:val="18"/>
                    </w:rPr>
                    <w:t>是</w:t>
                  </w:r>
                </w:p>
                <w:p w14:paraId="78A5917C">
                  <w:pPr>
                    <w:jc w:val="center"/>
                    <w:rPr>
                      <w:sz w:val="18"/>
                      <w:szCs w:val="18"/>
                    </w:rPr>
                  </w:pPr>
                  <w:r>
                    <w:rPr>
                      <w:sz w:val="18"/>
                      <w:szCs w:val="18"/>
                    </w:rPr>
                    <w:sym w:font="Wingdings 2" w:char="00A3"/>
                  </w:r>
                  <w:r>
                    <w:rPr>
                      <w:sz w:val="18"/>
                      <w:szCs w:val="18"/>
                    </w:rPr>
                    <w:t>否</w:t>
                  </w:r>
                </w:p>
              </w:tc>
              <w:tc>
                <w:tcPr>
                  <w:tcW w:w="1704" w:type="dxa"/>
                  <w:vAlign w:val="center"/>
                </w:tcPr>
                <w:p w14:paraId="33C1B716">
                  <w:pPr>
                    <w:jc w:val="center"/>
                    <w:rPr>
                      <w:sz w:val="18"/>
                      <w:szCs w:val="18"/>
                    </w:rPr>
                  </w:pPr>
                  <w:r>
                    <w:rPr>
                      <w:sz w:val="18"/>
                      <w:szCs w:val="18"/>
                    </w:rPr>
                    <w:sym w:font="Wingdings 2" w:char="0052"/>
                  </w:r>
                  <w:r>
                    <w:rPr>
                      <w:sz w:val="18"/>
                      <w:szCs w:val="18"/>
                    </w:rPr>
                    <w:t>企业总排放</w:t>
                  </w:r>
                </w:p>
                <w:p w14:paraId="14EAD971">
                  <w:pPr>
                    <w:jc w:val="center"/>
                    <w:rPr>
                      <w:sz w:val="18"/>
                      <w:szCs w:val="18"/>
                    </w:rPr>
                  </w:pPr>
                  <w:r>
                    <w:rPr>
                      <w:sz w:val="18"/>
                      <w:szCs w:val="18"/>
                    </w:rPr>
                    <w:sym w:font="Wingdings 2" w:char="00A3"/>
                  </w:r>
                  <w:r>
                    <w:rPr>
                      <w:sz w:val="18"/>
                      <w:szCs w:val="18"/>
                    </w:rPr>
                    <w:t>雨水排放</w:t>
                  </w:r>
                </w:p>
                <w:p w14:paraId="192A743A">
                  <w:pPr>
                    <w:jc w:val="center"/>
                    <w:rPr>
                      <w:sz w:val="18"/>
                      <w:szCs w:val="18"/>
                    </w:rPr>
                  </w:pPr>
                  <w:r>
                    <w:rPr>
                      <w:sz w:val="18"/>
                      <w:szCs w:val="18"/>
                    </w:rPr>
                    <w:sym w:font="Wingdings 2" w:char="00A3"/>
                  </w:r>
                  <w:r>
                    <w:rPr>
                      <w:sz w:val="18"/>
                      <w:szCs w:val="18"/>
                    </w:rPr>
                    <w:t>清净下水排放</w:t>
                  </w:r>
                </w:p>
                <w:p w14:paraId="4B01EE1B">
                  <w:pPr>
                    <w:jc w:val="center"/>
                    <w:rPr>
                      <w:sz w:val="18"/>
                      <w:szCs w:val="18"/>
                    </w:rPr>
                  </w:pPr>
                  <w:r>
                    <w:rPr>
                      <w:sz w:val="18"/>
                      <w:szCs w:val="18"/>
                    </w:rPr>
                    <w:sym w:font="Wingdings 2" w:char="00A3"/>
                  </w:r>
                  <w:r>
                    <w:rPr>
                      <w:sz w:val="18"/>
                      <w:szCs w:val="18"/>
                    </w:rPr>
                    <w:t>温排水排放</w:t>
                  </w:r>
                </w:p>
                <w:p w14:paraId="09597104">
                  <w:pPr>
                    <w:jc w:val="center"/>
                    <w:rPr>
                      <w:sz w:val="18"/>
                      <w:szCs w:val="18"/>
                    </w:rPr>
                  </w:pPr>
                  <w:r>
                    <w:rPr>
                      <w:sz w:val="18"/>
                      <w:szCs w:val="18"/>
                    </w:rPr>
                    <w:sym w:font="Wingdings 2" w:char="00A3"/>
                  </w:r>
                  <w:r>
                    <w:rPr>
                      <w:sz w:val="18"/>
                      <w:szCs w:val="18"/>
                    </w:rPr>
                    <w:t>车间或车间处</w:t>
                  </w:r>
                </w:p>
                <w:p w14:paraId="2ACA46B0">
                  <w:pPr>
                    <w:jc w:val="center"/>
                    <w:rPr>
                      <w:sz w:val="18"/>
                      <w:szCs w:val="18"/>
                    </w:rPr>
                  </w:pPr>
                  <w:r>
                    <w:rPr>
                      <w:sz w:val="18"/>
                      <w:szCs w:val="18"/>
                    </w:rPr>
                    <w:t>理设施排放</w:t>
                  </w:r>
                </w:p>
              </w:tc>
            </w:tr>
          </w:tbl>
          <w:p w14:paraId="4059BB59">
            <w:pPr>
              <w:pStyle w:val="2"/>
              <w:spacing w:after="0" w:line="500" w:lineRule="exact"/>
              <w:ind w:firstLine="420" w:firstLineChars="200"/>
              <w:rPr>
                <w:rFonts w:hint="default" w:ascii="Times New Roman" w:hAnsi="Times New Roman" w:eastAsia="宋体"/>
                <w:sz w:val="21"/>
                <w:szCs w:val="21"/>
                <w:lang w:val="en-US" w:eastAsia="zh-CN"/>
              </w:rPr>
            </w:pPr>
            <w:r>
              <w:rPr>
                <w:rFonts w:ascii="Times New Roman" w:hAnsi="Times New Roman"/>
                <w:sz w:val="21"/>
                <w:szCs w:val="21"/>
              </w:rPr>
              <w:t>废水间接排放口基本情况见表4-</w:t>
            </w:r>
            <w:r>
              <w:rPr>
                <w:rFonts w:hint="eastAsia" w:ascii="Times New Roman" w:hAnsi="Times New Roman"/>
                <w:sz w:val="21"/>
                <w:szCs w:val="21"/>
                <w:lang w:val="en-US" w:eastAsia="zh-CN"/>
              </w:rPr>
              <w:t>21</w:t>
            </w:r>
          </w:p>
          <w:p w14:paraId="60057916">
            <w:pPr>
              <w:spacing w:line="360" w:lineRule="auto"/>
              <w:jc w:val="center"/>
              <w:rPr>
                <w:b/>
                <w:bCs/>
              </w:rPr>
            </w:pPr>
            <w:r>
              <w:rPr>
                <w:b/>
                <w:bCs/>
              </w:rPr>
              <w:t>表4-</w:t>
            </w:r>
            <w:r>
              <w:rPr>
                <w:rFonts w:hint="eastAsia"/>
                <w:b/>
                <w:bCs/>
                <w:lang w:val="en-US" w:eastAsia="zh-CN"/>
              </w:rPr>
              <w:t>23</w:t>
            </w:r>
            <w:r>
              <w:rPr>
                <w:rFonts w:hint="eastAsia"/>
                <w:b/>
                <w:bCs/>
              </w:rPr>
              <w:t xml:space="preserve"> </w:t>
            </w:r>
            <w:r>
              <w:rPr>
                <w:b/>
                <w:bCs/>
              </w:rPr>
              <w:t>废水排放口信息一览表</w:t>
            </w:r>
          </w:p>
          <w:tbl>
            <w:tblPr>
              <w:tblStyle w:val="19"/>
              <w:tblW w:w="12935"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065"/>
              <w:gridCol w:w="1275"/>
              <w:gridCol w:w="1200"/>
              <w:gridCol w:w="1061"/>
              <w:gridCol w:w="944"/>
              <w:gridCol w:w="1171"/>
              <w:gridCol w:w="1239"/>
              <w:gridCol w:w="1837"/>
              <w:gridCol w:w="978"/>
              <w:gridCol w:w="989"/>
            </w:tblGrid>
            <w:tr w14:paraId="27703F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176" w:type="dxa"/>
                  <w:vMerge w:val="restart"/>
                  <w:vAlign w:val="center"/>
                </w:tcPr>
                <w:p w14:paraId="3F5B1A43">
                  <w:pPr>
                    <w:jc w:val="center"/>
                    <w:rPr>
                      <w:sz w:val="18"/>
                      <w:szCs w:val="18"/>
                    </w:rPr>
                  </w:pPr>
                  <w:r>
                    <w:rPr>
                      <w:sz w:val="18"/>
                      <w:szCs w:val="18"/>
                    </w:rPr>
                    <w:t>排放口编号</w:t>
                  </w:r>
                </w:p>
              </w:tc>
              <w:tc>
                <w:tcPr>
                  <w:tcW w:w="1065" w:type="dxa"/>
                  <w:vMerge w:val="restart"/>
                  <w:vAlign w:val="center"/>
                </w:tcPr>
                <w:p w14:paraId="5C6DE00C">
                  <w:pPr>
                    <w:jc w:val="center"/>
                    <w:rPr>
                      <w:sz w:val="18"/>
                      <w:szCs w:val="18"/>
                    </w:rPr>
                  </w:pPr>
                  <w:r>
                    <w:rPr>
                      <w:sz w:val="18"/>
                      <w:szCs w:val="18"/>
                    </w:rPr>
                    <w:t>排放口名称</w:t>
                  </w:r>
                </w:p>
              </w:tc>
              <w:tc>
                <w:tcPr>
                  <w:tcW w:w="1275" w:type="dxa"/>
                  <w:vMerge w:val="restart"/>
                  <w:vAlign w:val="center"/>
                </w:tcPr>
                <w:p w14:paraId="18633AF9">
                  <w:pPr>
                    <w:jc w:val="center"/>
                    <w:rPr>
                      <w:sz w:val="18"/>
                      <w:szCs w:val="18"/>
                    </w:rPr>
                  </w:pPr>
                  <w:r>
                    <w:rPr>
                      <w:sz w:val="18"/>
                      <w:szCs w:val="18"/>
                    </w:rPr>
                    <w:t>污染物种类</w:t>
                  </w:r>
                </w:p>
              </w:tc>
              <w:tc>
                <w:tcPr>
                  <w:tcW w:w="2261" w:type="dxa"/>
                  <w:gridSpan w:val="2"/>
                  <w:vAlign w:val="center"/>
                </w:tcPr>
                <w:p w14:paraId="55FDEF18">
                  <w:pPr>
                    <w:jc w:val="center"/>
                    <w:rPr>
                      <w:sz w:val="18"/>
                      <w:szCs w:val="18"/>
                    </w:rPr>
                  </w:pPr>
                  <w:r>
                    <w:rPr>
                      <w:sz w:val="18"/>
                      <w:szCs w:val="18"/>
                    </w:rPr>
                    <w:t>地理坐标</w:t>
                  </w:r>
                </w:p>
              </w:tc>
              <w:tc>
                <w:tcPr>
                  <w:tcW w:w="944" w:type="dxa"/>
                  <w:vMerge w:val="restart"/>
                  <w:vAlign w:val="center"/>
                </w:tcPr>
                <w:p w14:paraId="46CCB927">
                  <w:pPr>
                    <w:jc w:val="center"/>
                    <w:rPr>
                      <w:sz w:val="18"/>
                      <w:szCs w:val="18"/>
                    </w:rPr>
                  </w:pPr>
                  <w:r>
                    <w:rPr>
                      <w:sz w:val="18"/>
                      <w:szCs w:val="18"/>
                    </w:rPr>
                    <w:t>排放口类型</w:t>
                  </w:r>
                </w:p>
              </w:tc>
              <w:tc>
                <w:tcPr>
                  <w:tcW w:w="1171" w:type="dxa"/>
                  <w:vMerge w:val="restart"/>
                  <w:vAlign w:val="center"/>
                </w:tcPr>
                <w:p w14:paraId="6F5B79F7">
                  <w:pPr>
                    <w:jc w:val="center"/>
                    <w:rPr>
                      <w:sz w:val="18"/>
                      <w:szCs w:val="18"/>
                    </w:rPr>
                  </w:pPr>
                  <w:r>
                    <w:rPr>
                      <w:sz w:val="18"/>
                      <w:szCs w:val="18"/>
                    </w:rPr>
                    <w:t>排放规律</w:t>
                  </w:r>
                </w:p>
              </w:tc>
              <w:tc>
                <w:tcPr>
                  <w:tcW w:w="3076" w:type="dxa"/>
                  <w:gridSpan w:val="2"/>
                  <w:vAlign w:val="center"/>
                </w:tcPr>
                <w:p w14:paraId="6C291D8B">
                  <w:pPr>
                    <w:jc w:val="center"/>
                    <w:rPr>
                      <w:sz w:val="18"/>
                      <w:szCs w:val="18"/>
                    </w:rPr>
                  </w:pPr>
                  <w:r>
                    <w:rPr>
                      <w:sz w:val="18"/>
                      <w:szCs w:val="18"/>
                    </w:rPr>
                    <w:t>排放标准</w:t>
                  </w:r>
                </w:p>
              </w:tc>
              <w:tc>
                <w:tcPr>
                  <w:tcW w:w="978" w:type="dxa"/>
                  <w:vMerge w:val="restart"/>
                  <w:vAlign w:val="center"/>
                </w:tcPr>
                <w:p w14:paraId="1ACFB471">
                  <w:pPr>
                    <w:jc w:val="center"/>
                    <w:rPr>
                      <w:sz w:val="18"/>
                      <w:szCs w:val="18"/>
                    </w:rPr>
                  </w:pPr>
                  <w:r>
                    <w:rPr>
                      <w:sz w:val="18"/>
                      <w:szCs w:val="18"/>
                    </w:rPr>
                    <w:t>排放方式</w:t>
                  </w:r>
                </w:p>
              </w:tc>
              <w:tc>
                <w:tcPr>
                  <w:tcW w:w="989" w:type="dxa"/>
                  <w:vMerge w:val="restart"/>
                  <w:vAlign w:val="center"/>
                </w:tcPr>
                <w:p w14:paraId="47D16670">
                  <w:pPr>
                    <w:jc w:val="center"/>
                    <w:rPr>
                      <w:sz w:val="18"/>
                      <w:szCs w:val="18"/>
                    </w:rPr>
                  </w:pPr>
                  <w:r>
                    <w:rPr>
                      <w:sz w:val="18"/>
                      <w:szCs w:val="18"/>
                    </w:rPr>
                    <w:t>排放去向</w:t>
                  </w:r>
                </w:p>
              </w:tc>
            </w:tr>
            <w:tr w14:paraId="724FF9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6" w:type="dxa"/>
                  <w:vMerge w:val="continue"/>
                  <w:vAlign w:val="center"/>
                </w:tcPr>
                <w:p w14:paraId="7348A2B1">
                  <w:pPr>
                    <w:jc w:val="center"/>
                    <w:rPr>
                      <w:sz w:val="18"/>
                      <w:szCs w:val="18"/>
                    </w:rPr>
                  </w:pPr>
                </w:p>
              </w:tc>
              <w:tc>
                <w:tcPr>
                  <w:tcW w:w="1065" w:type="dxa"/>
                  <w:vMerge w:val="continue"/>
                  <w:vAlign w:val="center"/>
                </w:tcPr>
                <w:p w14:paraId="38D88D35">
                  <w:pPr>
                    <w:jc w:val="center"/>
                    <w:rPr>
                      <w:sz w:val="18"/>
                      <w:szCs w:val="18"/>
                    </w:rPr>
                  </w:pPr>
                </w:p>
              </w:tc>
              <w:tc>
                <w:tcPr>
                  <w:tcW w:w="1275" w:type="dxa"/>
                  <w:vMerge w:val="continue"/>
                  <w:vAlign w:val="center"/>
                </w:tcPr>
                <w:p w14:paraId="272FD10D">
                  <w:pPr>
                    <w:jc w:val="center"/>
                    <w:rPr>
                      <w:sz w:val="18"/>
                      <w:szCs w:val="18"/>
                    </w:rPr>
                  </w:pPr>
                </w:p>
              </w:tc>
              <w:tc>
                <w:tcPr>
                  <w:tcW w:w="1200" w:type="dxa"/>
                  <w:vAlign w:val="center"/>
                </w:tcPr>
                <w:p w14:paraId="5B14BBBB">
                  <w:pPr>
                    <w:jc w:val="center"/>
                    <w:rPr>
                      <w:sz w:val="18"/>
                      <w:szCs w:val="18"/>
                    </w:rPr>
                  </w:pPr>
                  <w:r>
                    <w:rPr>
                      <w:sz w:val="18"/>
                      <w:szCs w:val="18"/>
                    </w:rPr>
                    <w:t>经度</w:t>
                  </w:r>
                </w:p>
              </w:tc>
              <w:tc>
                <w:tcPr>
                  <w:tcW w:w="1061" w:type="dxa"/>
                  <w:vAlign w:val="center"/>
                </w:tcPr>
                <w:p w14:paraId="6764B819">
                  <w:pPr>
                    <w:jc w:val="center"/>
                    <w:rPr>
                      <w:sz w:val="18"/>
                      <w:szCs w:val="18"/>
                    </w:rPr>
                  </w:pPr>
                  <w:r>
                    <w:rPr>
                      <w:sz w:val="18"/>
                      <w:szCs w:val="18"/>
                    </w:rPr>
                    <w:t>纬度</w:t>
                  </w:r>
                </w:p>
              </w:tc>
              <w:tc>
                <w:tcPr>
                  <w:tcW w:w="944" w:type="dxa"/>
                  <w:vMerge w:val="continue"/>
                  <w:vAlign w:val="center"/>
                </w:tcPr>
                <w:p w14:paraId="4FAECBA6">
                  <w:pPr>
                    <w:jc w:val="center"/>
                    <w:rPr>
                      <w:sz w:val="18"/>
                      <w:szCs w:val="18"/>
                    </w:rPr>
                  </w:pPr>
                </w:p>
              </w:tc>
              <w:tc>
                <w:tcPr>
                  <w:tcW w:w="1171" w:type="dxa"/>
                  <w:vMerge w:val="continue"/>
                  <w:vAlign w:val="center"/>
                </w:tcPr>
                <w:p w14:paraId="4294D045">
                  <w:pPr>
                    <w:jc w:val="center"/>
                    <w:rPr>
                      <w:sz w:val="18"/>
                      <w:szCs w:val="18"/>
                    </w:rPr>
                  </w:pPr>
                </w:p>
              </w:tc>
              <w:tc>
                <w:tcPr>
                  <w:tcW w:w="1239" w:type="dxa"/>
                  <w:vAlign w:val="center"/>
                </w:tcPr>
                <w:p w14:paraId="2EB516CA">
                  <w:pPr>
                    <w:jc w:val="center"/>
                    <w:rPr>
                      <w:sz w:val="18"/>
                      <w:szCs w:val="18"/>
                    </w:rPr>
                  </w:pPr>
                  <w:r>
                    <w:rPr>
                      <w:sz w:val="18"/>
                      <w:szCs w:val="18"/>
                    </w:rPr>
                    <w:t>浓度mg/L</w:t>
                  </w:r>
                </w:p>
              </w:tc>
              <w:tc>
                <w:tcPr>
                  <w:tcW w:w="1837" w:type="dxa"/>
                  <w:vAlign w:val="center"/>
                </w:tcPr>
                <w:p w14:paraId="489019F0">
                  <w:pPr>
                    <w:jc w:val="center"/>
                    <w:rPr>
                      <w:sz w:val="18"/>
                      <w:szCs w:val="18"/>
                    </w:rPr>
                  </w:pPr>
                  <w:r>
                    <w:rPr>
                      <w:sz w:val="18"/>
                      <w:szCs w:val="18"/>
                    </w:rPr>
                    <w:t>名称</w:t>
                  </w:r>
                </w:p>
              </w:tc>
              <w:tc>
                <w:tcPr>
                  <w:tcW w:w="978" w:type="dxa"/>
                  <w:vMerge w:val="continue"/>
                  <w:vAlign w:val="center"/>
                </w:tcPr>
                <w:p w14:paraId="12397603">
                  <w:pPr>
                    <w:jc w:val="center"/>
                    <w:rPr>
                      <w:sz w:val="18"/>
                      <w:szCs w:val="18"/>
                    </w:rPr>
                  </w:pPr>
                </w:p>
              </w:tc>
              <w:tc>
                <w:tcPr>
                  <w:tcW w:w="989" w:type="dxa"/>
                  <w:vMerge w:val="continue"/>
                  <w:vAlign w:val="center"/>
                </w:tcPr>
                <w:p w14:paraId="4F547644">
                  <w:pPr>
                    <w:jc w:val="center"/>
                    <w:rPr>
                      <w:sz w:val="18"/>
                      <w:szCs w:val="18"/>
                    </w:rPr>
                  </w:pPr>
                </w:p>
              </w:tc>
            </w:tr>
            <w:tr w14:paraId="39AE6F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76" w:type="dxa"/>
                  <w:vMerge w:val="restart"/>
                  <w:vAlign w:val="center"/>
                </w:tcPr>
                <w:p w14:paraId="1E8C7CEF">
                  <w:pPr>
                    <w:jc w:val="center"/>
                    <w:rPr>
                      <w:sz w:val="18"/>
                      <w:szCs w:val="18"/>
                    </w:rPr>
                  </w:pPr>
                  <w:r>
                    <w:rPr>
                      <w:sz w:val="18"/>
                      <w:szCs w:val="18"/>
                    </w:rPr>
                    <w:t>DW001</w:t>
                  </w:r>
                </w:p>
              </w:tc>
              <w:tc>
                <w:tcPr>
                  <w:tcW w:w="1065" w:type="dxa"/>
                  <w:vMerge w:val="restart"/>
                  <w:vAlign w:val="center"/>
                </w:tcPr>
                <w:p w14:paraId="53C00EDD">
                  <w:pPr>
                    <w:jc w:val="center"/>
                    <w:rPr>
                      <w:sz w:val="18"/>
                      <w:szCs w:val="18"/>
                    </w:rPr>
                  </w:pPr>
                  <w:r>
                    <w:rPr>
                      <w:sz w:val="18"/>
                      <w:szCs w:val="18"/>
                    </w:rPr>
                    <w:t>污水排放口</w:t>
                  </w:r>
                </w:p>
              </w:tc>
              <w:tc>
                <w:tcPr>
                  <w:tcW w:w="1275" w:type="dxa"/>
                  <w:vAlign w:val="center"/>
                </w:tcPr>
                <w:p w14:paraId="4411B51F">
                  <w:pPr>
                    <w:jc w:val="center"/>
                    <w:rPr>
                      <w:sz w:val="18"/>
                      <w:szCs w:val="18"/>
                    </w:rPr>
                  </w:pPr>
                  <w:r>
                    <w:rPr>
                      <w:sz w:val="18"/>
                      <w:szCs w:val="18"/>
                    </w:rPr>
                    <w:t>COD</w:t>
                  </w:r>
                </w:p>
              </w:tc>
              <w:tc>
                <w:tcPr>
                  <w:tcW w:w="1200" w:type="dxa"/>
                  <w:vMerge w:val="restart"/>
                  <w:vAlign w:val="center"/>
                </w:tcPr>
                <w:p w14:paraId="0C56BC2A">
                  <w:pPr>
                    <w:jc w:val="center"/>
                    <w:rPr>
                      <w:sz w:val="18"/>
                      <w:szCs w:val="18"/>
                    </w:rPr>
                  </w:pPr>
                  <w:r>
                    <w:rPr>
                      <w:rFonts w:hint="eastAsia"/>
                      <w:sz w:val="18"/>
                      <w:szCs w:val="18"/>
                    </w:rPr>
                    <w:t>121.480034</w:t>
                  </w:r>
                </w:p>
              </w:tc>
              <w:tc>
                <w:tcPr>
                  <w:tcW w:w="1061" w:type="dxa"/>
                  <w:vMerge w:val="restart"/>
                  <w:vAlign w:val="center"/>
                </w:tcPr>
                <w:p w14:paraId="738D5E95">
                  <w:pPr>
                    <w:jc w:val="center"/>
                    <w:rPr>
                      <w:sz w:val="18"/>
                      <w:szCs w:val="18"/>
                    </w:rPr>
                  </w:pPr>
                  <w:r>
                    <w:rPr>
                      <w:rFonts w:hint="eastAsia"/>
                      <w:sz w:val="18"/>
                      <w:szCs w:val="18"/>
                    </w:rPr>
                    <w:t>31.826177</w:t>
                  </w:r>
                </w:p>
              </w:tc>
              <w:tc>
                <w:tcPr>
                  <w:tcW w:w="944" w:type="dxa"/>
                  <w:vMerge w:val="restart"/>
                  <w:vAlign w:val="center"/>
                </w:tcPr>
                <w:p w14:paraId="4A9C3DC2">
                  <w:pPr>
                    <w:jc w:val="center"/>
                    <w:rPr>
                      <w:sz w:val="18"/>
                      <w:szCs w:val="18"/>
                    </w:rPr>
                  </w:pPr>
                  <w:r>
                    <w:rPr>
                      <w:sz w:val="18"/>
                      <w:szCs w:val="18"/>
                    </w:rPr>
                    <w:t>一般排放口</w:t>
                  </w:r>
                </w:p>
              </w:tc>
              <w:tc>
                <w:tcPr>
                  <w:tcW w:w="1171" w:type="dxa"/>
                  <w:vMerge w:val="restart"/>
                  <w:vAlign w:val="center"/>
                </w:tcPr>
                <w:p w14:paraId="43207E52">
                  <w:pPr>
                    <w:jc w:val="center"/>
                    <w:rPr>
                      <w:sz w:val="18"/>
                      <w:szCs w:val="18"/>
                    </w:rPr>
                  </w:pPr>
                  <w:r>
                    <w:rPr>
                      <w:sz w:val="18"/>
                      <w:szCs w:val="18"/>
                    </w:rPr>
                    <w:t>间接排放，排放期间流量不稳定</w:t>
                  </w:r>
                </w:p>
              </w:tc>
              <w:tc>
                <w:tcPr>
                  <w:tcW w:w="1239" w:type="dxa"/>
                  <w:vAlign w:val="center"/>
                </w:tcPr>
                <w:p w14:paraId="4DBB2E80">
                  <w:pPr>
                    <w:jc w:val="center"/>
                    <w:rPr>
                      <w:rFonts w:hint="default" w:eastAsia="宋体"/>
                      <w:sz w:val="18"/>
                      <w:szCs w:val="18"/>
                      <w:lang w:val="en-US" w:eastAsia="zh-CN"/>
                    </w:rPr>
                  </w:pPr>
                  <w:r>
                    <w:rPr>
                      <w:sz w:val="18"/>
                      <w:szCs w:val="18"/>
                    </w:rPr>
                    <w:t>500</w:t>
                  </w:r>
                </w:p>
              </w:tc>
              <w:tc>
                <w:tcPr>
                  <w:tcW w:w="1837" w:type="dxa"/>
                  <w:vMerge w:val="restart"/>
                  <w:vAlign w:val="center"/>
                </w:tcPr>
                <w:p w14:paraId="6AD2A652">
                  <w:pPr>
                    <w:jc w:val="center"/>
                    <w:rPr>
                      <w:rFonts w:hint="eastAsia" w:eastAsia="宋体"/>
                      <w:sz w:val="18"/>
                      <w:szCs w:val="18"/>
                      <w:lang w:eastAsia="zh-CN"/>
                    </w:rPr>
                  </w:pPr>
                  <w:r>
                    <w:rPr>
                      <w:rFonts w:hint="eastAsia"/>
                      <w:sz w:val="18"/>
                      <w:szCs w:val="18"/>
                      <w:lang w:eastAsia="zh-CN"/>
                    </w:rPr>
                    <w:t>《污水综合排放标准》（GB8978-1996）；《污水排入城镇下水道水质标准》(GB/T31962-2015)</w:t>
                  </w:r>
                </w:p>
              </w:tc>
              <w:tc>
                <w:tcPr>
                  <w:tcW w:w="978" w:type="dxa"/>
                  <w:vMerge w:val="restart"/>
                  <w:vAlign w:val="center"/>
                </w:tcPr>
                <w:p w14:paraId="7C556639">
                  <w:pPr>
                    <w:jc w:val="center"/>
                    <w:rPr>
                      <w:sz w:val="18"/>
                      <w:szCs w:val="18"/>
                    </w:rPr>
                  </w:pPr>
                  <w:r>
                    <w:rPr>
                      <w:sz w:val="18"/>
                      <w:szCs w:val="18"/>
                    </w:rPr>
                    <w:t>间接排放</w:t>
                  </w:r>
                </w:p>
              </w:tc>
              <w:tc>
                <w:tcPr>
                  <w:tcW w:w="989" w:type="dxa"/>
                  <w:vMerge w:val="restart"/>
                  <w:vAlign w:val="center"/>
                </w:tcPr>
                <w:p w14:paraId="061938AA">
                  <w:pPr>
                    <w:jc w:val="center"/>
                    <w:rPr>
                      <w:sz w:val="18"/>
                      <w:szCs w:val="18"/>
                    </w:rPr>
                  </w:pPr>
                  <w:r>
                    <w:rPr>
                      <w:rFonts w:hint="eastAsia"/>
                      <w:kern w:val="0"/>
                      <w:sz w:val="18"/>
                      <w:szCs w:val="18"/>
                      <w:lang w:bidi="ar"/>
                    </w:rPr>
                    <w:t>联合水务（启东）有限公司</w:t>
                  </w:r>
                </w:p>
              </w:tc>
            </w:tr>
            <w:tr w14:paraId="6F8607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76" w:type="dxa"/>
                  <w:vMerge w:val="continue"/>
                  <w:vAlign w:val="center"/>
                </w:tcPr>
                <w:p w14:paraId="1CE95ECC">
                  <w:pPr>
                    <w:jc w:val="center"/>
                    <w:rPr>
                      <w:sz w:val="18"/>
                      <w:szCs w:val="18"/>
                    </w:rPr>
                  </w:pPr>
                </w:p>
              </w:tc>
              <w:tc>
                <w:tcPr>
                  <w:tcW w:w="1065" w:type="dxa"/>
                  <w:vMerge w:val="continue"/>
                  <w:vAlign w:val="center"/>
                </w:tcPr>
                <w:p w14:paraId="7C27F79A">
                  <w:pPr>
                    <w:jc w:val="center"/>
                    <w:rPr>
                      <w:sz w:val="18"/>
                      <w:szCs w:val="18"/>
                    </w:rPr>
                  </w:pPr>
                </w:p>
              </w:tc>
              <w:tc>
                <w:tcPr>
                  <w:tcW w:w="1275" w:type="dxa"/>
                  <w:vAlign w:val="center"/>
                </w:tcPr>
                <w:p w14:paraId="619B34A7">
                  <w:pPr>
                    <w:jc w:val="center"/>
                    <w:rPr>
                      <w:sz w:val="18"/>
                      <w:szCs w:val="18"/>
                    </w:rPr>
                  </w:pPr>
                  <w:r>
                    <w:rPr>
                      <w:sz w:val="18"/>
                      <w:szCs w:val="18"/>
                    </w:rPr>
                    <w:t>SS</w:t>
                  </w:r>
                </w:p>
              </w:tc>
              <w:tc>
                <w:tcPr>
                  <w:tcW w:w="1200" w:type="dxa"/>
                  <w:vMerge w:val="continue"/>
                  <w:vAlign w:val="center"/>
                </w:tcPr>
                <w:p w14:paraId="69D21041">
                  <w:pPr>
                    <w:jc w:val="center"/>
                    <w:rPr>
                      <w:sz w:val="18"/>
                      <w:szCs w:val="18"/>
                    </w:rPr>
                  </w:pPr>
                </w:p>
              </w:tc>
              <w:tc>
                <w:tcPr>
                  <w:tcW w:w="1061" w:type="dxa"/>
                  <w:vMerge w:val="continue"/>
                  <w:vAlign w:val="center"/>
                </w:tcPr>
                <w:p w14:paraId="1FA74D6B">
                  <w:pPr>
                    <w:jc w:val="center"/>
                    <w:rPr>
                      <w:sz w:val="18"/>
                      <w:szCs w:val="18"/>
                    </w:rPr>
                  </w:pPr>
                </w:p>
              </w:tc>
              <w:tc>
                <w:tcPr>
                  <w:tcW w:w="944" w:type="dxa"/>
                  <w:vMerge w:val="continue"/>
                  <w:vAlign w:val="center"/>
                </w:tcPr>
                <w:p w14:paraId="514A3E19">
                  <w:pPr>
                    <w:jc w:val="center"/>
                    <w:rPr>
                      <w:sz w:val="18"/>
                      <w:szCs w:val="18"/>
                    </w:rPr>
                  </w:pPr>
                </w:p>
              </w:tc>
              <w:tc>
                <w:tcPr>
                  <w:tcW w:w="1171" w:type="dxa"/>
                  <w:vMerge w:val="continue"/>
                  <w:vAlign w:val="center"/>
                </w:tcPr>
                <w:p w14:paraId="7ACF1BD8">
                  <w:pPr>
                    <w:jc w:val="center"/>
                    <w:rPr>
                      <w:sz w:val="18"/>
                      <w:szCs w:val="18"/>
                    </w:rPr>
                  </w:pPr>
                </w:p>
              </w:tc>
              <w:tc>
                <w:tcPr>
                  <w:tcW w:w="1239" w:type="dxa"/>
                  <w:vAlign w:val="center"/>
                </w:tcPr>
                <w:p w14:paraId="3D910964">
                  <w:pPr>
                    <w:jc w:val="center"/>
                    <w:rPr>
                      <w:rFonts w:hint="default" w:eastAsia="宋体"/>
                      <w:sz w:val="18"/>
                      <w:szCs w:val="18"/>
                      <w:lang w:val="en-US" w:eastAsia="zh-CN"/>
                    </w:rPr>
                  </w:pPr>
                  <w:r>
                    <w:rPr>
                      <w:sz w:val="18"/>
                      <w:szCs w:val="18"/>
                    </w:rPr>
                    <w:t>400</w:t>
                  </w:r>
                </w:p>
              </w:tc>
              <w:tc>
                <w:tcPr>
                  <w:tcW w:w="1837" w:type="dxa"/>
                  <w:vMerge w:val="continue"/>
                  <w:vAlign w:val="center"/>
                </w:tcPr>
                <w:p w14:paraId="72E873DB">
                  <w:pPr>
                    <w:jc w:val="center"/>
                    <w:rPr>
                      <w:sz w:val="18"/>
                      <w:szCs w:val="18"/>
                    </w:rPr>
                  </w:pPr>
                </w:p>
              </w:tc>
              <w:tc>
                <w:tcPr>
                  <w:tcW w:w="978" w:type="dxa"/>
                  <w:vMerge w:val="continue"/>
                  <w:vAlign w:val="center"/>
                </w:tcPr>
                <w:p w14:paraId="24CC6D27">
                  <w:pPr>
                    <w:jc w:val="center"/>
                    <w:rPr>
                      <w:sz w:val="18"/>
                      <w:szCs w:val="18"/>
                    </w:rPr>
                  </w:pPr>
                </w:p>
              </w:tc>
              <w:tc>
                <w:tcPr>
                  <w:tcW w:w="989" w:type="dxa"/>
                  <w:vMerge w:val="continue"/>
                  <w:vAlign w:val="center"/>
                </w:tcPr>
                <w:p w14:paraId="69AB6FBC">
                  <w:pPr>
                    <w:jc w:val="center"/>
                    <w:rPr>
                      <w:sz w:val="18"/>
                      <w:szCs w:val="18"/>
                    </w:rPr>
                  </w:pPr>
                </w:p>
              </w:tc>
            </w:tr>
            <w:tr w14:paraId="51FE92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176" w:type="dxa"/>
                  <w:vMerge w:val="continue"/>
                  <w:vAlign w:val="center"/>
                </w:tcPr>
                <w:p w14:paraId="0B34010A">
                  <w:pPr>
                    <w:jc w:val="center"/>
                    <w:rPr>
                      <w:sz w:val="18"/>
                      <w:szCs w:val="18"/>
                    </w:rPr>
                  </w:pPr>
                </w:p>
              </w:tc>
              <w:tc>
                <w:tcPr>
                  <w:tcW w:w="1065" w:type="dxa"/>
                  <w:vMerge w:val="continue"/>
                  <w:vAlign w:val="center"/>
                </w:tcPr>
                <w:p w14:paraId="22FBDEB3">
                  <w:pPr>
                    <w:jc w:val="center"/>
                    <w:rPr>
                      <w:sz w:val="18"/>
                      <w:szCs w:val="18"/>
                    </w:rPr>
                  </w:pPr>
                </w:p>
              </w:tc>
              <w:tc>
                <w:tcPr>
                  <w:tcW w:w="1275" w:type="dxa"/>
                  <w:vAlign w:val="center"/>
                </w:tcPr>
                <w:p w14:paraId="26219319">
                  <w:pPr>
                    <w:jc w:val="center"/>
                    <w:rPr>
                      <w:sz w:val="18"/>
                      <w:szCs w:val="18"/>
                    </w:rPr>
                  </w:pPr>
                  <w:r>
                    <w:rPr>
                      <w:sz w:val="18"/>
                      <w:szCs w:val="18"/>
                    </w:rPr>
                    <w:t>NH</w:t>
                  </w:r>
                  <w:r>
                    <w:rPr>
                      <w:sz w:val="18"/>
                      <w:szCs w:val="18"/>
                      <w:vertAlign w:val="subscript"/>
                    </w:rPr>
                    <w:t>3</w:t>
                  </w:r>
                  <w:r>
                    <w:rPr>
                      <w:sz w:val="18"/>
                      <w:szCs w:val="18"/>
                    </w:rPr>
                    <w:t>-N</w:t>
                  </w:r>
                </w:p>
              </w:tc>
              <w:tc>
                <w:tcPr>
                  <w:tcW w:w="1200" w:type="dxa"/>
                  <w:vMerge w:val="continue"/>
                  <w:vAlign w:val="center"/>
                </w:tcPr>
                <w:p w14:paraId="6749C3F8">
                  <w:pPr>
                    <w:jc w:val="center"/>
                    <w:rPr>
                      <w:sz w:val="18"/>
                      <w:szCs w:val="18"/>
                    </w:rPr>
                  </w:pPr>
                </w:p>
              </w:tc>
              <w:tc>
                <w:tcPr>
                  <w:tcW w:w="1061" w:type="dxa"/>
                  <w:vMerge w:val="continue"/>
                  <w:vAlign w:val="center"/>
                </w:tcPr>
                <w:p w14:paraId="11433C39">
                  <w:pPr>
                    <w:jc w:val="center"/>
                    <w:rPr>
                      <w:sz w:val="18"/>
                      <w:szCs w:val="18"/>
                    </w:rPr>
                  </w:pPr>
                </w:p>
              </w:tc>
              <w:tc>
                <w:tcPr>
                  <w:tcW w:w="944" w:type="dxa"/>
                  <w:vMerge w:val="continue"/>
                  <w:vAlign w:val="center"/>
                </w:tcPr>
                <w:p w14:paraId="796F9072">
                  <w:pPr>
                    <w:jc w:val="center"/>
                    <w:rPr>
                      <w:sz w:val="18"/>
                      <w:szCs w:val="18"/>
                    </w:rPr>
                  </w:pPr>
                </w:p>
              </w:tc>
              <w:tc>
                <w:tcPr>
                  <w:tcW w:w="1171" w:type="dxa"/>
                  <w:vMerge w:val="continue"/>
                  <w:vAlign w:val="center"/>
                </w:tcPr>
                <w:p w14:paraId="08F4E223">
                  <w:pPr>
                    <w:jc w:val="center"/>
                    <w:rPr>
                      <w:sz w:val="18"/>
                      <w:szCs w:val="18"/>
                    </w:rPr>
                  </w:pPr>
                </w:p>
              </w:tc>
              <w:tc>
                <w:tcPr>
                  <w:tcW w:w="1239" w:type="dxa"/>
                  <w:vAlign w:val="center"/>
                </w:tcPr>
                <w:p w14:paraId="7AB5140A">
                  <w:pPr>
                    <w:jc w:val="center"/>
                    <w:rPr>
                      <w:rFonts w:hint="default" w:eastAsia="宋体"/>
                      <w:sz w:val="18"/>
                      <w:szCs w:val="18"/>
                      <w:lang w:val="en-US" w:eastAsia="zh-CN"/>
                    </w:rPr>
                  </w:pPr>
                  <w:r>
                    <w:rPr>
                      <w:sz w:val="18"/>
                      <w:szCs w:val="18"/>
                    </w:rPr>
                    <w:t>45</w:t>
                  </w:r>
                </w:p>
              </w:tc>
              <w:tc>
                <w:tcPr>
                  <w:tcW w:w="1837" w:type="dxa"/>
                  <w:vMerge w:val="continue"/>
                  <w:vAlign w:val="center"/>
                </w:tcPr>
                <w:p w14:paraId="14C62427">
                  <w:pPr>
                    <w:jc w:val="center"/>
                    <w:rPr>
                      <w:sz w:val="18"/>
                      <w:szCs w:val="18"/>
                    </w:rPr>
                  </w:pPr>
                </w:p>
              </w:tc>
              <w:tc>
                <w:tcPr>
                  <w:tcW w:w="978" w:type="dxa"/>
                  <w:vMerge w:val="continue"/>
                  <w:vAlign w:val="center"/>
                </w:tcPr>
                <w:p w14:paraId="6DA69167">
                  <w:pPr>
                    <w:jc w:val="center"/>
                    <w:rPr>
                      <w:sz w:val="18"/>
                      <w:szCs w:val="18"/>
                    </w:rPr>
                  </w:pPr>
                </w:p>
              </w:tc>
              <w:tc>
                <w:tcPr>
                  <w:tcW w:w="989" w:type="dxa"/>
                  <w:vMerge w:val="continue"/>
                  <w:vAlign w:val="center"/>
                </w:tcPr>
                <w:p w14:paraId="33C9A937">
                  <w:pPr>
                    <w:jc w:val="center"/>
                    <w:rPr>
                      <w:sz w:val="18"/>
                      <w:szCs w:val="18"/>
                    </w:rPr>
                  </w:pPr>
                </w:p>
              </w:tc>
            </w:tr>
            <w:tr w14:paraId="2791AD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176" w:type="dxa"/>
                  <w:vMerge w:val="continue"/>
                  <w:vAlign w:val="center"/>
                </w:tcPr>
                <w:p w14:paraId="507E2031">
                  <w:pPr>
                    <w:jc w:val="center"/>
                    <w:rPr>
                      <w:sz w:val="18"/>
                      <w:szCs w:val="18"/>
                    </w:rPr>
                  </w:pPr>
                </w:p>
              </w:tc>
              <w:tc>
                <w:tcPr>
                  <w:tcW w:w="1065" w:type="dxa"/>
                  <w:vMerge w:val="continue"/>
                  <w:vAlign w:val="center"/>
                </w:tcPr>
                <w:p w14:paraId="2C390BCC">
                  <w:pPr>
                    <w:jc w:val="center"/>
                    <w:rPr>
                      <w:sz w:val="18"/>
                      <w:szCs w:val="18"/>
                    </w:rPr>
                  </w:pPr>
                </w:p>
              </w:tc>
              <w:tc>
                <w:tcPr>
                  <w:tcW w:w="1275" w:type="dxa"/>
                  <w:vAlign w:val="center"/>
                </w:tcPr>
                <w:p w14:paraId="2C9848A0">
                  <w:pPr>
                    <w:jc w:val="center"/>
                    <w:rPr>
                      <w:sz w:val="18"/>
                      <w:szCs w:val="18"/>
                    </w:rPr>
                  </w:pPr>
                  <w:r>
                    <w:rPr>
                      <w:sz w:val="18"/>
                      <w:szCs w:val="18"/>
                    </w:rPr>
                    <w:t>TP</w:t>
                  </w:r>
                </w:p>
              </w:tc>
              <w:tc>
                <w:tcPr>
                  <w:tcW w:w="1200" w:type="dxa"/>
                  <w:vMerge w:val="continue"/>
                  <w:vAlign w:val="center"/>
                </w:tcPr>
                <w:p w14:paraId="14681B41">
                  <w:pPr>
                    <w:jc w:val="center"/>
                    <w:rPr>
                      <w:sz w:val="18"/>
                      <w:szCs w:val="18"/>
                    </w:rPr>
                  </w:pPr>
                </w:p>
              </w:tc>
              <w:tc>
                <w:tcPr>
                  <w:tcW w:w="1061" w:type="dxa"/>
                  <w:vMerge w:val="continue"/>
                  <w:vAlign w:val="center"/>
                </w:tcPr>
                <w:p w14:paraId="02208F68">
                  <w:pPr>
                    <w:jc w:val="center"/>
                    <w:rPr>
                      <w:sz w:val="18"/>
                      <w:szCs w:val="18"/>
                    </w:rPr>
                  </w:pPr>
                </w:p>
              </w:tc>
              <w:tc>
                <w:tcPr>
                  <w:tcW w:w="944" w:type="dxa"/>
                  <w:vMerge w:val="continue"/>
                  <w:vAlign w:val="center"/>
                </w:tcPr>
                <w:p w14:paraId="1584187A">
                  <w:pPr>
                    <w:jc w:val="center"/>
                    <w:rPr>
                      <w:sz w:val="18"/>
                      <w:szCs w:val="18"/>
                    </w:rPr>
                  </w:pPr>
                </w:p>
              </w:tc>
              <w:tc>
                <w:tcPr>
                  <w:tcW w:w="1171" w:type="dxa"/>
                  <w:vMerge w:val="continue"/>
                  <w:vAlign w:val="center"/>
                </w:tcPr>
                <w:p w14:paraId="2D2665DF">
                  <w:pPr>
                    <w:jc w:val="center"/>
                    <w:rPr>
                      <w:sz w:val="18"/>
                      <w:szCs w:val="18"/>
                    </w:rPr>
                  </w:pPr>
                </w:p>
              </w:tc>
              <w:tc>
                <w:tcPr>
                  <w:tcW w:w="1239" w:type="dxa"/>
                  <w:vAlign w:val="center"/>
                </w:tcPr>
                <w:p w14:paraId="382ECDE1">
                  <w:pPr>
                    <w:jc w:val="center"/>
                    <w:rPr>
                      <w:rFonts w:hint="eastAsia" w:eastAsia="宋体"/>
                      <w:sz w:val="18"/>
                      <w:szCs w:val="18"/>
                      <w:lang w:eastAsia="zh-CN"/>
                    </w:rPr>
                  </w:pPr>
                  <w:r>
                    <w:rPr>
                      <w:sz w:val="18"/>
                      <w:szCs w:val="18"/>
                    </w:rPr>
                    <w:t>8</w:t>
                  </w:r>
                </w:p>
              </w:tc>
              <w:tc>
                <w:tcPr>
                  <w:tcW w:w="1837" w:type="dxa"/>
                  <w:vMerge w:val="continue"/>
                  <w:vAlign w:val="center"/>
                </w:tcPr>
                <w:p w14:paraId="4F840CEA">
                  <w:pPr>
                    <w:jc w:val="center"/>
                    <w:rPr>
                      <w:sz w:val="18"/>
                      <w:szCs w:val="18"/>
                    </w:rPr>
                  </w:pPr>
                </w:p>
              </w:tc>
              <w:tc>
                <w:tcPr>
                  <w:tcW w:w="978" w:type="dxa"/>
                  <w:vMerge w:val="continue"/>
                  <w:vAlign w:val="center"/>
                </w:tcPr>
                <w:p w14:paraId="52299D1F">
                  <w:pPr>
                    <w:jc w:val="center"/>
                    <w:rPr>
                      <w:sz w:val="18"/>
                      <w:szCs w:val="18"/>
                    </w:rPr>
                  </w:pPr>
                </w:p>
              </w:tc>
              <w:tc>
                <w:tcPr>
                  <w:tcW w:w="989" w:type="dxa"/>
                  <w:vMerge w:val="continue"/>
                  <w:vAlign w:val="center"/>
                </w:tcPr>
                <w:p w14:paraId="4B1A2D0B">
                  <w:pPr>
                    <w:jc w:val="center"/>
                    <w:rPr>
                      <w:sz w:val="18"/>
                      <w:szCs w:val="18"/>
                    </w:rPr>
                  </w:pPr>
                </w:p>
              </w:tc>
            </w:tr>
            <w:tr w14:paraId="74FB11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176" w:type="dxa"/>
                  <w:vMerge w:val="continue"/>
                  <w:vAlign w:val="center"/>
                </w:tcPr>
                <w:p w14:paraId="204626D5">
                  <w:pPr>
                    <w:jc w:val="center"/>
                    <w:rPr>
                      <w:sz w:val="18"/>
                      <w:szCs w:val="18"/>
                    </w:rPr>
                  </w:pPr>
                </w:p>
              </w:tc>
              <w:tc>
                <w:tcPr>
                  <w:tcW w:w="1065" w:type="dxa"/>
                  <w:vMerge w:val="continue"/>
                  <w:vAlign w:val="center"/>
                </w:tcPr>
                <w:p w14:paraId="322897E8">
                  <w:pPr>
                    <w:jc w:val="center"/>
                    <w:rPr>
                      <w:sz w:val="18"/>
                      <w:szCs w:val="18"/>
                    </w:rPr>
                  </w:pPr>
                </w:p>
              </w:tc>
              <w:tc>
                <w:tcPr>
                  <w:tcW w:w="1275" w:type="dxa"/>
                  <w:vAlign w:val="center"/>
                </w:tcPr>
                <w:p w14:paraId="70F30943">
                  <w:pPr>
                    <w:jc w:val="center"/>
                    <w:rPr>
                      <w:sz w:val="18"/>
                      <w:szCs w:val="18"/>
                    </w:rPr>
                  </w:pPr>
                  <w:r>
                    <w:rPr>
                      <w:sz w:val="18"/>
                      <w:szCs w:val="18"/>
                    </w:rPr>
                    <w:t>TN</w:t>
                  </w:r>
                </w:p>
              </w:tc>
              <w:tc>
                <w:tcPr>
                  <w:tcW w:w="1200" w:type="dxa"/>
                  <w:vMerge w:val="continue"/>
                  <w:vAlign w:val="center"/>
                </w:tcPr>
                <w:p w14:paraId="332F2409">
                  <w:pPr>
                    <w:jc w:val="center"/>
                    <w:rPr>
                      <w:sz w:val="18"/>
                      <w:szCs w:val="18"/>
                    </w:rPr>
                  </w:pPr>
                </w:p>
              </w:tc>
              <w:tc>
                <w:tcPr>
                  <w:tcW w:w="1061" w:type="dxa"/>
                  <w:vMerge w:val="continue"/>
                  <w:vAlign w:val="center"/>
                </w:tcPr>
                <w:p w14:paraId="5AE1E6FD">
                  <w:pPr>
                    <w:jc w:val="center"/>
                    <w:rPr>
                      <w:sz w:val="18"/>
                      <w:szCs w:val="18"/>
                    </w:rPr>
                  </w:pPr>
                </w:p>
              </w:tc>
              <w:tc>
                <w:tcPr>
                  <w:tcW w:w="944" w:type="dxa"/>
                  <w:vMerge w:val="continue"/>
                  <w:vAlign w:val="center"/>
                </w:tcPr>
                <w:p w14:paraId="123D5199">
                  <w:pPr>
                    <w:jc w:val="center"/>
                    <w:rPr>
                      <w:sz w:val="18"/>
                      <w:szCs w:val="18"/>
                    </w:rPr>
                  </w:pPr>
                </w:p>
              </w:tc>
              <w:tc>
                <w:tcPr>
                  <w:tcW w:w="1171" w:type="dxa"/>
                  <w:vMerge w:val="continue"/>
                  <w:vAlign w:val="center"/>
                </w:tcPr>
                <w:p w14:paraId="654ABA9F">
                  <w:pPr>
                    <w:jc w:val="center"/>
                    <w:rPr>
                      <w:sz w:val="18"/>
                      <w:szCs w:val="18"/>
                    </w:rPr>
                  </w:pPr>
                </w:p>
              </w:tc>
              <w:tc>
                <w:tcPr>
                  <w:tcW w:w="1239" w:type="dxa"/>
                  <w:vAlign w:val="center"/>
                </w:tcPr>
                <w:p w14:paraId="21154D73">
                  <w:pPr>
                    <w:jc w:val="center"/>
                    <w:rPr>
                      <w:rFonts w:hint="default" w:eastAsia="宋体"/>
                      <w:sz w:val="18"/>
                      <w:szCs w:val="18"/>
                      <w:lang w:val="en-US" w:eastAsia="zh-CN"/>
                    </w:rPr>
                  </w:pPr>
                  <w:r>
                    <w:rPr>
                      <w:sz w:val="18"/>
                      <w:szCs w:val="18"/>
                    </w:rPr>
                    <w:t>70</w:t>
                  </w:r>
                </w:p>
              </w:tc>
              <w:tc>
                <w:tcPr>
                  <w:tcW w:w="1837" w:type="dxa"/>
                  <w:vMerge w:val="continue"/>
                  <w:vAlign w:val="center"/>
                </w:tcPr>
                <w:p w14:paraId="15AED85A">
                  <w:pPr>
                    <w:jc w:val="center"/>
                    <w:rPr>
                      <w:sz w:val="18"/>
                      <w:szCs w:val="18"/>
                    </w:rPr>
                  </w:pPr>
                </w:p>
              </w:tc>
              <w:tc>
                <w:tcPr>
                  <w:tcW w:w="978" w:type="dxa"/>
                  <w:vMerge w:val="continue"/>
                  <w:vAlign w:val="center"/>
                </w:tcPr>
                <w:p w14:paraId="66AFD59B">
                  <w:pPr>
                    <w:jc w:val="center"/>
                    <w:rPr>
                      <w:sz w:val="18"/>
                      <w:szCs w:val="18"/>
                    </w:rPr>
                  </w:pPr>
                </w:p>
              </w:tc>
              <w:tc>
                <w:tcPr>
                  <w:tcW w:w="989" w:type="dxa"/>
                  <w:vMerge w:val="continue"/>
                  <w:vAlign w:val="center"/>
                </w:tcPr>
                <w:p w14:paraId="2767B727">
                  <w:pPr>
                    <w:jc w:val="center"/>
                    <w:rPr>
                      <w:sz w:val="18"/>
                      <w:szCs w:val="18"/>
                    </w:rPr>
                  </w:pPr>
                </w:p>
              </w:tc>
            </w:tr>
            <w:tr w14:paraId="6F2879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176" w:type="dxa"/>
                  <w:vMerge w:val="continue"/>
                  <w:vAlign w:val="center"/>
                </w:tcPr>
                <w:p w14:paraId="790A459C">
                  <w:pPr>
                    <w:jc w:val="center"/>
                    <w:rPr>
                      <w:sz w:val="18"/>
                      <w:szCs w:val="18"/>
                    </w:rPr>
                  </w:pPr>
                </w:p>
              </w:tc>
              <w:tc>
                <w:tcPr>
                  <w:tcW w:w="1065" w:type="dxa"/>
                  <w:vMerge w:val="continue"/>
                  <w:vAlign w:val="center"/>
                </w:tcPr>
                <w:p w14:paraId="5AE07532">
                  <w:pPr>
                    <w:jc w:val="center"/>
                    <w:rPr>
                      <w:sz w:val="18"/>
                      <w:szCs w:val="18"/>
                    </w:rPr>
                  </w:pPr>
                </w:p>
              </w:tc>
              <w:tc>
                <w:tcPr>
                  <w:tcW w:w="1275" w:type="dxa"/>
                  <w:vAlign w:val="center"/>
                </w:tcPr>
                <w:p w14:paraId="57428C8D">
                  <w:pPr>
                    <w:jc w:val="center"/>
                    <w:rPr>
                      <w:rFonts w:hint="eastAsia" w:eastAsia="宋体"/>
                      <w:sz w:val="18"/>
                      <w:szCs w:val="18"/>
                      <w:lang w:eastAsia="zh-CN"/>
                    </w:rPr>
                  </w:pPr>
                  <w:r>
                    <w:rPr>
                      <w:rFonts w:hint="eastAsia"/>
                      <w:sz w:val="18"/>
                      <w:szCs w:val="18"/>
                      <w:lang w:eastAsia="zh-CN"/>
                    </w:rPr>
                    <w:t>动植物油</w:t>
                  </w:r>
                </w:p>
              </w:tc>
              <w:tc>
                <w:tcPr>
                  <w:tcW w:w="1200" w:type="dxa"/>
                  <w:vMerge w:val="continue"/>
                  <w:vAlign w:val="center"/>
                </w:tcPr>
                <w:p w14:paraId="48095D82">
                  <w:pPr>
                    <w:jc w:val="center"/>
                    <w:rPr>
                      <w:sz w:val="18"/>
                      <w:szCs w:val="18"/>
                    </w:rPr>
                  </w:pPr>
                </w:p>
              </w:tc>
              <w:tc>
                <w:tcPr>
                  <w:tcW w:w="1061" w:type="dxa"/>
                  <w:vMerge w:val="continue"/>
                  <w:vAlign w:val="center"/>
                </w:tcPr>
                <w:p w14:paraId="15F3CE1E">
                  <w:pPr>
                    <w:jc w:val="center"/>
                    <w:rPr>
                      <w:sz w:val="18"/>
                      <w:szCs w:val="18"/>
                    </w:rPr>
                  </w:pPr>
                </w:p>
              </w:tc>
              <w:tc>
                <w:tcPr>
                  <w:tcW w:w="944" w:type="dxa"/>
                  <w:vMerge w:val="continue"/>
                  <w:vAlign w:val="center"/>
                </w:tcPr>
                <w:p w14:paraId="61F98334">
                  <w:pPr>
                    <w:jc w:val="center"/>
                    <w:rPr>
                      <w:sz w:val="18"/>
                      <w:szCs w:val="18"/>
                    </w:rPr>
                  </w:pPr>
                </w:p>
              </w:tc>
              <w:tc>
                <w:tcPr>
                  <w:tcW w:w="1171" w:type="dxa"/>
                  <w:vMerge w:val="continue"/>
                  <w:vAlign w:val="center"/>
                </w:tcPr>
                <w:p w14:paraId="36235140">
                  <w:pPr>
                    <w:jc w:val="center"/>
                    <w:rPr>
                      <w:sz w:val="18"/>
                      <w:szCs w:val="18"/>
                    </w:rPr>
                  </w:pPr>
                </w:p>
              </w:tc>
              <w:tc>
                <w:tcPr>
                  <w:tcW w:w="1239" w:type="dxa"/>
                  <w:vAlign w:val="center"/>
                </w:tcPr>
                <w:p w14:paraId="5A1A5444">
                  <w:pPr>
                    <w:jc w:val="center"/>
                    <w:rPr>
                      <w:rFonts w:hint="default" w:eastAsia="宋体"/>
                      <w:sz w:val="18"/>
                      <w:szCs w:val="18"/>
                      <w:lang w:val="en-US" w:eastAsia="zh-CN"/>
                    </w:rPr>
                  </w:pPr>
                  <w:r>
                    <w:rPr>
                      <w:rFonts w:hint="eastAsia"/>
                      <w:sz w:val="18"/>
                      <w:szCs w:val="18"/>
                      <w:lang w:val="en-US" w:eastAsia="zh-CN"/>
                    </w:rPr>
                    <w:t>100</w:t>
                  </w:r>
                </w:p>
              </w:tc>
              <w:tc>
                <w:tcPr>
                  <w:tcW w:w="1837" w:type="dxa"/>
                  <w:vMerge w:val="continue"/>
                  <w:vAlign w:val="center"/>
                </w:tcPr>
                <w:p w14:paraId="7E9D6DEA">
                  <w:pPr>
                    <w:jc w:val="center"/>
                    <w:rPr>
                      <w:sz w:val="18"/>
                      <w:szCs w:val="18"/>
                    </w:rPr>
                  </w:pPr>
                </w:p>
              </w:tc>
              <w:tc>
                <w:tcPr>
                  <w:tcW w:w="978" w:type="dxa"/>
                  <w:vMerge w:val="continue"/>
                  <w:vAlign w:val="center"/>
                </w:tcPr>
                <w:p w14:paraId="372A0F68">
                  <w:pPr>
                    <w:jc w:val="center"/>
                    <w:rPr>
                      <w:sz w:val="18"/>
                      <w:szCs w:val="18"/>
                    </w:rPr>
                  </w:pPr>
                </w:p>
              </w:tc>
              <w:tc>
                <w:tcPr>
                  <w:tcW w:w="989" w:type="dxa"/>
                  <w:vMerge w:val="continue"/>
                  <w:vAlign w:val="center"/>
                </w:tcPr>
                <w:p w14:paraId="270CCF4D">
                  <w:pPr>
                    <w:jc w:val="center"/>
                    <w:rPr>
                      <w:sz w:val="18"/>
                      <w:szCs w:val="18"/>
                    </w:rPr>
                  </w:pPr>
                </w:p>
              </w:tc>
            </w:tr>
          </w:tbl>
          <w:p w14:paraId="3CCCAF6C">
            <w:pPr>
              <w:adjustRightInd w:val="0"/>
              <w:snapToGrid w:val="0"/>
              <w:spacing w:line="360" w:lineRule="exact"/>
              <w:rPr>
                <w:rFonts w:ascii="宋体" w:hAnsi="宋体" w:cs="宋体"/>
                <w:bCs/>
                <w:szCs w:val="21"/>
              </w:rPr>
            </w:pPr>
          </w:p>
        </w:tc>
      </w:tr>
    </w:tbl>
    <w:p w14:paraId="73A16832">
      <w:pPr>
        <w:sectPr>
          <w:pgSz w:w="16838" w:h="11906" w:orient="landscape"/>
          <w:pgMar w:top="1588" w:right="1531" w:bottom="1588" w:left="1531" w:header="851" w:footer="794"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654061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10" w:hRule="atLeast"/>
          <w:jc w:val="center"/>
        </w:trPr>
        <w:tc>
          <w:tcPr>
            <w:tcW w:w="746" w:type="dxa"/>
            <w:tcMar>
              <w:left w:w="28" w:type="dxa"/>
              <w:right w:w="28" w:type="dxa"/>
            </w:tcMar>
            <w:vAlign w:val="center"/>
          </w:tcPr>
          <w:p w14:paraId="32C511F3">
            <w:pPr>
              <w:adjustRightInd w:val="0"/>
              <w:snapToGrid w:val="0"/>
              <w:jc w:val="center"/>
              <w:rPr>
                <w:rFonts w:ascii="宋体" w:hAnsi="宋体" w:cs="宋体"/>
                <w:bCs/>
                <w:szCs w:val="21"/>
              </w:rPr>
            </w:pPr>
            <w:r>
              <w:rPr>
                <w:rFonts w:hint="eastAsia" w:ascii="宋体" w:hAnsi="宋体" w:cs="宋体"/>
                <w:bCs/>
                <w:szCs w:val="21"/>
              </w:rPr>
              <w:t>运营</w:t>
            </w:r>
          </w:p>
          <w:p w14:paraId="7986EB61">
            <w:pPr>
              <w:adjustRightInd w:val="0"/>
              <w:snapToGrid w:val="0"/>
              <w:jc w:val="center"/>
              <w:rPr>
                <w:rFonts w:ascii="宋体" w:hAnsi="宋体" w:cs="宋体"/>
                <w:bCs/>
                <w:szCs w:val="21"/>
              </w:rPr>
            </w:pPr>
            <w:r>
              <w:rPr>
                <w:rFonts w:hint="eastAsia" w:ascii="宋体" w:hAnsi="宋体" w:cs="宋体"/>
                <w:bCs/>
                <w:szCs w:val="21"/>
              </w:rPr>
              <w:t>期环</w:t>
            </w:r>
          </w:p>
          <w:p w14:paraId="26A4FDDC">
            <w:pPr>
              <w:adjustRightInd w:val="0"/>
              <w:snapToGrid w:val="0"/>
              <w:jc w:val="center"/>
              <w:rPr>
                <w:rFonts w:ascii="宋体" w:hAnsi="宋体" w:cs="宋体"/>
                <w:bCs/>
                <w:szCs w:val="21"/>
              </w:rPr>
            </w:pPr>
            <w:r>
              <w:rPr>
                <w:rFonts w:hint="eastAsia" w:ascii="宋体" w:hAnsi="宋体" w:cs="宋体"/>
                <w:bCs/>
                <w:szCs w:val="21"/>
              </w:rPr>
              <w:t>境影</w:t>
            </w:r>
          </w:p>
          <w:p w14:paraId="60D7FFDC">
            <w:pPr>
              <w:adjustRightInd w:val="0"/>
              <w:snapToGrid w:val="0"/>
              <w:jc w:val="center"/>
              <w:rPr>
                <w:rFonts w:ascii="宋体" w:hAnsi="宋体" w:cs="宋体"/>
                <w:bCs/>
                <w:szCs w:val="21"/>
              </w:rPr>
            </w:pPr>
            <w:r>
              <w:rPr>
                <w:rFonts w:hint="eastAsia" w:ascii="宋体" w:hAnsi="宋体" w:cs="宋体"/>
                <w:bCs/>
                <w:szCs w:val="21"/>
              </w:rPr>
              <w:t>响和</w:t>
            </w:r>
          </w:p>
          <w:p w14:paraId="487D4B03">
            <w:pPr>
              <w:adjustRightInd w:val="0"/>
              <w:snapToGrid w:val="0"/>
              <w:jc w:val="center"/>
              <w:rPr>
                <w:rFonts w:ascii="宋体" w:hAnsi="宋体" w:cs="宋体"/>
                <w:bCs/>
                <w:szCs w:val="21"/>
              </w:rPr>
            </w:pPr>
            <w:r>
              <w:rPr>
                <w:rFonts w:hint="eastAsia" w:ascii="宋体" w:hAnsi="宋体" w:cs="宋体"/>
                <w:bCs/>
                <w:szCs w:val="21"/>
              </w:rPr>
              <w:t>保护</w:t>
            </w:r>
          </w:p>
          <w:p w14:paraId="2115E131">
            <w:pPr>
              <w:adjustRightInd w:val="0"/>
              <w:snapToGrid w:val="0"/>
              <w:jc w:val="center"/>
              <w:rPr>
                <w:rFonts w:ascii="宋体" w:hAnsi="宋体" w:cs="宋体"/>
                <w:bCs/>
                <w:szCs w:val="21"/>
              </w:rPr>
            </w:pPr>
            <w:r>
              <w:rPr>
                <w:rFonts w:hint="eastAsia" w:ascii="宋体" w:hAnsi="宋体" w:cs="宋体"/>
                <w:bCs/>
                <w:szCs w:val="21"/>
              </w:rPr>
              <w:t>措施</w:t>
            </w:r>
          </w:p>
        </w:tc>
        <w:tc>
          <w:tcPr>
            <w:tcW w:w="8162" w:type="dxa"/>
            <w:vAlign w:val="center"/>
          </w:tcPr>
          <w:p w14:paraId="34C20CD3">
            <w:pPr>
              <w:spacing w:line="500" w:lineRule="exact"/>
              <w:ind w:firstLine="420" w:firstLineChars="200"/>
            </w:pPr>
            <w:r>
              <w:t>（3）水污染源监测计划</w:t>
            </w:r>
          </w:p>
          <w:p w14:paraId="29E9A26A">
            <w:pPr>
              <w:spacing w:line="500" w:lineRule="exact"/>
              <w:ind w:firstLine="420" w:firstLineChars="200"/>
              <w:rPr>
                <w:rFonts w:hint="eastAsia"/>
              </w:rPr>
            </w:pPr>
            <w:r>
              <w:rPr>
                <w:rFonts w:hint="eastAsia"/>
              </w:rPr>
              <w:t>根据《排污许可证申请与核发技术规范 工业固体废物和危险废物治理》（HJ1033-2019）等中对监测指标要求，</w:t>
            </w:r>
            <w:r>
              <w:rPr>
                <w:rFonts w:hint="eastAsia"/>
                <w:lang w:eastAsia="zh-CN"/>
              </w:rPr>
              <w:t>单独排向城镇集中污水处理设施的生活污水不需要监测。项目</w:t>
            </w:r>
            <w:r>
              <w:rPr>
                <w:rFonts w:hint="eastAsia"/>
              </w:rPr>
              <w:t>本项目拟定的监测内容见下表。</w:t>
            </w:r>
          </w:p>
          <w:p w14:paraId="6DC66C6A">
            <w:pPr>
              <w:spacing w:line="500" w:lineRule="exact"/>
              <w:ind w:firstLine="422" w:firstLineChars="200"/>
              <w:jc w:val="center"/>
              <w:rPr>
                <w:rFonts w:hint="eastAsia"/>
                <w:b/>
                <w:bCs/>
              </w:rPr>
            </w:pPr>
            <w:r>
              <w:rPr>
                <w:rFonts w:hint="eastAsia"/>
                <w:b/>
                <w:bCs/>
              </w:rPr>
              <w:t>表4-2</w:t>
            </w:r>
            <w:r>
              <w:rPr>
                <w:rFonts w:hint="eastAsia"/>
                <w:b/>
                <w:bCs/>
                <w:lang w:val="en-US" w:eastAsia="zh-CN"/>
              </w:rPr>
              <w:t>4</w:t>
            </w:r>
            <w:r>
              <w:rPr>
                <w:rFonts w:hint="eastAsia"/>
                <w:b/>
                <w:bCs/>
              </w:rPr>
              <w:t xml:space="preserve">  废水监测计划表</w:t>
            </w:r>
          </w:p>
          <w:tbl>
            <w:tblPr>
              <w:tblStyle w:val="19"/>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63"/>
              <w:gridCol w:w="1619"/>
              <w:gridCol w:w="3316"/>
              <w:gridCol w:w="1745"/>
            </w:tblGrid>
            <w:tr w14:paraId="07995A3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795" w:type="pct"/>
                  <w:noWrap w:val="0"/>
                  <w:vAlign w:val="center"/>
                </w:tcPr>
                <w:p w14:paraId="7D372A9F">
                  <w:pPr>
                    <w:spacing w:line="240" w:lineRule="auto"/>
                    <w:ind w:firstLine="0" w:firstLineChars="0"/>
                    <w:jc w:val="center"/>
                    <w:rPr>
                      <w:rFonts w:hint="default" w:ascii="Times New Roman" w:hAnsi="Times New Roman" w:eastAsia="宋体" w:cs="Times New Roman"/>
                      <w:b/>
                      <w:color w:val="auto"/>
                      <w:sz w:val="18"/>
                      <w:szCs w:val="18"/>
                      <w:lang w:val="en-US" w:eastAsia="zh-CN"/>
                    </w:rPr>
                  </w:pPr>
                  <w:r>
                    <w:rPr>
                      <w:rFonts w:hint="default" w:ascii="Times New Roman" w:hAnsi="Times New Roman" w:eastAsia="宋体" w:cs="Times New Roman"/>
                      <w:b/>
                      <w:color w:val="auto"/>
                      <w:sz w:val="18"/>
                      <w:szCs w:val="18"/>
                      <w:lang w:val="en-US" w:eastAsia="zh-CN"/>
                    </w:rPr>
                    <w:t>污染源名称</w:t>
                  </w:r>
                </w:p>
              </w:tc>
              <w:tc>
                <w:tcPr>
                  <w:tcW w:w="1019" w:type="pct"/>
                  <w:noWrap w:val="0"/>
                  <w:vAlign w:val="center"/>
                </w:tcPr>
                <w:p w14:paraId="70E0B55C">
                  <w:pPr>
                    <w:spacing w:line="240" w:lineRule="auto"/>
                    <w:ind w:firstLine="0" w:firstLineChars="0"/>
                    <w:jc w:val="center"/>
                    <w:rPr>
                      <w:rFonts w:hint="default" w:ascii="Times New Roman" w:hAnsi="Times New Roman" w:eastAsia="宋体" w:cs="Times New Roman"/>
                      <w:b/>
                      <w:color w:val="auto"/>
                      <w:sz w:val="18"/>
                      <w:szCs w:val="18"/>
                      <w:lang w:val="en-US" w:eastAsia="zh-CN"/>
                    </w:rPr>
                  </w:pPr>
                  <w:r>
                    <w:rPr>
                      <w:rFonts w:hint="default" w:ascii="Times New Roman" w:hAnsi="Times New Roman" w:eastAsia="宋体" w:cs="Times New Roman"/>
                      <w:b/>
                      <w:color w:val="auto"/>
                      <w:sz w:val="18"/>
                      <w:szCs w:val="18"/>
                      <w:lang w:val="en-US" w:eastAsia="zh-CN"/>
                    </w:rPr>
                    <w:t>监测点位</w:t>
                  </w:r>
                </w:p>
              </w:tc>
              <w:tc>
                <w:tcPr>
                  <w:tcW w:w="2087" w:type="pct"/>
                  <w:noWrap w:val="0"/>
                  <w:vAlign w:val="center"/>
                </w:tcPr>
                <w:p w14:paraId="636469AD">
                  <w:pPr>
                    <w:spacing w:line="240" w:lineRule="auto"/>
                    <w:ind w:firstLine="0" w:firstLineChars="0"/>
                    <w:jc w:val="center"/>
                    <w:rPr>
                      <w:rFonts w:hint="default" w:ascii="Times New Roman" w:hAnsi="Times New Roman" w:eastAsia="宋体" w:cs="Times New Roman"/>
                      <w:b/>
                      <w:color w:val="auto"/>
                      <w:sz w:val="18"/>
                      <w:szCs w:val="18"/>
                      <w:lang w:val="en-US" w:eastAsia="zh-CN"/>
                    </w:rPr>
                  </w:pPr>
                  <w:r>
                    <w:rPr>
                      <w:rFonts w:hint="default" w:ascii="Times New Roman" w:hAnsi="Times New Roman" w:eastAsia="宋体" w:cs="Times New Roman"/>
                      <w:b/>
                      <w:color w:val="auto"/>
                      <w:sz w:val="18"/>
                      <w:szCs w:val="18"/>
                      <w:lang w:val="en-US" w:eastAsia="zh-CN"/>
                    </w:rPr>
                    <w:t>监测项目</w:t>
                  </w:r>
                </w:p>
              </w:tc>
              <w:tc>
                <w:tcPr>
                  <w:tcW w:w="1098" w:type="pct"/>
                  <w:noWrap w:val="0"/>
                  <w:vAlign w:val="center"/>
                </w:tcPr>
                <w:p w14:paraId="3EE9067C">
                  <w:pPr>
                    <w:spacing w:line="240" w:lineRule="auto"/>
                    <w:ind w:firstLine="0" w:firstLineChars="0"/>
                    <w:jc w:val="center"/>
                    <w:rPr>
                      <w:rFonts w:hint="default" w:ascii="Times New Roman" w:hAnsi="Times New Roman" w:eastAsia="宋体" w:cs="Times New Roman"/>
                      <w:b/>
                      <w:color w:val="auto"/>
                      <w:sz w:val="18"/>
                      <w:szCs w:val="18"/>
                      <w:lang w:val="en-US" w:eastAsia="zh-CN"/>
                    </w:rPr>
                  </w:pPr>
                  <w:r>
                    <w:rPr>
                      <w:rFonts w:hint="default" w:ascii="Times New Roman" w:hAnsi="Times New Roman" w:eastAsia="宋体" w:cs="Times New Roman"/>
                      <w:b/>
                      <w:color w:val="auto"/>
                      <w:sz w:val="18"/>
                      <w:szCs w:val="18"/>
                      <w:lang w:val="en-US" w:eastAsia="zh-CN"/>
                    </w:rPr>
                    <w:t>监测频次</w:t>
                  </w:r>
                </w:p>
              </w:tc>
            </w:tr>
            <w:tr w14:paraId="4088690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795" w:type="pct"/>
                  <w:noWrap w:val="0"/>
                  <w:vAlign w:val="center"/>
                </w:tcPr>
                <w:p w14:paraId="577F948C">
                  <w:pPr>
                    <w:spacing w:line="240" w:lineRule="auto"/>
                    <w:ind w:firstLine="0" w:firstLineChars="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废水</w:t>
                  </w:r>
                </w:p>
              </w:tc>
              <w:tc>
                <w:tcPr>
                  <w:tcW w:w="1019" w:type="pct"/>
                  <w:noWrap w:val="0"/>
                  <w:vAlign w:val="center"/>
                </w:tcPr>
                <w:p w14:paraId="14C219AF">
                  <w:pPr>
                    <w:spacing w:line="240" w:lineRule="auto"/>
                    <w:ind w:firstLine="0" w:firstLineChars="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雨水排口</w:t>
                  </w:r>
                </w:p>
              </w:tc>
              <w:tc>
                <w:tcPr>
                  <w:tcW w:w="2087" w:type="pct"/>
                  <w:noWrap w:val="0"/>
                  <w:vAlign w:val="center"/>
                </w:tcPr>
                <w:p w14:paraId="1C95E2DC">
                  <w:pPr>
                    <w:autoSpaceDE w:val="0"/>
                    <w:autoSpaceDN w:val="0"/>
                    <w:adjustRightInd w:val="0"/>
                    <w:spacing w:line="240" w:lineRule="auto"/>
                    <w:ind w:firstLine="0" w:firstLineChars="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kern w:val="0"/>
                      <w:sz w:val="18"/>
                      <w:szCs w:val="18"/>
                    </w:rPr>
                    <w:t>COD、SS</w:t>
                  </w:r>
                </w:p>
              </w:tc>
              <w:tc>
                <w:tcPr>
                  <w:tcW w:w="1098" w:type="pct"/>
                  <w:noWrap w:val="0"/>
                  <w:vAlign w:val="center"/>
                </w:tcPr>
                <w:p w14:paraId="33542927">
                  <w:pPr>
                    <w:spacing w:line="240" w:lineRule="auto"/>
                    <w:ind w:firstLine="0" w:firstLineChars="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1次/月</w:t>
                  </w:r>
                </w:p>
              </w:tc>
            </w:tr>
          </w:tbl>
          <w:p w14:paraId="2BE39A13">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eastAsia="宋体"/>
                <w:color w:val="auto"/>
                <w:sz w:val="20"/>
                <w:szCs w:val="22"/>
                <w:lang w:eastAsia="zh-CN"/>
              </w:rPr>
            </w:pPr>
            <w:r>
              <w:rPr>
                <w:rFonts w:hint="eastAsia"/>
                <w:color w:val="auto"/>
                <w:sz w:val="20"/>
                <w:szCs w:val="22"/>
                <w:lang w:eastAsia="zh-CN"/>
              </w:rPr>
              <w:t>雨水排放口每月有流动水排放时开展一次监测，如监测一年无异常情况，可放宽至每季度有流动水排放时开展一次监测。</w:t>
            </w:r>
          </w:p>
          <w:p w14:paraId="676E3DC9">
            <w:pPr>
              <w:spacing w:line="500" w:lineRule="exact"/>
              <w:ind w:firstLine="420" w:firstLineChars="200"/>
              <w:rPr>
                <w:color w:val="auto"/>
              </w:rPr>
            </w:pPr>
            <w:r>
              <w:rPr>
                <w:color w:val="auto"/>
              </w:rPr>
              <w:t>（4）废水污染治理设施可行性分析</w:t>
            </w:r>
          </w:p>
          <w:p w14:paraId="0A96E9D2">
            <w:pPr>
              <w:spacing w:line="500" w:lineRule="exact"/>
              <w:ind w:firstLine="420" w:firstLineChars="200"/>
              <w:rPr>
                <w:rFonts w:hint="eastAsia"/>
                <w:color w:val="auto"/>
                <w:szCs w:val="21"/>
              </w:rPr>
            </w:pPr>
            <w:r>
              <w:rPr>
                <w:rFonts w:hint="eastAsia"/>
                <w:color w:val="auto"/>
                <w:szCs w:val="21"/>
              </w:rPr>
              <w:t>本项目生活污水经化粪池预处理后与食堂废水经隔油池预处理后接管至联合水务（启东）有限公司集中处理。</w:t>
            </w:r>
          </w:p>
          <w:p w14:paraId="335CB242">
            <w:pPr>
              <w:spacing w:line="500" w:lineRule="exact"/>
              <w:ind w:firstLine="420" w:firstLineChars="200"/>
              <w:rPr>
                <w:rFonts w:hint="eastAsia"/>
                <w:color w:val="auto"/>
                <w:szCs w:val="21"/>
              </w:rPr>
            </w:pPr>
            <w:r>
              <w:rPr>
                <w:rFonts w:hint="eastAsia"/>
                <w:color w:val="auto"/>
                <w:szCs w:val="21"/>
              </w:rPr>
              <w:t>本项目生产废水通过</w:t>
            </w:r>
            <w:r>
              <w:rPr>
                <w:rFonts w:hint="eastAsia"/>
                <w:color w:val="auto"/>
                <w:szCs w:val="21"/>
                <w:lang w:eastAsia="zh-CN"/>
              </w:rPr>
              <w:t>沉砂罐</w:t>
            </w:r>
            <w:r>
              <w:rPr>
                <w:rFonts w:hint="eastAsia"/>
                <w:color w:val="auto"/>
                <w:szCs w:val="21"/>
              </w:rPr>
              <w:t>、</w:t>
            </w:r>
            <w:r>
              <w:rPr>
                <w:rFonts w:hint="eastAsia"/>
                <w:color w:val="auto"/>
                <w:szCs w:val="21"/>
                <w:lang w:eastAsia="zh-CN"/>
              </w:rPr>
              <w:t>污水罐</w:t>
            </w:r>
            <w:r>
              <w:rPr>
                <w:rFonts w:hint="eastAsia"/>
                <w:color w:val="auto"/>
                <w:szCs w:val="21"/>
              </w:rPr>
              <w:t>、</w:t>
            </w:r>
            <w:r>
              <w:rPr>
                <w:rFonts w:hint="eastAsia"/>
                <w:color w:val="auto"/>
                <w:szCs w:val="21"/>
                <w:lang w:eastAsia="zh-CN"/>
              </w:rPr>
              <w:t>清水罐</w:t>
            </w:r>
            <w:r>
              <w:rPr>
                <w:rFonts w:hint="eastAsia"/>
                <w:color w:val="auto"/>
                <w:szCs w:val="21"/>
              </w:rPr>
              <w:t>设施处理后循环使用。</w:t>
            </w:r>
          </w:p>
          <w:p w14:paraId="47CF2238">
            <w:pPr>
              <w:spacing w:line="500" w:lineRule="exact"/>
              <w:ind w:firstLine="420" w:firstLineChars="200"/>
              <w:rPr>
                <w:rFonts w:hint="eastAsia"/>
                <w:color w:val="auto"/>
                <w:szCs w:val="21"/>
              </w:rPr>
            </w:pPr>
            <w:r>
              <w:rPr>
                <w:rFonts w:hint="eastAsia"/>
                <w:color w:val="auto"/>
                <w:szCs w:val="21"/>
              </w:rPr>
              <w:t>废水接管可行性分析：</w:t>
            </w:r>
          </w:p>
          <w:p w14:paraId="766B2E34">
            <w:pPr>
              <w:spacing w:line="500" w:lineRule="exact"/>
              <w:ind w:firstLine="420" w:firstLineChars="200"/>
              <w:rPr>
                <w:rFonts w:hint="eastAsia"/>
                <w:color w:val="auto"/>
                <w:szCs w:val="21"/>
              </w:rPr>
            </w:pPr>
            <w:r>
              <w:rPr>
                <w:rFonts w:hint="eastAsia"/>
                <w:color w:val="auto"/>
                <w:szCs w:val="21"/>
              </w:rPr>
              <w:t>联合环境水务（启东）有限公司现状处理能力2万m</w:t>
            </w:r>
            <w:r>
              <w:rPr>
                <w:rFonts w:hint="eastAsia"/>
                <w:color w:val="auto"/>
                <w:szCs w:val="21"/>
                <w:vertAlign w:val="superscript"/>
              </w:rPr>
              <w:t>3</w:t>
            </w:r>
            <w:r>
              <w:rPr>
                <w:rFonts w:hint="eastAsia"/>
                <w:color w:val="auto"/>
                <w:szCs w:val="21"/>
              </w:rPr>
              <w:t>/d，分三期建设。一期工程规模0.5万m</w:t>
            </w:r>
            <w:r>
              <w:rPr>
                <w:rFonts w:hint="eastAsia"/>
                <w:color w:val="auto"/>
                <w:szCs w:val="21"/>
                <w:vertAlign w:val="superscript"/>
              </w:rPr>
              <w:t>3</w:t>
            </w:r>
            <w:r>
              <w:rPr>
                <w:rFonts w:hint="eastAsia"/>
                <w:color w:val="auto"/>
                <w:szCs w:val="21"/>
              </w:rPr>
              <w:t>/d，于2006年3月建设完成，2007年1月14日通过南通市环保局“三同时”竣工验收；二期工程1.0万m</w:t>
            </w:r>
            <w:r>
              <w:rPr>
                <w:rFonts w:hint="eastAsia"/>
                <w:color w:val="auto"/>
                <w:szCs w:val="21"/>
                <w:vertAlign w:val="superscript"/>
              </w:rPr>
              <w:t>3</w:t>
            </w:r>
            <w:r>
              <w:rPr>
                <w:rFonts w:hint="eastAsia"/>
                <w:color w:val="auto"/>
                <w:szCs w:val="21"/>
              </w:rPr>
              <w:t>/d，2012年8月建设完成，于2014年1月28日通过南通市环保局“三同时”竣工验收（通环验〔2014〕0014号）；三期扩容5000m</w:t>
            </w:r>
            <w:r>
              <w:rPr>
                <w:rFonts w:hint="eastAsia"/>
                <w:color w:val="auto"/>
                <w:szCs w:val="21"/>
                <w:vertAlign w:val="superscript"/>
              </w:rPr>
              <w:t>3</w:t>
            </w:r>
            <w:r>
              <w:rPr>
                <w:rFonts w:hint="eastAsia"/>
                <w:color w:val="auto"/>
                <w:szCs w:val="21"/>
              </w:rPr>
              <w:t>/d，同时对污水处理线、污泥处理线进行提标改造，于2015年8月通过启东市环保局的审查（启环发〔2015〕149号），将难降解废水和较易降解废水分线处理，尾水达到江苏省《化学工业主要水污染物排放标准》（DB32/939-2020）表2中标准后排入长江，于2015年11月投入试运行，2016年12月通过启东市环保局“三同时”竣工验收（启行审环验〔2016〕43号）</w:t>
            </w:r>
          </w:p>
          <w:p w14:paraId="5AF935FB">
            <w:pPr>
              <w:spacing w:line="500" w:lineRule="exact"/>
              <w:ind w:firstLine="420" w:firstLineChars="200"/>
              <w:rPr>
                <w:rFonts w:hint="eastAsia"/>
                <w:color w:val="auto"/>
                <w:szCs w:val="21"/>
              </w:rPr>
            </w:pPr>
            <w:r>
              <w:rPr>
                <w:rFonts w:hint="eastAsia"/>
                <w:color w:val="auto"/>
                <w:szCs w:val="21"/>
              </w:rPr>
              <w:t>联合环境水务（启东）有限公司采用混凝沉淀＋水解酸化+A/O生化处理+砂滤的组合处 理工艺，处理后出水须达到江苏省《化学工业主要水污染物排放标准》（DB32/939-2020）表2中的标准，尾水排入长江。联合环境水务（启东）有限公司工艺流程见图4-2</w:t>
            </w:r>
          </w:p>
          <w:p w14:paraId="23099F11">
            <w:pPr>
              <w:spacing w:line="500" w:lineRule="exact"/>
              <w:ind w:firstLine="420" w:firstLineChars="200"/>
              <w:rPr>
                <w:rFonts w:hint="eastAsia"/>
                <w:color w:val="auto"/>
                <w:szCs w:val="21"/>
              </w:rPr>
            </w:pPr>
            <w:r>
              <w:drawing>
                <wp:anchor distT="0" distB="0" distL="114935" distR="114935" simplePos="0" relativeHeight="251661312" behindDoc="0" locked="0" layoutInCell="1" allowOverlap="1">
                  <wp:simplePos x="0" y="0"/>
                  <wp:positionH relativeFrom="column">
                    <wp:posOffset>210820</wp:posOffset>
                  </wp:positionH>
                  <wp:positionV relativeFrom="paragraph">
                    <wp:posOffset>41275</wp:posOffset>
                  </wp:positionV>
                  <wp:extent cx="4733925" cy="2800350"/>
                  <wp:effectExtent l="0" t="0" r="9525"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4733925" cy="2800350"/>
                          </a:xfrm>
                          <a:prstGeom prst="rect">
                            <a:avLst/>
                          </a:prstGeom>
                          <a:noFill/>
                          <a:ln>
                            <a:noFill/>
                          </a:ln>
                        </pic:spPr>
                      </pic:pic>
                    </a:graphicData>
                  </a:graphic>
                </wp:anchor>
              </w:drawing>
            </w:r>
          </w:p>
          <w:p w14:paraId="577F7560">
            <w:pPr>
              <w:spacing w:line="500" w:lineRule="exact"/>
              <w:ind w:firstLine="420" w:firstLineChars="200"/>
              <w:rPr>
                <w:rFonts w:hint="eastAsia"/>
                <w:color w:val="auto"/>
                <w:szCs w:val="21"/>
              </w:rPr>
            </w:pPr>
          </w:p>
          <w:p w14:paraId="7F2211FA">
            <w:pPr>
              <w:spacing w:line="500" w:lineRule="exact"/>
              <w:ind w:firstLine="420" w:firstLineChars="200"/>
              <w:rPr>
                <w:rFonts w:hint="eastAsia"/>
                <w:color w:val="auto"/>
                <w:szCs w:val="21"/>
              </w:rPr>
            </w:pPr>
          </w:p>
          <w:p w14:paraId="7D2D43A2">
            <w:pPr>
              <w:spacing w:line="500" w:lineRule="exact"/>
              <w:ind w:firstLine="420" w:firstLineChars="200"/>
              <w:rPr>
                <w:rFonts w:hint="eastAsia"/>
                <w:color w:val="auto"/>
                <w:szCs w:val="21"/>
              </w:rPr>
            </w:pPr>
          </w:p>
          <w:p w14:paraId="465D0B85">
            <w:pPr>
              <w:spacing w:line="500" w:lineRule="exact"/>
              <w:ind w:firstLine="420" w:firstLineChars="200"/>
              <w:rPr>
                <w:rFonts w:hint="eastAsia"/>
                <w:color w:val="auto"/>
                <w:szCs w:val="21"/>
              </w:rPr>
            </w:pPr>
          </w:p>
          <w:p w14:paraId="17381A6B">
            <w:pPr>
              <w:spacing w:line="500" w:lineRule="exact"/>
              <w:ind w:firstLine="420" w:firstLineChars="200"/>
              <w:rPr>
                <w:rFonts w:hint="eastAsia"/>
                <w:color w:val="auto"/>
                <w:szCs w:val="21"/>
              </w:rPr>
            </w:pPr>
          </w:p>
          <w:p w14:paraId="12F12086">
            <w:pPr>
              <w:spacing w:line="500" w:lineRule="exact"/>
              <w:ind w:firstLine="420" w:firstLineChars="200"/>
              <w:rPr>
                <w:rFonts w:hint="eastAsia"/>
                <w:color w:val="auto"/>
                <w:szCs w:val="21"/>
              </w:rPr>
            </w:pPr>
          </w:p>
          <w:p w14:paraId="1ED49595">
            <w:pPr>
              <w:spacing w:line="500" w:lineRule="exact"/>
              <w:ind w:firstLine="420" w:firstLineChars="200"/>
              <w:rPr>
                <w:rFonts w:hint="eastAsia"/>
                <w:color w:val="auto"/>
                <w:szCs w:val="21"/>
              </w:rPr>
            </w:pPr>
          </w:p>
          <w:p w14:paraId="50E98586">
            <w:pPr>
              <w:spacing w:line="500" w:lineRule="exact"/>
              <w:ind w:firstLine="420" w:firstLineChars="200"/>
              <w:rPr>
                <w:rFonts w:hint="eastAsia"/>
                <w:color w:val="auto"/>
                <w:szCs w:val="21"/>
              </w:rPr>
            </w:pPr>
          </w:p>
          <w:p w14:paraId="0C875330">
            <w:pPr>
              <w:spacing w:line="500" w:lineRule="exact"/>
              <w:jc w:val="center"/>
              <w:rPr>
                <w:rFonts w:hint="eastAsia"/>
                <w:color w:val="auto"/>
                <w:szCs w:val="21"/>
              </w:rPr>
            </w:pPr>
            <w:r>
              <w:rPr>
                <w:rFonts w:hint="eastAsia"/>
                <w:color w:val="auto"/>
                <w:szCs w:val="21"/>
              </w:rPr>
              <w:t>图4-2 联合环境水务（启东）有限公司工艺流程图</w:t>
            </w:r>
          </w:p>
          <w:p w14:paraId="4995E410">
            <w:pPr>
              <w:spacing w:line="500" w:lineRule="exact"/>
              <w:ind w:firstLine="420" w:firstLineChars="200"/>
              <w:rPr>
                <w:rFonts w:hint="eastAsia"/>
                <w:color w:val="auto"/>
                <w:szCs w:val="21"/>
              </w:rPr>
            </w:pPr>
            <w:r>
              <w:rPr>
                <w:rFonts w:hint="eastAsia"/>
                <w:color w:val="auto"/>
                <w:szCs w:val="21"/>
              </w:rPr>
              <w:t>联合环境水务（启东）有限公司污水处理建成规模为2万t/d，考虑区域内排放废水的同期建设项目，污水水厂总的接管量约2万t/d。本项目新增接管污水量约为</w:t>
            </w:r>
            <w:r>
              <w:rPr>
                <w:rFonts w:hint="eastAsia"/>
                <w:color w:val="auto"/>
                <w:szCs w:val="21"/>
                <w:lang w:val="en-US" w:eastAsia="zh-CN"/>
              </w:rPr>
              <w:t>460</w:t>
            </w:r>
            <w:r>
              <w:rPr>
                <w:rFonts w:hint="eastAsia"/>
                <w:color w:val="auto"/>
                <w:szCs w:val="21"/>
              </w:rPr>
              <w:t>t/a（</w:t>
            </w:r>
            <w:r>
              <w:rPr>
                <w:rFonts w:hint="eastAsia"/>
                <w:color w:val="auto"/>
                <w:szCs w:val="21"/>
                <w:lang w:val="en-US" w:eastAsia="zh-CN"/>
              </w:rPr>
              <w:t>1.53</w:t>
            </w:r>
            <w:r>
              <w:rPr>
                <w:rFonts w:hint="eastAsia"/>
                <w:color w:val="auto"/>
                <w:szCs w:val="21"/>
              </w:rPr>
              <w:t>/d），约占联合环境水务（启东）有限公司处理能力余量的</w:t>
            </w:r>
            <w:r>
              <w:rPr>
                <w:rFonts w:hint="eastAsia"/>
                <w:color w:val="auto"/>
                <w:szCs w:val="21"/>
                <w:lang w:val="en-US" w:eastAsia="zh-CN"/>
              </w:rPr>
              <w:t>0.0077</w:t>
            </w:r>
            <w:r>
              <w:rPr>
                <w:rFonts w:hint="eastAsia"/>
                <w:color w:val="auto"/>
                <w:szCs w:val="21"/>
              </w:rPr>
              <w:t>%，从水量分析，联合环境水务（启东）有限公司基本可行。</w:t>
            </w:r>
          </w:p>
          <w:p w14:paraId="79C5C088">
            <w:pPr>
              <w:spacing w:line="500" w:lineRule="exact"/>
              <w:ind w:firstLine="420" w:firstLineChars="200"/>
              <w:rPr>
                <w:rFonts w:hint="eastAsia"/>
                <w:color w:val="auto"/>
                <w:szCs w:val="21"/>
              </w:rPr>
            </w:pPr>
            <w:r>
              <w:rPr>
                <w:rFonts w:hint="eastAsia"/>
                <w:color w:val="auto"/>
                <w:szCs w:val="21"/>
              </w:rPr>
              <w:t>水环境影响评价结论：</w:t>
            </w:r>
          </w:p>
          <w:p w14:paraId="2E53F0F4">
            <w:pPr>
              <w:spacing w:line="500" w:lineRule="exact"/>
              <w:ind w:firstLine="420" w:firstLineChars="200"/>
              <w:rPr>
                <w:rFonts w:hint="eastAsia"/>
                <w:color w:val="auto"/>
                <w:szCs w:val="21"/>
              </w:rPr>
            </w:pPr>
            <w:r>
              <w:rPr>
                <w:rFonts w:hint="eastAsia"/>
                <w:color w:val="auto"/>
                <w:szCs w:val="21"/>
              </w:rPr>
              <w:t>综上所述，项目废水为间接排放，由依托联合环境水务（启东）有限公司可行性分析可知，项目水量、水质等均符合联合环境水务（启东）有限公司接管要求。</w:t>
            </w:r>
          </w:p>
          <w:p w14:paraId="33FCC2C8">
            <w:pPr>
              <w:spacing w:line="500" w:lineRule="exact"/>
              <w:ind w:firstLine="420" w:firstLineChars="200"/>
            </w:pPr>
            <w:r>
              <w:t>（</w:t>
            </w:r>
            <w:r>
              <w:rPr>
                <w:rFonts w:hint="eastAsia"/>
              </w:rPr>
              <w:t>5</w:t>
            </w:r>
            <w:r>
              <w:t>）地表水环境影响评价结论</w:t>
            </w:r>
          </w:p>
          <w:p w14:paraId="6BC1AA22">
            <w:pPr>
              <w:adjustRightInd w:val="0"/>
              <w:snapToGrid w:val="0"/>
              <w:spacing w:line="500" w:lineRule="exact"/>
              <w:ind w:firstLine="420" w:firstLineChars="200"/>
              <w:rPr>
                <w:bCs/>
                <w:spacing w:val="-10"/>
                <w:szCs w:val="21"/>
              </w:rPr>
            </w:pPr>
            <w:r>
              <w:t>本项目位于受纳水体环境质量达标区域，本项目生活污水经化粪池预处理</w:t>
            </w:r>
            <w:r>
              <w:rPr>
                <w:rFonts w:hint="eastAsia"/>
                <w:lang w:eastAsia="zh-CN"/>
              </w:rPr>
              <w:t>，食堂废水经隔油池预处理</w:t>
            </w:r>
            <w:r>
              <w:t>后</w:t>
            </w:r>
            <w:r>
              <w:rPr>
                <w:rFonts w:hint="eastAsia"/>
                <w:lang w:eastAsia="zh-CN"/>
              </w:rPr>
              <w:t>满足《污水综合排放标准》（GB8978-1996）表4三级标准和《污水排入城镇下水道水质标准》（GB/T31962-2015）表1中B等级标准的要求</w:t>
            </w:r>
            <w:r>
              <w:t>，从水质水量、接管标准等方面综合考虑，本项目废水</w:t>
            </w:r>
            <w:r>
              <w:rPr>
                <w:rFonts w:hint="eastAsia"/>
                <w:lang w:eastAsia="zh-CN"/>
              </w:rPr>
              <w:t>接管至联合环境水务（启东）有限公司处理是可行的。</w:t>
            </w:r>
            <w:r>
              <w:t>因此，本项目对地表水环境的影响可以接受的。</w:t>
            </w:r>
          </w:p>
        </w:tc>
      </w:tr>
    </w:tbl>
    <w:p w14:paraId="38B2590A">
      <w:pPr>
        <w:sectPr>
          <w:pgSz w:w="11906" w:h="16838"/>
          <w:pgMar w:top="1588" w:right="1531" w:bottom="1588" w:left="1531" w:header="851" w:footer="794"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919"/>
      </w:tblGrid>
      <w:tr w14:paraId="5829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733" w:type="dxa"/>
          </w:tcPr>
          <w:p w14:paraId="4817F2BE">
            <w:pPr>
              <w:jc w:val="center"/>
              <w:outlineLvl w:val="0"/>
              <w:rPr>
                <w:rFonts w:ascii="黑体" w:hAnsi="黑体" w:eastAsia="黑体"/>
                <w:sz w:val="30"/>
                <w:szCs w:val="30"/>
              </w:rPr>
            </w:pPr>
          </w:p>
        </w:tc>
        <w:tc>
          <w:tcPr>
            <w:tcW w:w="12919" w:type="dxa"/>
          </w:tcPr>
          <w:p w14:paraId="350A3AD0">
            <w:pPr>
              <w:adjustRightInd w:val="0"/>
              <w:snapToGrid w:val="0"/>
              <w:spacing w:line="500" w:lineRule="exact"/>
              <w:rPr>
                <w:b/>
                <w:bCs/>
              </w:rPr>
            </w:pPr>
            <w:r>
              <w:rPr>
                <w:rFonts w:hint="eastAsia"/>
                <w:b/>
                <w:bCs/>
              </w:rPr>
              <w:t>三、噪声</w:t>
            </w:r>
          </w:p>
          <w:p w14:paraId="6CE91952">
            <w:pPr>
              <w:spacing w:line="360" w:lineRule="auto"/>
              <w:jc w:val="center"/>
              <w:rPr>
                <w:b/>
                <w:bCs/>
              </w:rPr>
            </w:pPr>
            <w:r>
              <w:rPr>
                <w:b/>
                <w:bCs/>
              </w:rPr>
              <w:t>表 4-</w:t>
            </w:r>
            <w:r>
              <w:rPr>
                <w:rFonts w:hint="eastAsia"/>
                <w:b/>
                <w:bCs/>
                <w:lang w:val="en-US" w:eastAsia="zh-CN"/>
              </w:rPr>
              <w:t>25</w:t>
            </w:r>
            <w:r>
              <w:rPr>
                <w:rFonts w:hint="eastAsia"/>
                <w:b/>
                <w:bCs/>
              </w:rPr>
              <w:t xml:space="preserve"> </w:t>
            </w:r>
            <w:r>
              <w:rPr>
                <w:b/>
                <w:bCs/>
              </w:rPr>
              <w:t>工业企业噪声源强调查清单</w:t>
            </w:r>
          </w:p>
          <w:tbl>
            <w:tblPr>
              <w:tblStyle w:val="19"/>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87"/>
              <w:gridCol w:w="557"/>
              <w:gridCol w:w="1316"/>
              <w:gridCol w:w="435"/>
              <w:gridCol w:w="1126"/>
              <w:gridCol w:w="732"/>
              <w:gridCol w:w="664"/>
              <w:gridCol w:w="676"/>
              <w:gridCol w:w="689"/>
              <w:gridCol w:w="587"/>
              <w:gridCol w:w="638"/>
              <w:gridCol w:w="830"/>
              <w:gridCol w:w="708"/>
              <w:gridCol w:w="914"/>
              <w:gridCol w:w="817"/>
              <w:gridCol w:w="939"/>
              <w:gridCol w:w="678"/>
            </w:tblGrid>
            <w:tr w14:paraId="310474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2" w:type="pct"/>
                  <w:vMerge w:val="restart"/>
                  <w:vAlign w:val="center"/>
                </w:tcPr>
                <w:p w14:paraId="0B486DC5">
                  <w:pPr>
                    <w:pStyle w:val="27"/>
                    <w:jc w:val="center"/>
                    <w:rPr>
                      <w:rFonts w:ascii="Times New Roman" w:hAnsi="Times New Roman" w:eastAsia="宋体"/>
                      <w:sz w:val="18"/>
                      <w:szCs w:val="18"/>
                    </w:rPr>
                  </w:pPr>
                  <w:r>
                    <w:rPr>
                      <w:rFonts w:ascii="Times New Roman" w:hAnsi="Times New Roman" w:eastAsia="宋体"/>
                      <w:sz w:val="18"/>
                      <w:szCs w:val="18"/>
                    </w:rPr>
                    <w:t>序号</w:t>
                  </w:r>
                </w:p>
              </w:tc>
              <w:tc>
                <w:tcPr>
                  <w:tcW w:w="219" w:type="pct"/>
                  <w:vMerge w:val="restart"/>
                  <w:vAlign w:val="center"/>
                </w:tcPr>
                <w:p w14:paraId="516F6EB7">
                  <w:pPr>
                    <w:pStyle w:val="27"/>
                    <w:jc w:val="center"/>
                    <w:rPr>
                      <w:rFonts w:ascii="Times New Roman" w:hAnsi="Times New Roman" w:eastAsia="宋体"/>
                      <w:sz w:val="18"/>
                      <w:szCs w:val="18"/>
                    </w:rPr>
                  </w:pPr>
                  <w:r>
                    <w:rPr>
                      <w:rFonts w:ascii="Times New Roman" w:hAnsi="Times New Roman" w:eastAsia="宋体"/>
                      <w:sz w:val="18"/>
                      <w:szCs w:val="18"/>
                    </w:rPr>
                    <w:t>建筑物名称</w:t>
                  </w:r>
                </w:p>
              </w:tc>
              <w:tc>
                <w:tcPr>
                  <w:tcW w:w="518" w:type="pct"/>
                  <w:vMerge w:val="restart"/>
                  <w:vAlign w:val="center"/>
                </w:tcPr>
                <w:p w14:paraId="2DF38D38">
                  <w:pPr>
                    <w:pStyle w:val="27"/>
                    <w:jc w:val="center"/>
                    <w:rPr>
                      <w:rFonts w:ascii="Times New Roman" w:hAnsi="Times New Roman" w:eastAsia="宋体"/>
                      <w:sz w:val="18"/>
                      <w:szCs w:val="18"/>
                    </w:rPr>
                  </w:pPr>
                  <w:r>
                    <w:rPr>
                      <w:rFonts w:ascii="Times New Roman" w:hAnsi="Times New Roman" w:eastAsia="宋体"/>
                      <w:sz w:val="18"/>
                      <w:szCs w:val="18"/>
                    </w:rPr>
                    <w:t>声源名称</w:t>
                  </w:r>
                </w:p>
              </w:tc>
              <w:tc>
                <w:tcPr>
                  <w:tcW w:w="171" w:type="pct"/>
                  <w:vMerge w:val="restart"/>
                  <w:vAlign w:val="center"/>
                </w:tcPr>
                <w:p w14:paraId="2199963F">
                  <w:pPr>
                    <w:pStyle w:val="27"/>
                    <w:jc w:val="center"/>
                    <w:rPr>
                      <w:rFonts w:ascii="Times New Roman" w:hAnsi="Times New Roman" w:eastAsia="宋体"/>
                      <w:b/>
                      <w:bCs/>
                      <w:sz w:val="18"/>
                      <w:szCs w:val="18"/>
                    </w:rPr>
                  </w:pPr>
                  <w:r>
                    <w:rPr>
                      <w:rFonts w:ascii="Times New Roman" w:hAnsi="Times New Roman" w:eastAsia="宋体"/>
                      <w:sz w:val="18"/>
                      <w:szCs w:val="18"/>
                    </w:rPr>
                    <w:t>数量</w:t>
                  </w:r>
                </w:p>
              </w:tc>
              <w:tc>
                <w:tcPr>
                  <w:tcW w:w="731" w:type="pct"/>
                  <w:gridSpan w:val="2"/>
                  <w:vAlign w:val="center"/>
                </w:tcPr>
                <w:p w14:paraId="3B2F0A3E">
                  <w:pPr>
                    <w:pStyle w:val="27"/>
                    <w:jc w:val="center"/>
                    <w:rPr>
                      <w:rFonts w:ascii="Times New Roman" w:hAnsi="Times New Roman" w:eastAsia="宋体"/>
                      <w:sz w:val="18"/>
                      <w:szCs w:val="18"/>
                    </w:rPr>
                  </w:pPr>
                  <w:r>
                    <w:rPr>
                      <w:rFonts w:ascii="Times New Roman" w:hAnsi="Times New Roman" w:eastAsia="宋体"/>
                      <w:sz w:val="18"/>
                      <w:szCs w:val="18"/>
                    </w:rPr>
                    <w:t>声源源强（任选一种）</w:t>
                  </w:r>
                </w:p>
              </w:tc>
              <w:tc>
                <w:tcPr>
                  <w:tcW w:w="261" w:type="pct"/>
                  <w:vMerge w:val="restart"/>
                  <w:vAlign w:val="center"/>
                </w:tcPr>
                <w:p w14:paraId="44E0ED41">
                  <w:pPr>
                    <w:pStyle w:val="27"/>
                    <w:jc w:val="center"/>
                    <w:rPr>
                      <w:rFonts w:ascii="Times New Roman" w:hAnsi="Times New Roman" w:eastAsia="宋体"/>
                      <w:sz w:val="18"/>
                      <w:szCs w:val="18"/>
                    </w:rPr>
                  </w:pPr>
                  <w:r>
                    <w:rPr>
                      <w:rFonts w:ascii="Times New Roman" w:hAnsi="Times New Roman" w:eastAsia="宋体"/>
                      <w:sz w:val="18"/>
                      <w:szCs w:val="18"/>
                    </w:rPr>
                    <w:t>声源控制措施</w:t>
                  </w:r>
                </w:p>
              </w:tc>
              <w:tc>
                <w:tcPr>
                  <w:tcW w:w="768" w:type="pct"/>
                  <w:gridSpan w:val="3"/>
                  <w:vAlign w:val="center"/>
                </w:tcPr>
                <w:p w14:paraId="2392597F">
                  <w:pPr>
                    <w:pStyle w:val="27"/>
                    <w:jc w:val="center"/>
                    <w:rPr>
                      <w:rFonts w:ascii="Times New Roman" w:hAnsi="Times New Roman" w:eastAsia="宋体"/>
                      <w:sz w:val="18"/>
                      <w:szCs w:val="18"/>
                    </w:rPr>
                  </w:pPr>
                  <w:r>
                    <w:rPr>
                      <w:rFonts w:ascii="Times New Roman" w:hAnsi="Times New Roman" w:eastAsia="宋体"/>
                      <w:sz w:val="18"/>
                      <w:szCs w:val="18"/>
                    </w:rPr>
                    <w:t>空间相对位置/m</w:t>
                  </w:r>
                </w:p>
              </w:tc>
              <w:tc>
                <w:tcPr>
                  <w:tcW w:w="251" w:type="pct"/>
                  <w:vMerge w:val="restart"/>
                  <w:vAlign w:val="center"/>
                </w:tcPr>
                <w:p w14:paraId="6E7F9475">
                  <w:pPr>
                    <w:pStyle w:val="27"/>
                    <w:jc w:val="center"/>
                    <w:rPr>
                      <w:rFonts w:ascii="Times New Roman" w:hAnsi="Times New Roman" w:eastAsia="宋体"/>
                      <w:sz w:val="18"/>
                      <w:szCs w:val="18"/>
                    </w:rPr>
                  </w:pPr>
                  <w:r>
                    <w:rPr>
                      <w:rFonts w:ascii="Times New Roman" w:hAnsi="Times New Roman" w:eastAsia="宋体"/>
                      <w:sz w:val="18"/>
                      <w:szCs w:val="18"/>
                    </w:rPr>
                    <w:t>距室内边界距离/m</w:t>
                  </w:r>
                </w:p>
              </w:tc>
              <w:tc>
                <w:tcPr>
                  <w:tcW w:w="326" w:type="pct"/>
                  <w:vMerge w:val="restart"/>
                  <w:vAlign w:val="center"/>
                </w:tcPr>
                <w:p w14:paraId="52B1448B">
                  <w:pPr>
                    <w:pStyle w:val="27"/>
                    <w:jc w:val="center"/>
                    <w:rPr>
                      <w:rFonts w:ascii="Times New Roman" w:hAnsi="Times New Roman" w:eastAsia="宋体"/>
                      <w:sz w:val="18"/>
                      <w:szCs w:val="18"/>
                    </w:rPr>
                  </w:pPr>
                  <w:r>
                    <w:rPr>
                      <w:rFonts w:ascii="Times New Roman" w:hAnsi="Times New Roman" w:eastAsia="宋体"/>
                      <w:sz w:val="18"/>
                      <w:szCs w:val="18"/>
                    </w:rPr>
                    <w:t>室内边界声级/dB(A)</w:t>
                  </w:r>
                </w:p>
              </w:tc>
              <w:tc>
                <w:tcPr>
                  <w:tcW w:w="278" w:type="pct"/>
                  <w:vMerge w:val="restart"/>
                  <w:vAlign w:val="center"/>
                </w:tcPr>
                <w:p w14:paraId="68BA2040">
                  <w:pPr>
                    <w:pStyle w:val="27"/>
                    <w:jc w:val="center"/>
                    <w:rPr>
                      <w:rFonts w:ascii="Times New Roman" w:hAnsi="Times New Roman" w:eastAsia="宋体"/>
                      <w:sz w:val="18"/>
                      <w:szCs w:val="18"/>
                    </w:rPr>
                  </w:pPr>
                  <w:r>
                    <w:rPr>
                      <w:rFonts w:ascii="Times New Roman" w:hAnsi="Times New Roman" w:eastAsia="宋体"/>
                      <w:sz w:val="18"/>
                      <w:szCs w:val="18"/>
                    </w:rPr>
                    <w:t>运行时段</w:t>
                  </w:r>
                </w:p>
              </w:tc>
              <w:tc>
                <w:tcPr>
                  <w:tcW w:w="360" w:type="pct"/>
                  <w:vMerge w:val="restart"/>
                  <w:vAlign w:val="center"/>
                </w:tcPr>
                <w:p w14:paraId="0EB8741A">
                  <w:pPr>
                    <w:pStyle w:val="27"/>
                    <w:jc w:val="center"/>
                    <w:rPr>
                      <w:rFonts w:ascii="Times New Roman" w:hAnsi="Times New Roman" w:eastAsia="宋体"/>
                      <w:sz w:val="18"/>
                      <w:szCs w:val="18"/>
                    </w:rPr>
                  </w:pPr>
                  <w:r>
                    <w:rPr>
                      <w:rFonts w:ascii="Times New Roman" w:hAnsi="Times New Roman" w:eastAsia="宋体"/>
                      <w:sz w:val="18"/>
                      <w:szCs w:val="18"/>
                    </w:rPr>
                    <w:t>建筑物插入损失/dB(A)</w:t>
                  </w:r>
                </w:p>
              </w:tc>
              <w:tc>
                <w:tcPr>
                  <w:tcW w:w="691" w:type="pct"/>
                  <w:gridSpan w:val="2"/>
                  <w:vAlign w:val="center"/>
                </w:tcPr>
                <w:p w14:paraId="3F0C9818">
                  <w:pPr>
                    <w:pStyle w:val="27"/>
                    <w:jc w:val="center"/>
                    <w:rPr>
                      <w:rFonts w:ascii="Times New Roman" w:hAnsi="Times New Roman" w:eastAsia="宋体"/>
                      <w:sz w:val="18"/>
                      <w:szCs w:val="18"/>
                    </w:rPr>
                  </w:pPr>
                  <w:r>
                    <w:rPr>
                      <w:rFonts w:ascii="Times New Roman" w:hAnsi="Times New Roman" w:eastAsia="宋体"/>
                      <w:sz w:val="18"/>
                      <w:szCs w:val="18"/>
                    </w:rPr>
                    <w:t>建筑物外噪声</w:t>
                  </w:r>
                </w:p>
              </w:tc>
              <w:tc>
                <w:tcPr>
                  <w:tcW w:w="267" w:type="pct"/>
                  <w:vMerge w:val="restart"/>
                  <w:vAlign w:val="center"/>
                </w:tcPr>
                <w:p w14:paraId="15FAD94F">
                  <w:pPr>
                    <w:pStyle w:val="27"/>
                    <w:jc w:val="center"/>
                    <w:rPr>
                      <w:rFonts w:ascii="Times New Roman" w:hAnsi="Times New Roman" w:eastAsia="宋体"/>
                      <w:sz w:val="18"/>
                      <w:szCs w:val="18"/>
                    </w:rPr>
                  </w:pPr>
                  <w:r>
                    <w:rPr>
                      <w:rFonts w:ascii="Times New Roman" w:hAnsi="Times New Roman" w:eastAsia="宋体"/>
                      <w:sz w:val="18"/>
                      <w:szCs w:val="18"/>
                    </w:rPr>
                    <w:t>噪声持续时间</w:t>
                  </w:r>
                </w:p>
              </w:tc>
            </w:tr>
            <w:tr w14:paraId="13B4B7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2" w:type="pct"/>
                  <w:vMerge w:val="continue"/>
                  <w:shd w:val="clear" w:color="auto" w:fill="FFFFFF"/>
                  <w:vAlign w:val="center"/>
                </w:tcPr>
                <w:p w14:paraId="5F657A5D">
                  <w:pPr>
                    <w:pStyle w:val="27"/>
                    <w:jc w:val="center"/>
                    <w:rPr>
                      <w:rFonts w:ascii="Times New Roman" w:hAnsi="Times New Roman" w:eastAsia="宋体"/>
                      <w:b/>
                      <w:bCs/>
                      <w:sz w:val="18"/>
                      <w:szCs w:val="18"/>
                    </w:rPr>
                  </w:pPr>
                </w:p>
              </w:tc>
              <w:tc>
                <w:tcPr>
                  <w:tcW w:w="219" w:type="pct"/>
                  <w:vMerge w:val="continue"/>
                  <w:shd w:val="clear" w:color="auto" w:fill="FFFFFF"/>
                  <w:vAlign w:val="center"/>
                </w:tcPr>
                <w:p w14:paraId="303064C8">
                  <w:pPr>
                    <w:pStyle w:val="27"/>
                    <w:jc w:val="center"/>
                    <w:rPr>
                      <w:rFonts w:ascii="Times New Roman" w:hAnsi="Times New Roman" w:eastAsia="宋体"/>
                      <w:b/>
                      <w:bCs/>
                      <w:sz w:val="18"/>
                      <w:szCs w:val="18"/>
                    </w:rPr>
                  </w:pPr>
                </w:p>
              </w:tc>
              <w:tc>
                <w:tcPr>
                  <w:tcW w:w="518" w:type="pct"/>
                  <w:vMerge w:val="continue"/>
                  <w:shd w:val="clear" w:color="auto" w:fill="FFFFFF"/>
                  <w:vAlign w:val="center"/>
                </w:tcPr>
                <w:p w14:paraId="30D7BC7C">
                  <w:pPr>
                    <w:pStyle w:val="27"/>
                    <w:jc w:val="center"/>
                    <w:rPr>
                      <w:rFonts w:ascii="Times New Roman" w:hAnsi="Times New Roman" w:eastAsia="宋体"/>
                      <w:b/>
                      <w:bCs/>
                      <w:sz w:val="18"/>
                      <w:szCs w:val="18"/>
                    </w:rPr>
                  </w:pPr>
                </w:p>
              </w:tc>
              <w:tc>
                <w:tcPr>
                  <w:tcW w:w="171" w:type="pct"/>
                  <w:vMerge w:val="continue"/>
                  <w:shd w:val="clear" w:color="auto" w:fill="FFFFFF"/>
                  <w:vAlign w:val="center"/>
                </w:tcPr>
                <w:p w14:paraId="69F85486">
                  <w:pPr>
                    <w:pStyle w:val="27"/>
                    <w:jc w:val="center"/>
                    <w:rPr>
                      <w:rFonts w:ascii="Times New Roman" w:hAnsi="Times New Roman" w:eastAsia="宋体"/>
                      <w:b/>
                      <w:bCs/>
                      <w:sz w:val="18"/>
                      <w:szCs w:val="18"/>
                    </w:rPr>
                  </w:pPr>
                </w:p>
              </w:tc>
              <w:tc>
                <w:tcPr>
                  <w:tcW w:w="443" w:type="pct"/>
                  <w:shd w:val="clear" w:color="auto" w:fill="FFFFFF"/>
                  <w:vAlign w:val="center"/>
                </w:tcPr>
                <w:p w14:paraId="0307A97A">
                  <w:pPr>
                    <w:pStyle w:val="27"/>
                    <w:jc w:val="center"/>
                    <w:rPr>
                      <w:rFonts w:ascii="Times New Roman" w:hAnsi="Times New Roman" w:eastAsia="宋体"/>
                      <w:spacing w:val="-6"/>
                      <w:sz w:val="18"/>
                      <w:szCs w:val="18"/>
                    </w:rPr>
                  </w:pPr>
                  <w:r>
                    <w:rPr>
                      <w:rFonts w:ascii="Times New Roman" w:hAnsi="Times New Roman" w:eastAsia="宋体"/>
                      <w:spacing w:val="-6"/>
                      <w:sz w:val="18"/>
                      <w:szCs w:val="18"/>
                    </w:rPr>
                    <w:t>（声压级/距声源距离）/（dB(A)/m）</w:t>
                  </w:r>
                </w:p>
              </w:tc>
              <w:tc>
                <w:tcPr>
                  <w:tcW w:w="288" w:type="pct"/>
                  <w:shd w:val="clear" w:color="auto" w:fill="FFFFFF"/>
                  <w:vAlign w:val="center"/>
                </w:tcPr>
                <w:p w14:paraId="09F28724">
                  <w:pPr>
                    <w:pStyle w:val="27"/>
                    <w:jc w:val="center"/>
                    <w:rPr>
                      <w:rFonts w:ascii="Times New Roman" w:hAnsi="Times New Roman" w:eastAsia="宋体"/>
                      <w:sz w:val="18"/>
                      <w:szCs w:val="18"/>
                    </w:rPr>
                  </w:pPr>
                  <w:r>
                    <w:rPr>
                      <w:rFonts w:ascii="Times New Roman" w:hAnsi="Times New Roman" w:eastAsia="宋体"/>
                      <w:sz w:val="18"/>
                      <w:szCs w:val="18"/>
                    </w:rPr>
                    <w:t>声功率级/dB(A)</w:t>
                  </w:r>
                </w:p>
              </w:tc>
              <w:tc>
                <w:tcPr>
                  <w:tcW w:w="261" w:type="pct"/>
                  <w:vMerge w:val="continue"/>
                  <w:shd w:val="clear" w:color="auto" w:fill="FFFFFF"/>
                  <w:vAlign w:val="center"/>
                </w:tcPr>
                <w:p w14:paraId="09110600">
                  <w:pPr>
                    <w:pStyle w:val="27"/>
                    <w:jc w:val="center"/>
                    <w:rPr>
                      <w:rFonts w:ascii="Times New Roman" w:hAnsi="Times New Roman" w:eastAsia="宋体"/>
                      <w:sz w:val="18"/>
                      <w:szCs w:val="18"/>
                    </w:rPr>
                  </w:pPr>
                </w:p>
              </w:tc>
              <w:tc>
                <w:tcPr>
                  <w:tcW w:w="266" w:type="pct"/>
                  <w:shd w:val="clear" w:color="auto" w:fill="FFFFFF"/>
                  <w:vAlign w:val="center"/>
                </w:tcPr>
                <w:p w14:paraId="662B0FE1">
                  <w:pPr>
                    <w:pStyle w:val="27"/>
                    <w:jc w:val="center"/>
                    <w:rPr>
                      <w:rFonts w:ascii="Times New Roman" w:hAnsi="Times New Roman" w:eastAsia="宋体"/>
                      <w:sz w:val="18"/>
                      <w:szCs w:val="18"/>
                    </w:rPr>
                  </w:pPr>
                  <w:r>
                    <w:rPr>
                      <w:rFonts w:ascii="Times New Roman" w:hAnsi="Times New Roman" w:eastAsia="宋体"/>
                      <w:sz w:val="18"/>
                      <w:szCs w:val="18"/>
                    </w:rPr>
                    <w:t>X</w:t>
                  </w:r>
                </w:p>
              </w:tc>
              <w:tc>
                <w:tcPr>
                  <w:tcW w:w="271" w:type="pct"/>
                  <w:shd w:val="clear" w:color="auto" w:fill="FFFFFF"/>
                  <w:vAlign w:val="center"/>
                </w:tcPr>
                <w:p w14:paraId="35804537">
                  <w:pPr>
                    <w:pStyle w:val="27"/>
                    <w:jc w:val="center"/>
                    <w:rPr>
                      <w:rFonts w:ascii="Times New Roman" w:hAnsi="Times New Roman" w:eastAsia="宋体"/>
                      <w:sz w:val="18"/>
                      <w:szCs w:val="18"/>
                    </w:rPr>
                  </w:pPr>
                  <w:r>
                    <w:rPr>
                      <w:rFonts w:ascii="Times New Roman" w:hAnsi="Times New Roman" w:eastAsia="宋体"/>
                      <w:sz w:val="18"/>
                      <w:szCs w:val="18"/>
                    </w:rPr>
                    <w:t>Y</w:t>
                  </w:r>
                </w:p>
              </w:tc>
              <w:tc>
                <w:tcPr>
                  <w:tcW w:w="231" w:type="pct"/>
                  <w:shd w:val="clear" w:color="auto" w:fill="FFFFFF"/>
                  <w:vAlign w:val="center"/>
                </w:tcPr>
                <w:p w14:paraId="2BCAD2D3">
                  <w:pPr>
                    <w:pStyle w:val="27"/>
                    <w:jc w:val="center"/>
                    <w:rPr>
                      <w:rFonts w:ascii="Times New Roman" w:hAnsi="Times New Roman" w:eastAsia="宋体"/>
                      <w:sz w:val="18"/>
                      <w:szCs w:val="18"/>
                    </w:rPr>
                  </w:pPr>
                  <w:r>
                    <w:rPr>
                      <w:rFonts w:ascii="Times New Roman" w:hAnsi="Times New Roman" w:eastAsia="宋体"/>
                      <w:sz w:val="18"/>
                      <w:szCs w:val="18"/>
                    </w:rPr>
                    <w:t>Z</w:t>
                  </w:r>
                </w:p>
              </w:tc>
              <w:tc>
                <w:tcPr>
                  <w:tcW w:w="251" w:type="pct"/>
                  <w:vMerge w:val="continue"/>
                  <w:shd w:val="clear" w:color="auto" w:fill="FFFFFF"/>
                  <w:vAlign w:val="center"/>
                </w:tcPr>
                <w:p w14:paraId="5F3A1BD1">
                  <w:pPr>
                    <w:pStyle w:val="27"/>
                    <w:jc w:val="center"/>
                    <w:rPr>
                      <w:rFonts w:ascii="Times New Roman" w:hAnsi="Times New Roman" w:eastAsia="宋体"/>
                      <w:b/>
                      <w:bCs/>
                      <w:sz w:val="18"/>
                      <w:szCs w:val="18"/>
                    </w:rPr>
                  </w:pPr>
                </w:p>
              </w:tc>
              <w:tc>
                <w:tcPr>
                  <w:tcW w:w="326" w:type="pct"/>
                  <w:vMerge w:val="continue"/>
                  <w:shd w:val="clear" w:color="auto" w:fill="FFFFFF"/>
                  <w:vAlign w:val="center"/>
                </w:tcPr>
                <w:p w14:paraId="27B76CF0">
                  <w:pPr>
                    <w:pStyle w:val="27"/>
                    <w:jc w:val="center"/>
                    <w:rPr>
                      <w:rFonts w:ascii="Times New Roman" w:hAnsi="Times New Roman" w:eastAsia="宋体"/>
                      <w:b/>
                      <w:bCs/>
                      <w:sz w:val="18"/>
                      <w:szCs w:val="18"/>
                    </w:rPr>
                  </w:pPr>
                </w:p>
              </w:tc>
              <w:tc>
                <w:tcPr>
                  <w:tcW w:w="278" w:type="pct"/>
                  <w:vMerge w:val="continue"/>
                  <w:shd w:val="clear" w:color="auto" w:fill="FFFFFF"/>
                  <w:vAlign w:val="center"/>
                </w:tcPr>
                <w:p w14:paraId="64068D35">
                  <w:pPr>
                    <w:pStyle w:val="27"/>
                    <w:jc w:val="center"/>
                    <w:rPr>
                      <w:rFonts w:ascii="Times New Roman" w:hAnsi="Times New Roman" w:eastAsia="宋体"/>
                      <w:b/>
                      <w:bCs/>
                      <w:sz w:val="18"/>
                      <w:szCs w:val="18"/>
                    </w:rPr>
                  </w:pPr>
                </w:p>
              </w:tc>
              <w:tc>
                <w:tcPr>
                  <w:tcW w:w="360" w:type="pct"/>
                  <w:vMerge w:val="continue"/>
                  <w:shd w:val="clear" w:color="auto" w:fill="FFFFFF"/>
                  <w:vAlign w:val="center"/>
                </w:tcPr>
                <w:p w14:paraId="3158536D">
                  <w:pPr>
                    <w:pStyle w:val="27"/>
                    <w:jc w:val="center"/>
                    <w:rPr>
                      <w:rFonts w:ascii="Times New Roman" w:hAnsi="Times New Roman" w:eastAsia="宋体"/>
                      <w:b/>
                      <w:bCs/>
                      <w:sz w:val="18"/>
                      <w:szCs w:val="18"/>
                    </w:rPr>
                  </w:pPr>
                </w:p>
              </w:tc>
              <w:tc>
                <w:tcPr>
                  <w:tcW w:w="321" w:type="pct"/>
                  <w:shd w:val="clear" w:color="auto" w:fill="FFFFFF"/>
                  <w:vAlign w:val="center"/>
                </w:tcPr>
                <w:p w14:paraId="3A8FCDFE">
                  <w:pPr>
                    <w:pStyle w:val="27"/>
                    <w:jc w:val="center"/>
                    <w:rPr>
                      <w:rFonts w:ascii="Times New Roman" w:hAnsi="Times New Roman" w:eastAsia="宋体"/>
                      <w:sz w:val="18"/>
                      <w:szCs w:val="18"/>
                    </w:rPr>
                  </w:pPr>
                  <w:r>
                    <w:rPr>
                      <w:rFonts w:ascii="Times New Roman" w:hAnsi="Times New Roman" w:eastAsia="宋体"/>
                      <w:sz w:val="18"/>
                      <w:szCs w:val="18"/>
                    </w:rPr>
                    <w:t>声压级/dB(A)</w:t>
                  </w:r>
                </w:p>
              </w:tc>
              <w:tc>
                <w:tcPr>
                  <w:tcW w:w="369" w:type="pct"/>
                  <w:shd w:val="clear" w:color="auto" w:fill="FFFFFF"/>
                  <w:vAlign w:val="center"/>
                </w:tcPr>
                <w:p w14:paraId="66EFDCC1">
                  <w:pPr>
                    <w:pStyle w:val="27"/>
                    <w:jc w:val="center"/>
                    <w:rPr>
                      <w:rFonts w:ascii="Times New Roman" w:hAnsi="Times New Roman" w:eastAsia="宋体"/>
                      <w:sz w:val="18"/>
                      <w:szCs w:val="18"/>
                    </w:rPr>
                  </w:pPr>
                  <w:r>
                    <w:rPr>
                      <w:rFonts w:ascii="Times New Roman" w:hAnsi="Times New Roman" w:eastAsia="宋体"/>
                      <w:sz w:val="18"/>
                      <w:szCs w:val="18"/>
                    </w:rPr>
                    <w:t>建筑物外距离/m</w:t>
                  </w:r>
                </w:p>
              </w:tc>
              <w:tc>
                <w:tcPr>
                  <w:tcW w:w="267" w:type="pct"/>
                  <w:vMerge w:val="continue"/>
                  <w:shd w:val="clear" w:color="auto" w:fill="FFFFFF"/>
                  <w:vAlign w:val="center"/>
                </w:tcPr>
                <w:p w14:paraId="07A3D4F2">
                  <w:pPr>
                    <w:pStyle w:val="27"/>
                    <w:jc w:val="center"/>
                    <w:rPr>
                      <w:rFonts w:ascii="Times New Roman" w:hAnsi="Times New Roman" w:eastAsia="宋体"/>
                      <w:b/>
                      <w:bCs/>
                      <w:sz w:val="18"/>
                      <w:szCs w:val="18"/>
                    </w:rPr>
                  </w:pPr>
                </w:p>
              </w:tc>
            </w:tr>
            <w:tr w14:paraId="0A0135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2" w:type="pct"/>
                  <w:shd w:val="clear" w:color="auto" w:fill="FFFFFF"/>
                  <w:vAlign w:val="center"/>
                </w:tcPr>
                <w:p w14:paraId="06D41B2C">
                  <w:pPr>
                    <w:pStyle w:val="27"/>
                    <w:jc w:val="center"/>
                    <w:rPr>
                      <w:rFonts w:ascii="Times New Roman" w:hAnsi="Times New Roman" w:eastAsia="宋体"/>
                      <w:sz w:val="18"/>
                      <w:szCs w:val="18"/>
                    </w:rPr>
                  </w:pPr>
                  <w:bookmarkStart w:id="12" w:name="OLE_LINK3" w:colFirst="4" w:colLast="4"/>
                  <w:bookmarkStart w:id="13" w:name="OLE_LINK4" w:colFirst="9" w:colLast="9"/>
                  <w:r>
                    <w:rPr>
                      <w:rFonts w:ascii="Times New Roman" w:hAnsi="Times New Roman" w:eastAsia="宋体"/>
                      <w:sz w:val="18"/>
                      <w:szCs w:val="18"/>
                    </w:rPr>
                    <w:t>1</w:t>
                  </w:r>
                </w:p>
              </w:tc>
              <w:tc>
                <w:tcPr>
                  <w:tcW w:w="219" w:type="pct"/>
                  <w:vMerge w:val="restart"/>
                  <w:shd w:val="clear" w:color="auto" w:fill="FFFFFF"/>
                  <w:vAlign w:val="center"/>
                </w:tcPr>
                <w:p w14:paraId="356884BD">
                  <w:pPr>
                    <w:pStyle w:val="27"/>
                    <w:jc w:val="center"/>
                    <w:rPr>
                      <w:rFonts w:ascii="Times New Roman" w:hAnsi="Times New Roman" w:eastAsia="宋体"/>
                      <w:sz w:val="18"/>
                      <w:szCs w:val="18"/>
                    </w:rPr>
                  </w:pPr>
                  <w:r>
                    <w:rPr>
                      <w:rFonts w:ascii="Times New Roman" w:hAnsi="Times New Roman" w:eastAsia="宋体"/>
                      <w:sz w:val="18"/>
                      <w:szCs w:val="18"/>
                    </w:rPr>
                    <w:t>生产车间</w:t>
                  </w:r>
                </w:p>
              </w:tc>
              <w:tc>
                <w:tcPr>
                  <w:tcW w:w="518" w:type="pct"/>
                  <w:shd w:val="clear" w:color="auto" w:fill="FFFFFF"/>
                  <w:vAlign w:val="center"/>
                </w:tcPr>
                <w:p w14:paraId="2BE92C4B">
                  <w:pPr>
                    <w:jc w:val="center"/>
                    <w:rPr>
                      <w:rFonts w:ascii="Times New Roman" w:hAnsi="Times New Roman" w:eastAsia="宋体" w:cs="Times New Roman"/>
                      <w:color w:val="000000"/>
                      <w:spacing w:val="-10"/>
                      <w:kern w:val="0"/>
                      <w:sz w:val="18"/>
                      <w:szCs w:val="18"/>
                      <w:lang w:val="en-US" w:eastAsia="zh-CN" w:bidi="ar-SA"/>
                    </w:rPr>
                  </w:pPr>
                  <w:r>
                    <w:rPr>
                      <w:rFonts w:hint="eastAsia"/>
                      <w:sz w:val="18"/>
                      <w:szCs w:val="18"/>
                      <w:lang w:eastAsia="zh-CN"/>
                    </w:rPr>
                    <w:t>推料机</w:t>
                  </w:r>
                </w:p>
              </w:tc>
              <w:tc>
                <w:tcPr>
                  <w:tcW w:w="171" w:type="pct"/>
                  <w:shd w:val="clear" w:color="auto" w:fill="FFFFFF"/>
                  <w:vAlign w:val="center"/>
                </w:tcPr>
                <w:p w14:paraId="6B35B618">
                  <w:pPr>
                    <w:bidi w:val="0"/>
                    <w:jc w:val="center"/>
                    <w:rPr>
                      <w:rFonts w:ascii="Times New Roman" w:hAnsi="Times New Roman" w:eastAsia="宋体" w:cs="Times New Roman"/>
                      <w:color w:val="000000"/>
                      <w:spacing w:val="-10"/>
                      <w:kern w:val="0"/>
                      <w:sz w:val="18"/>
                      <w:szCs w:val="18"/>
                      <w:lang w:val="en-US" w:eastAsia="zh-CN" w:bidi="ar-SA"/>
                    </w:rPr>
                  </w:pPr>
                  <w:r>
                    <w:rPr>
                      <w:rFonts w:hint="eastAsia" w:cs="Times New Roman"/>
                      <w:color w:val="auto"/>
                      <w:sz w:val="18"/>
                      <w:szCs w:val="18"/>
                      <w:lang w:val="en-US" w:eastAsia="zh-CN"/>
                    </w:rPr>
                    <w:t>1</w:t>
                  </w:r>
                </w:p>
              </w:tc>
              <w:tc>
                <w:tcPr>
                  <w:tcW w:w="443" w:type="pct"/>
                  <w:shd w:val="clear" w:color="auto" w:fill="FFFFFF"/>
                  <w:vAlign w:val="center"/>
                </w:tcPr>
                <w:p w14:paraId="17328748">
                  <w:pPr>
                    <w:jc w:val="center"/>
                    <w:rPr>
                      <w:sz w:val="18"/>
                      <w:szCs w:val="18"/>
                    </w:rPr>
                  </w:pPr>
                  <w:r>
                    <w:rPr>
                      <w:sz w:val="18"/>
                      <w:szCs w:val="18"/>
                    </w:rPr>
                    <w:t>/</w:t>
                  </w:r>
                </w:p>
              </w:tc>
              <w:tc>
                <w:tcPr>
                  <w:tcW w:w="288" w:type="pct"/>
                  <w:shd w:val="clear" w:color="auto" w:fill="FFFFFF"/>
                  <w:vAlign w:val="center"/>
                </w:tcPr>
                <w:p w14:paraId="5140E0E7">
                  <w:pPr>
                    <w:spacing w:line="320" w:lineRule="exact"/>
                    <w:jc w:val="center"/>
                    <w:rPr>
                      <w:rFonts w:hint="default" w:eastAsia="宋体"/>
                      <w:sz w:val="18"/>
                      <w:szCs w:val="18"/>
                      <w:lang w:val="en-US" w:eastAsia="zh-CN"/>
                    </w:rPr>
                  </w:pPr>
                  <w:r>
                    <w:rPr>
                      <w:rFonts w:hint="default" w:ascii="Times New Roman" w:hAnsi="Times New Roman" w:cs="Times New Roman"/>
                      <w:color w:val="auto"/>
                      <w:sz w:val="18"/>
                      <w:szCs w:val="18"/>
                    </w:rPr>
                    <w:t>85</w:t>
                  </w:r>
                </w:p>
              </w:tc>
              <w:tc>
                <w:tcPr>
                  <w:tcW w:w="261" w:type="pct"/>
                  <w:vMerge w:val="restart"/>
                  <w:shd w:val="clear" w:color="auto" w:fill="FFFFFF"/>
                  <w:vAlign w:val="center"/>
                </w:tcPr>
                <w:p w14:paraId="5A0CDAB3">
                  <w:pPr>
                    <w:pStyle w:val="27"/>
                    <w:jc w:val="center"/>
                    <w:rPr>
                      <w:rFonts w:ascii="Times New Roman" w:hAnsi="Times New Roman" w:eastAsia="宋体"/>
                      <w:sz w:val="18"/>
                      <w:szCs w:val="18"/>
                    </w:rPr>
                  </w:pPr>
                  <w:r>
                    <w:rPr>
                      <w:rFonts w:ascii="Times New Roman" w:hAnsi="Times New Roman" w:eastAsia="宋体"/>
                      <w:sz w:val="18"/>
                      <w:szCs w:val="18"/>
                    </w:rPr>
                    <w:t>减震基础、软连接、隔声门窗</w:t>
                  </w:r>
                </w:p>
              </w:tc>
              <w:tc>
                <w:tcPr>
                  <w:tcW w:w="266" w:type="pct"/>
                  <w:shd w:val="clear" w:color="auto" w:fill="FFFFFF"/>
                  <w:vAlign w:val="center"/>
                </w:tcPr>
                <w:p w14:paraId="5ACC63A5">
                  <w:pPr>
                    <w:pStyle w:val="27"/>
                    <w:ind w:firstLine="0" w:firstLineChars="0"/>
                    <w:jc w:val="center"/>
                    <w:rPr>
                      <w:rFonts w:hint="default" w:ascii="Times New Roman" w:hAnsi="Times New Roman" w:eastAsia="宋体"/>
                      <w:sz w:val="18"/>
                      <w:szCs w:val="18"/>
                      <w:lang w:val="en-US" w:eastAsia="zh-CN"/>
                    </w:rPr>
                  </w:pPr>
                  <w:r>
                    <w:rPr>
                      <w:rFonts w:hint="eastAsia" w:ascii="Times New Roman" w:hAnsi="Times New Roman" w:cs="Times New Roman"/>
                      <w:color w:val="auto"/>
                      <w:sz w:val="18"/>
                      <w:szCs w:val="18"/>
                      <w:lang w:val="en-US" w:eastAsia="zh-CN"/>
                    </w:rPr>
                    <w:t>23</w:t>
                  </w:r>
                </w:p>
              </w:tc>
              <w:tc>
                <w:tcPr>
                  <w:tcW w:w="271" w:type="pct"/>
                  <w:shd w:val="clear" w:color="auto" w:fill="FFFFFF"/>
                  <w:vAlign w:val="center"/>
                </w:tcPr>
                <w:p w14:paraId="7E7B33DE">
                  <w:pPr>
                    <w:pStyle w:val="27"/>
                    <w:ind w:firstLine="0" w:firstLineChars="0"/>
                    <w:jc w:val="center"/>
                    <w:rPr>
                      <w:rFonts w:hint="default" w:ascii="Times New Roman" w:hAnsi="Times New Roman" w:eastAsia="宋体"/>
                      <w:sz w:val="18"/>
                      <w:szCs w:val="18"/>
                      <w:lang w:val="en-US" w:eastAsia="zh-CN"/>
                    </w:rPr>
                  </w:pPr>
                  <w:r>
                    <w:rPr>
                      <w:rFonts w:hint="default" w:ascii="Times New Roman" w:hAnsi="Times New Roman" w:cs="Times New Roman"/>
                      <w:color w:val="auto"/>
                      <w:sz w:val="18"/>
                      <w:szCs w:val="18"/>
                      <w:lang w:val="en-US" w:eastAsia="zh-CN"/>
                    </w:rPr>
                    <w:t>5</w:t>
                  </w:r>
                  <w:r>
                    <w:rPr>
                      <w:rFonts w:hint="default" w:ascii="Times New Roman" w:hAnsi="Times New Roman" w:cs="Times New Roman"/>
                      <w:color w:val="auto"/>
                      <w:sz w:val="18"/>
                      <w:szCs w:val="18"/>
                    </w:rPr>
                    <w:t>0</w:t>
                  </w:r>
                </w:p>
              </w:tc>
              <w:tc>
                <w:tcPr>
                  <w:tcW w:w="231" w:type="pct"/>
                  <w:shd w:val="clear" w:color="auto" w:fill="FFFFFF"/>
                  <w:vAlign w:val="center"/>
                </w:tcPr>
                <w:p w14:paraId="6B5E95B2">
                  <w:pPr>
                    <w:jc w:val="center"/>
                    <w:rPr>
                      <w:rFonts w:hint="eastAsia" w:eastAsia="宋体"/>
                      <w:sz w:val="18"/>
                      <w:szCs w:val="18"/>
                      <w:lang w:eastAsia="zh-CN"/>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115E330B">
                  <w:pPr>
                    <w:pStyle w:val="27"/>
                    <w:ind w:firstLine="0" w:firstLineChars="0"/>
                    <w:jc w:val="center"/>
                    <w:rPr>
                      <w:rFonts w:hint="default" w:ascii="Times New Roman" w:hAnsi="Times New Roman" w:eastAsia="宋体"/>
                      <w:sz w:val="18"/>
                      <w:szCs w:val="18"/>
                      <w:lang w:val="en-US" w:eastAsia="zh-CN"/>
                    </w:rPr>
                  </w:pPr>
                  <w:r>
                    <w:rPr>
                      <w:rFonts w:hint="eastAsia" w:ascii="Times New Roman" w:hAnsi="Times New Roman" w:cs="Times New Roman"/>
                      <w:color w:val="auto"/>
                      <w:sz w:val="18"/>
                      <w:szCs w:val="18"/>
                      <w:lang w:val="en-US" w:eastAsia="zh-CN"/>
                    </w:rPr>
                    <w:t>N</w:t>
                  </w:r>
                  <w:r>
                    <w:rPr>
                      <w:rFonts w:hint="default" w:ascii="Times New Roman" w:hAnsi="Times New Roman" w:cs="Times New Roman"/>
                      <w:color w:val="auto"/>
                      <w:sz w:val="18"/>
                      <w:szCs w:val="18"/>
                      <w:lang w:val="en-US" w:eastAsia="zh-CN"/>
                    </w:rPr>
                    <w:t>10</w:t>
                  </w:r>
                </w:p>
              </w:tc>
              <w:tc>
                <w:tcPr>
                  <w:tcW w:w="326" w:type="pct"/>
                  <w:shd w:val="clear" w:color="auto" w:fill="FFFFFF"/>
                  <w:vAlign w:val="bottom"/>
                </w:tcPr>
                <w:p w14:paraId="400EDF86">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65.0 </w:t>
                  </w:r>
                </w:p>
              </w:tc>
              <w:tc>
                <w:tcPr>
                  <w:tcW w:w="278" w:type="pct"/>
                  <w:shd w:val="clear" w:color="auto" w:fill="FFFFFF"/>
                  <w:vAlign w:val="center"/>
                </w:tcPr>
                <w:p w14:paraId="4FE54103">
                  <w:pPr>
                    <w:jc w:val="center"/>
                    <w:rPr>
                      <w:kern w:val="0"/>
                      <w:sz w:val="18"/>
                      <w:szCs w:val="18"/>
                    </w:rPr>
                  </w:pPr>
                  <w:r>
                    <w:rPr>
                      <w:kern w:val="0"/>
                      <w:sz w:val="18"/>
                      <w:szCs w:val="18"/>
                    </w:rPr>
                    <w:t>昼/夜</w:t>
                  </w:r>
                </w:p>
              </w:tc>
              <w:tc>
                <w:tcPr>
                  <w:tcW w:w="360" w:type="pct"/>
                  <w:shd w:val="clear" w:color="auto" w:fill="FFFFFF"/>
                  <w:vAlign w:val="center"/>
                </w:tcPr>
                <w:p w14:paraId="1D1B1FC0">
                  <w:pPr>
                    <w:jc w:val="center"/>
                    <w:rPr>
                      <w:kern w:val="0"/>
                      <w:sz w:val="18"/>
                      <w:szCs w:val="18"/>
                    </w:rPr>
                  </w:pPr>
                  <w:r>
                    <w:rPr>
                      <w:kern w:val="0"/>
                      <w:sz w:val="18"/>
                      <w:szCs w:val="18"/>
                    </w:rPr>
                    <w:t>20</w:t>
                  </w:r>
                </w:p>
              </w:tc>
              <w:tc>
                <w:tcPr>
                  <w:tcW w:w="321" w:type="pct"/>
                  <w:shd w:val="clear" w:color="auto" w:fill="FFFFFF"/>
                  <w:vAlign w:val="bottom"/>
                </w:tcPr>
                <w:p w14:paraId="66F8A64F">
                  <w:pPr>
                    <w:keepNext w:val="0"/>
                    <w:keepLines w:val="0"/>
                    <w:widowControl/>
                    <w:suppressLineNumbers w:val="0"/>
                    <w:jc w:val="center"/>
                    <w:textAlignment w:val="bottom"/>
                    <w:rPr>
                      <w:rFonts w:ascii="Times New Roman" w:hAnsi="Times New Roman" w:eastAsia="宋体" w:cs="Times New Roman"/>
                      <w:kern w:val="0"/>
                      <w:sz w:val="18"/>
                      <w:szCs w:val="18"/>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 xml:space="preserve">5.0 </w:t>
                  </w:r>
                </w:p>
              </w:tc>
              <w:tc>
                <w:tcPr>
                  <w:tcW w:w="369" w:type="pct"/>
                  <w:shd w:val="clear" w:color="auto" w:fill="FFFFFF"/>
                  <w:vAlign w:val="center"/>
                </w:tcPr>
                <w:p w14:paraId="4AC2C9BA">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restart"/>
                  <w:shd w:val="clear" w:color="auto" w:fill="FFFFFF"/>
                  <w:vAlign w:val="center"/>
                </w:tcPr>
                <w:p w14:paraId="37575C89">
                  <w:pPr>
                    <w:jc w:val="center"/>
                    <w:rPr>
                      <w:sz w:val="18"/>
                      <w:szCs w:val="18"/>
                    </w:rPr>
                  </w:pPr>
                  <w:r>
                    <w:rPr>
                      <w:rFonts w:hint="eastAsia"/>
                      <w:sz w:val="18"/>
                      <w:szCs w:val="18"/>
                      <w:lang w:val="en-US" w:eastAsia="zh-CN"/>
                    </w:rPr>
                    <w:t>2400</w:t>
                  </w:r>
                  <w:r>
                    <w:rPr>
                      <w:sz w:val="18"/>
                      <w:szCs w:val="18"/>
                    </w:rPr>
                    <w:t>h/a</w:t>
                  </w:r>
                </w:p>
              </w:tc>
            </w:tr>
            <w:tr w14:paraId="0588EA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2" w:type="pct"/>
                  <w:shd w:val="clear" w:color="auto" w:fill="FFFFFF"/>
                  <w:vAlign w:val="center"/>
                </w:tcPr>
                <w:p w14:paraId="1497918D">
                  <w:pPr>
                    <w:pStyle w:val="27"/>
                    <w:jc w:val="center"/>
                    <w:rPr>
                      <w:rFonts w:ascii="Times New Roman" w:hAnsi="Times New Roman" w:eastAsia="宋体"/>
                      <w:sz w:val="18"/>
                      <w:szCs w:val="18"/>
                    </w:rPr>
                  </w:pPr>
                  <w:r>
                    <w:rPr>
                      <w:rFonts w:ascii="Times New Roman" w:hAnsi="Times New Roman" w:eastAsia="宋体"/>
                      <w:sz w:val="18"/>
                      <w:szCs w:val="18"/>
                    </w:rPr>
                    <w:t>2</w:t>
                  </w:r>
                </w:p>
              </w:tc>
              <w:tc>
                <w:tcPr>
                  <w:tcW w:w="219" w:type="pct"/>
                  <w:vMerge w:val="continue"/>
                  <w:shd w:val="clear" w:color="auto" w:fill="FFFFFF"/>
                  <w:vAlign w:val="center"/>
                </w:tcPr>
                <w:p w14:paraId="2F7729B6">
                  <w:pPr>
                    <w:pStyle w:val="27"/>
                    <w:jc w:val="center"/>
                    <w:rPr>
                      <w:rFonts w:ascii="Times New Roman" w:hAnsi="Times New Roman" w:eastAsia="宋体"/>
                      <w:sz w:val="18"/>
                      <w:szCs w:val="18"/>
                    </w:rPr>
                  </w:pPr>
                </w:p>
              </w:tc>
              <w:tc>
                <w:tcPr>
                  <w:tcW w:w="518" w:type="pct"/>
                  <w:shd w:val="clear" w:color="auto" w:fill="FFFFFF"/>
                  <w:vAlign w:val="center"/>
                </w:tcPr>
                <w:p w14:paraId="47CFFCB5">
                  <w:pPr>
                    <w:jc w:val="center"/>
                    <w:rPr>
                      <w:rFonts w:ascii="Times New Roman" w:hAnsi="Times New Roman" w:eastAsia="宋体" w:cs="Times New Roman"/>
                      <w:color w:val="000000"/>
                      <w:spacing w:val="-10"/>
                      <w:kern w:val="0"/>
                      <w:sz w:val="18"/>
                      <w:szCs w:val="18"/>
                      <w:lang w:val="en-US" w:eastAsia="zh-CN" w:bidi="ar-SA"/>
                    </w:rPr>
                  </w:pPr>
                  <w:r>
                    <w:rPr>
                      <w:rFonts w:hint="eastAsia"/>
                      <w:sz w:val="18"/>
                      <w:szCs w:val="18"/>
                      <w:lang w:eastAsia="zh-CN"/>
                    </w:rPr>
                    <w:t>振动上料斗</w:t>
                  </w:r>
                </w:p>
              </w:tc>
              <w:tc>
                <w:tcPr>
                  <w:tcW w:w="171" w:type="pct"/>
                  <w:shd w:val="clear" w:color="auto" w:fill="FFFFFF"/>
                  <w:vAlign w:val="center"/>
                </w:tcPr>
                <w:p w14:paraId="03366C33">
                  <w:pPr>
                    <w:bidi w:val="0"/>
                    <w:jc w:val="center"/>
                    <w:rPr>
                      <w:rFonts w:hint="default" w:ascii="Times New Roman" w:hAnsi="Times New Roman" w:eastAsia="宋体" w:cs="Times New Roman"/>
                      <w:color w:val="000000"/>
                      <w:spacing w:val="-10"/>
                      <w:kern w:val="0"/>
                      <w:sz w:val="18"/>
                      <w:szCs w:val="18"/>
                      <w:lang w:val="en-US" w:eastAsia="zh-CN" w:bidi="ar-SA"/>
                    </w:rPr>
                  </w:pPr>
                  <w:r>
                    <w:rPr>
                      <w:rFonts w:hint="eastAsia" w:cs="Times New Roman"/>
                      <w:color w:val="auto"/>
                      <w:sz w:val="18"/>
                      <w:szCs w:val="18"/>
                      <w:lang w:val="en-US" w:eastAsia="zh-CN"/>
                    </w:rPr>
                    <w:t>1</w:t>
                  </w:r>
                </w:p>
              </w:tc>
              <w:tc>
                <w:tcPr>
                  <w:tcW w:w="443" w:type="pct"/>
                  <w:shd w:val="clear" w:color="auto" w:fill="FFFFFF"/>
                  <w:vAlign w:val="center"/>
                </w:tcPr>
                <w:p w14:paraId="7CC1468F">
                  <w:pPr>
                    <w:jc w:val="center"/>
                    <w:rPr>
                      <w:sz w:val="18"/>
                      <w:szCs w:val="18"/>
                    </w:rPr>
                  </w:pPr>
                  <w:r>
                    <w:rPr>
                      <w:sz w:val="18"/>
                      <w:szCs w:val="18"/>
                    </w:rPr>
                    <w:t>/</w:t>
                  </w:r>
                </w:p>
              </w:tc>
              <w:tc>
                <w:tcPr>
                  <w:tcW w:w="288" w:type="pct"/>
                  <w:shd w:val="clear" w:color="auto" w:fill="FFFFFF"/>
                  <w:vAlign w:val="center"/>
                </w:tcPr>
                <w:p w14:paraId="49CDC0A9">
                  <w:pPr>
                    <w:spacing w:line="320" w:lineRule="exact"/>
                    <w:jc w:val="center"/>
                    <w:rPr>
                      <w:sz w:val="18"/>
                      <w:szCs w:val="18"/>
                    </w:rPr>
                  </w:pPr>
                  <w:r>
                    <w:rPr>
                      <w:rFonts w:hint="default" w:ascii="Times New Roman" w:hAnsi="Times New Roman" w:cs="Times New Roman"/>
                      <w:color w:val="auto"/>
                      <w:sz w:val="18"/>
                      <w:szCs w:val="18"/>
                    </w:rPr>
                    <w:t>80</w:t>
                  </w:r>
                </w:p>
              </w:tc>
              <w:tc>
                <w:tcPr>
                  <w:tcW w:w="261" w:type="pct"/>
                  <w:vMerge w:val="continue"/>
                  <w:shd w:val="clear" w:color="auto" w:fill="FFFFFF"/>
                  <w:vAlign w:val="center"/>
                </w:tcPr>
                <w:p w14:paraId="3E1BD327">
                  <w:pPr>
                    <w:pStyle w:val="27"/>
                    <w:jc w:val="center"/>
                    <w:rPr>
                      <w:rFonts w:ascii="Times New Roman" w:hAnsi="Times New Roman" w:eastAsia="宋体"/>
                      <w:sz w:val="18"/>
                      <w:szCs w:val="18"/>
                    </w:rPr>
                  </w:pPr>
                </w:p>
              </w:tc>
              <w:tc>
                <w:tcPr>
                  <w:tcW w:w="266" w:type="pct"/>
                  <w:shd w:val="clear" w:color="auto" w:fill="FFFFFF"/>
                  <w:vAlign w:val="center"/>
                </w:tcPr>
                <w:p w14:paraId="6985961C">
                  <w:pPr>
                    <w:pStyle w:val="27"/>
                    <w:ind w:firstLine="0" w:firstLineChars="0"/>
                    <w:jc w:val="center"/>
                    <w:rPr>
                      <w:rFonts w:hint="default" w:ascii="Times New Roman" w:hAnsi="Times New Roman" w:eastAsia="宋体"/>
                      <w:sz w:val="18"/>
                      <w:szCs w:val="18"/>
                      <w:lang w:val="en-US" w:eastAsia="zh-CN"/>
                    </w:rPr>
                  </w:pPr>
                  <w:r>
                    <w:rPr>
                      <w:rFonts w:hint="eastAsia" w:ascii="Times New Roman" w:hAnsi="Times New Roman" w:eastAsia="宋体" w:cs="Times New Roman"/>
                      <w:color w:val="auto"/>
                      <w:sz w:val="18"/>
                      <w:szCs w:val="18"/>
                      <w:lang w:val="en-US" w:eastAsia="zh-CN"/>
                    </w:rPr>
                    <w:t>25</w:t>
                  </w:r>
                </w:p>
              </w:tc>
              <w:tc>
                <w:tcPr>
                  <w:tcW w:w="271" w:type="pct"/>
                  <w:shd w:val="clear" w:color="auto" w:fill="FFFFFF"/>
                  <w:vAlign w:val="center"/>
                </w:tcPr>
                <w:p w14:paraId="4C366404">
                  <w:pPr>
                    <w:pStyle w:val="27"/>
                    <w:ind w:firstLine="0" w:firstLineChars="0"/>
                    <w:jc w:val="center"/>
                    <w:rPr>
                      <w:rFonts w:hint="default" w:ascii="Times New Roman" w:hAnsi="Times New Roman" w:eastAsia="宋体"/>
                      <w:sz w:val="18"/>
                      <w:szCs w:val="18"/>
                      <w:lang w:val="en-US" w:eastAsia="zh-CN"/>
                    </w:rPr>
                  </w:pPr>
                  <w:r>
                    <w:rPr>
                      <w:rFonts w:hint="default" w:ascii="Times New Roman" w:hAnsi="Times New Roman" w:cs="Times New Roman"/>
                      <w:color w:val="auto"/>
                      <w:sz w:val="18"/>
                      <w:szCs w:val="18"/>
                    </w:rPr>
                    <w:t>40</w:t>
                  </w:r>
                </w:p>
              </w:tc>
              <w:tc>
                <w:tcPr>
                  <w:tcW w:w="231" w:type="pct"/>
                  <w:shd w:val="clear" w:color="auto" w:fill="FFFFFF"/>
                  <w:vAlign w:val="center"/>
                </w:tcPr>
                <w:p w14:paraId="60E4C930">
                  <w:pPr>
                    <w:jc w:val="center"/>
                    <w:rPr>
                      <w:sz w:val="18"/>
                      <w:szCs w:val="18"/>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07764E2B">
                  <w:pPr>
                    <w:pStyle w:val="27"/>
                    <w:ind w:firstLine="0" w:firstLineChars="0"/>
                    <w:jc w:val="center"/>
                    <w:rPr>
                      <w:rFonts w:hint="default" w:ascii="Times New Roman" w:hAnsi="Times New Roman" w:eastAsia="宋体"/>
                      <w:sz w:val="18"/>
                      <w:szCs w:val="18"/>
                      <w:lang w:val="en-US" w:eastAsia="zh-CN"/>
                    </w:rPr>
                  </w:pPr>
                  <w:r>
                    <w:rPr>
                      <w:rFonts w:hint="default" w:ascii="Times New Roman" w:hAnsi="Times New Roman" w:cs="Times New Roman"/>
                      <w:color w:val="auto"/>
                      <w:sz w:val="18"/>
                      <w:szCs w:val="18"/>
                      <w:lang w:val="en-US" w:eastAsia="zh-CN"/>
                    </w:rPr>
                    <w:t>N</w:t>
                  </w:r>
                  <w:r>
                    <w:rPr>
                      <w:rFonts w:hint="eastAsia" w:ascii="Times New Roman" w:hAnsi="Times New Roman" w:cs="Times New Roman"/>
                      <w:color w:val="auto"/>
                      <w:sz w:val="18"/>
                      <w:szCs w:val="18"/>
                      <w:lang w:val="en-US" w:eastAsia="zh-CN"/>
                    </w:rPr>
                    <w:t>20</w:t>
                  </w:r>
                </w:p>
              </w:tc>
              <w:tc>
                <w:tcPr>
                  <w:tcW w:w="326" w:type="pct"/>
                  <w:shd w:val="clear" w:color="auto" w:fill="FFFFFF"/>
                  <w:vAlign w:val="bottom"/>
                </w:tcPr>
                <w:p w14:paraId="756F7299">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54.0 </w:t>
                  </w:r>
                </w:p>
              </w:tc>
              <w:tc>
                <w:tcPr>
                  <w:tcW w:w="278" w:type="pct"/>
                  <w:shd w:val="clear" w:color="auto" w:fill="FFFFFF"/>
                  <w:vAlign w:val="center"/>
                </w:tcPr>
                <w:p w14:paraId="029F3A86">
                  <w:pPr>
                    <w:jc w:val="center"/>
                    <w:rPr>
                      <w:kern w:val="0"/>
                      <w:sz w:val="18"/>
                      <w:szCs w:val="18"/>
                    </w:rPr>
                  </w:pPr>
                  <w:r>
                    <w:rPr>
                      <w:kern w:val="0"/>
                      <w:sz w:val="18"/>
                      <w:szCs w:val="18"/>
                    </w:rPr>
                    <w:t>昼/夜</w:t>
                  </w:r>
                </w:p>
              </w:tc>
              <w:tc>
                <w:tcPr>
                  <w:tcW w:w="360" w:type="pct"/>
                  <w:shd w:val="clear" w:color="auto" w:fill="FFFFFF"/>
                  <w:vAlign w:val="center"/>
                </w:tcPr>
                <w:p w14:paraId="4ABC8B06">
                  <w:pPr>
                    <w:jc w:val="center"/>
                    <w:rPr>
                      <w:kern w:val="0"/>
                      <w:sz w:val="18"/>
                      <w:szCs w:val="18"/>
                    </w:rPr>
                  </w:pPr>
                  <w:r>
                    <w:rPr>
                      <w:kern w:val="0"/>
                      <w:sz w:val="18"/>
                      <w:szCs w:val="18"/>
                    </w:rPr>
                    <w:t>20</w:t>
                  </w:r>
                </w:p>
              </w:tc>
              <w:tc>
                <w:tcPr>
                  <w:tcW w:w="321" w:type="pct"/>
                  <w:shd w:val="clear" w:color="auto" w:fill="FFFFFF"/>
                  <w:vAlign w:val="bottom"/>
                </w:tcPr>
                <w:p w14:paraId="01ADC7CF">
                  <w:pPr>
                    <w:keepNext w:val="0"/>
                    <w:keepLines w:val="0"/>
                    <w:widowControl/>
                    <w:suppressLineNumbers w:val="0"/>
                    <w:jc w:val="center"/>
                    <w:textAlignment w:val="bottom"/>
                    <w:rPr>
                      <w:rFonts w:ascii="Times New Roman" w:hAnsi="Times New Roman" w:eastAsia="宋体" w:cs="Times New Roman"/>
                      <w:kern w:val="0"/>
                      <w:sz w:val="18"/>
                      <w:szCs w:val="18"/>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 xml:space="preserve">4.0 </w:t>
                  </w:r>
                </w:p>
              </w:tc>
              <w:tc>
                <w:tcPr>
                  <w:tcW w:w="369" w:type="pct"/>
                  <w:shd w:val="clear" w:color="auto" w:fill="FFFFFF"/>
                  <w:vAlign w:val="center"/>
                </w:tcPr>
                <w:p w14:paraId="250EAB19">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7A2F1690">
                  <w:pPr>
                    <w:jc w:val="center"/>
                    <w:rPr>
                      <w:sz w:val="18"/>
                      <w:szCs w:val="18"/>
                    </w:rPr>
                  </w:pPr>
                </w:p>
              </w:tc>
            </w:tr>
            <w:tr w14:paraId="4012D0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 w:type="pct"/>
                  <w:shd w:val="clear" w:color="auto" w:fill="FFFFFF"/>
                  <w:vAlign w:val="center"/>
                </w:tcPr>
                <w:p w14:paraId="16F2275F">
                  <w:pPr>
                    <w:pStyle w:val="27"/>
                    <w:jc w:val="center"/>
                    <w:rPr>
                      <w:rFonts w:ascii="Times New Roman" w:hAnsi="Times New Roman" w:eastAsia="宋体"/>
                      <w:sz w:val="18"/>
                      <w:szCs w:val="18"/>
                    </w:rPr>
                  </w:pPr>
                  <w:r>
                    <w:rPr>
                      <w:rFonts w:ascii="Times New Roman" w:hAnsi="Times New Roman" w:eastAsia="宋体"/>
                      <w:sz w:val="18"/>
                      <w:szCs w:val="18"/>
                    </w:rPr>
                    <w:t>3</w:t>
                  </w:r>
                </w:p>
              </w:tc>
              <w:tc>
                <w:tcPr>
                  <w:tcW w:w="219" w:type="pct"/>
                  <w:vMerge w:val="continue"/>
                  <w:shd w:val="clear" w:color="auto" w:fill="FFFFFF"/>
                  <w:vAlign w:val="center"/>
                </w:tcPr>
                <w:p w14:paraId="18F5CCD2">
                  <w:pPr>
                    <w:pStyle w:val="27"/>
                    <w:jc w:val="center"/>
                    <w:rPr>
                      <w:rFonts w:ascii="Times New Roman" w:hAnsi="Times New Roman" w:eastAsia="宋体"/>
                      <w:sz w:val="18"/>
                      <w:szCs w:val="18"/>
                    </w:rPr>
                  </w:pPr>
                </w:p>
              </w:tc>
              <w:tc>
                <w:tcPr>
                  <w:tcW w:w="518" w:type="pct"/>
                  <w:shd w:val="clear" w:color="auto" w:fill="FFFFFF"/>
                  <w:vAlign w:val="center"/>
                </w:tcPr>
                <w:p w14:paraId="7BFF671F">
                  <w:pPr>
                    <w:jc w:val="center"/>
                    <w:rPr>
                      <w:rFonts w:ascii="Times New Roman" w:hAnsi="Times New Roman" w:eastAsia="宋体" w:cs="Times New Roman"/>
                      <w:color w:val="000000"/>
                      <w:spacing w:val="-10"/>
                      <w:kern w:val="0"/>
                      <w:sz w:val="18"/>
                      <w:szCs w:val="18"/>
                      <w:lang w:val="en-US" w:eastAsia="zh-CN" w:bidi="ar-SA"/>
                    </w:rPr>
                  </w:pPr>
                  <w:r>
                    <w:rPr>
                      <w:rFonts w:hint="eastAsia"/>
                      <w:sz w:val="18"/>
                      <w:szCs w:val="18"/>
                      <w:lang w:eastAsia="zh-CN"/>
                    </w:rPr>
                    <w:t>滚笼筛</w:t>
                  </w:r>
                </w:p>
              </w:tc>
              <w:tc>
                <w:tcPr>
                  <w:tcW w:w="171" w:type="pct"/>
                  <w:shd w:val="clear" w:color="auto" w:fill="FFFFFF"/>
                  <w:vAlign w:val="center"/>
                </w:tcPr>
                <w:p w14:paraId="355C3CA2">
                  <w:pPr>
                    <w:bidi w:val="0"/>
                    <w:jc w:val="center"/>
                    <w:rPr>
                      <w:rFonts w:ascii="Times New Roman" w:hAnsi="Times New Roman" w:eastAsia="宋体" w:cs="Times New Roman"/>
                      <w:color w:val="000000"/>
                      <w:spacing w:val="-10"/>
                      <w:kern w:val="0"/>
                      <w:sz w:val="18"/>
                      <w:szCs w:val="18"/>
                      <w:lang w:val="en-US" w:eastAsia="zh-CN" w:bidi="ar-SA"/>
                    </w:rPr>
                  </w:pPr>
                  <w:r>
                    <w:rPr>
                      <w:rFonts w:hint="eastAsia" w:cs="Times New Roman"/>
                      <w:color w:val="auto"/>
                      <w:sz w:val="18"/>
                      <w:szCs w:val="18"/>
                      <w:lang w:val="en-US" w:eastAsia="zh-CN"/>
                    </w:rPr>
                    <w:t>1</w:t>
                  </w:r>
                </w:p>
              </w:tc>
              <w:tc>
                <w:tcPr>
                  <w:tcW w:w="443" w:type="pct"/>
                  <w:shd w:val="clear" w:color="auto" w:fill="FFFFFF"/>
                  <w:vAlign w:val="center"/>
                </w:tcPr>
                <w:p w14:paraId="1EBFB6C1">
                  <w:pPr>
                    <w:jc w:val="center"/>
                    <w:rPr>
                      <w:sz w:val="18"/>
                      <w:szCs w:val="18"/>
                    </w:rPr>
                  </w:pPr>
                  <w:r>
                    <w:rPr>
                      <w:sz w:val="18"/>
                      <w:szCs w:val="18"/>
                    </w:rPr>
                    <w:t>/</w:t>
                  </w:r>
                </w:p>
              </w:tc>
              <w:tc>
                <w:tcPr>
                  <w:tcW w:w="288" w:type="pct"/>
                  <w:shd w:val="clear" w:color="auto" w:fill="FFFFFF"/>
                  <w:vAlign w:val="center"/>
                </w:tcPr>
                <w:p w14:paraId="02F78AD7">
                  <w:pPr>
                    <w:spacing w:line="320" w:lineRule="exact"/>
                    <w:jc w:val="center"/>
                    <w:rPr>
                      <w:rFonts w:hint="eastAsia" w:eastAsia="宋体"/>
                      <w:sz w:val="18"/>
                      <w:szCs w:val="18"/>
                      <w:lang w:eastAsia="zh-CN"/>
                    </w:rPr>
                  </w:pPr>
                  <w:r>
                    <w:rPr>
                      <w:rFonts w:hint="default" w:ascii="Times New Roman" w:hAnsi="Times New Roman" w:cs="Times New Roman"/>
                      <w:color w:val="auto"/>
                      <w:sz w:val="18"/>
                      <w:szCs w:val="18"/>
                    </w:rPr>
                    <w:t>75</w:t>
                  </w:r>
                </w:p>
              </w:tc>
              <w:tc>
                <w:tcPr>
                  <w:tcW w:w="261" w:type="pct"/>
                  <w:vMerge w:val="continue"/>
                  <w:shd w:val="clear" w:color="auto" w:fill="FFFFFF"/>
                  <w:vAlign w:val="center"/>
                </w:tcPr>
                <w:p w14:paraId="0A558F13">
                  <w:pPr>
                    <w:pStyle w:val="27"/>
                    <w:jc w:val="center"/>
                    <w:rPr>
                      <w:rFonts w:ascii="Times New Roman" w:hAnsi="Times New Roman" w:eastAsia="宋体"/>
                      <w:sz w:val="18"/>
                      <w:szCs w:val="18"/>
                    </w:rPr>
                  </w:pPr>
                </w:p>
              </w:tc>
              <w:tc>
                <w:tcPr>
                  <w:tcW w:w="266" w:type="pct"/>
                  <w:shd w:val="clear" w:color="auto" w:fill="FFFFFF"/>
                  <w:vAlign w:val="center"/>
                </w:tcPr>
                <w:p w14:paraId="0D825D2E">
                  <w:pPr>
                    <w:pStyle w:val="27"/>
                    <w:ind w:firstLine="0" w:firstLineChars="0"/>
                    <w:jc w:val="center"/>
                    <w:rPr>
                      <w:rFonts w:hint="default" w:ascii="Times New Roman" w:hAnsi="Times New Roman" w:eastAsia="宋体"/>
                      <w:sz w:val="18"/>
                      <w:szCs w:val="18"/>
                      <w:lang w:val="en-US" w:eastAsia="zh-CN"/>
                    </w:rPr>
                  </w:pPr>
                  <w:r>
                    <w:rPr>
                      <w:rFonts w:hint="default" w:ascii="Times New Roman" w:hAnsi="Times New Roman" w:cs="Times New Roman"/>
                      <w:color w:val="auto"/>
                      <w:sz w:val="18"/>
                      <w:szCs w:val="18"/>
                    </w:rPr>
                    <w:t>20</w:t>
                  </w:r>
                </w:p>
              </w:tc>
              <w:tc>
                <w:tcPr>
                  <w:tcW w:w="271" w:type="pct"/>
                  <w:shd w:val="clear" w:color="auto" w:fill="FFFFFF"/>
                  <w:vAlign w:val="center"/>
                </w:tcPr>
                <w:p w14:paraId="109D3B88">
                  <w:pPr>
                    <w:pStyle w:val="27"/>
                    <w:ind w:firstLine="0" w:firstLineChars="0"/>
                    <w:jc w:val="center"/>
                    <w:rPr>
                      <w:rFonts w:hint="default" w:ascii="Times New Roman" w:hAnsi="Times New Roman" w:eastAsia="宋体" w:cs="Times New Roman"/>
                      <w:color w:val="000000"/>
                      <w:spacing w:val="-10"/>
                      <w:kern w:val="0"/>
                      <w:sz w:val="18"/>
                      <w:szCs w:val="18"/>
                      <w:lang w:val="en-US" w:eastAsia="zh-CN" w:bidi="ar-SA"/>
                    </w:rPr>
                  </w:pPr>
                  <w:r>
                    <w:rPr>
                      <w:rFonts w:hint="default" w:ascii="Times New Roman" w:hAnsi="Times New Roman" w:cs="Times New Roman"/>
                      <w:color w:val="auto"/>
                      <w:sz w:val="18"/>
                      <w:szCs w:val="18"/>
                    </w:rPr>
                    <w:t>40</w:t>
                  </w:r>
                </w:p>
              </w:tc>
              <w:tc>
                <w:tcPr>
                  <w:tcW w:w="231" w:type="pct"/>
                  <w:shd w:val="clear" w:color="auto" w:fill="FFFFFF"/>
                  <w:vAlign w:val="center"/>
                </w:tcPr>
                <w:p w14:paraId="78399FF3">
                  <w:pPr>
                    <w:jc w:val="center"/>
                    <w:rPr>
                      <w:sz w:val="18"/>
                      <w:szCs w:val="18"/>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2C84884D">
                  <w:pPr>
                    <w:pStyle w:val="27"/>
                    <w:ind w:firstLine="0" w:firstLineChars="0"/>
                    <w:jc w:val="center"/>
                    <w:rPr>
                      <w:rFonts w:hint="default" w:eastAsia="宋体"/>
                      <w:sz w:val="18"/>
                      <w:szCs w:val="18"/>
                      <w:lang w:val="en-US" w:eastAsia="zh-CN"/>
                    </w:rPr>
                  </w:pPr>
                  <w:r>
                    <w:rPr>
                      <w:rFonts w:hint="eastAsia" w:ascii="Times New Roman" w:hAnsi="Times New Roman" w:eastAsia="宋体" w:cs="Times New Roman"/>
                      <w:color w:val="auto"/>
                      <w:sz w:val="18"/>
                      <w:szCs w:val="18"/>
                      <w:lang w:val="en-US" w:eastAsia="zh-CN"/>
                    </w:rPr>
                    <w:t>E15</w:t>
                  </w:r>
                </w:p>
              </w:tc>
              <w:tc>
                <w:tcPr>
                  <w:tcW w:w="326" w:type="pct"/>
                  <w:shd w:val="clear" w:color="auto" w:fill="FFFFFF"/>
                  <w:vAlign w:val="bottom"/>
                </w:tcPr>
                <w:p w14:paraId="3D74E9DC">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51.5 </w:t>
                  </w:r>
                </w:p>
              </w:tc>
              <w:tc>
                <w:tcPr>
                  <w:tcW w:w="278" w:type="pct"/>
                  <w:shd w:val="clear" w:color="auto" w:fill="FFFFFF"/>
                  <w:vAlign w:val="center"/>
                </w:tcPr>
                <w:p w14:paraId="52F73482">
                  <w:pPr>
                    <w:jc w:val="center"/>
                    <w:rPr>
                      <w:kern w:val="0"/>
                      <w:sz w:val="18"/>
                      <w:szCs w:val="18"/>
                    </w:rPr>
                  </w:pPr>
                  <w:r>
                    <w:rPr>
                      <w:kern w:val="0"/>
                      <w:sz w:val="18"/>
                      <w:szCs w:val="18"/>
                    </w:rPr>
                    <w:t>昼/夜</w:t>
                  </w:r>
                </w:p>
              </w:tc>
              <w:tc>
                <w:tcPr>
                  <w:tcW w:w="360" w:type="pct"/>
                  <w:shd w:val="clear" w:color="auto" w:fill="FFFFFF"/>
                  <w:vAlign w:val="center"/>
                </w:tcPr>
                <w:p w14:paraId="26F66154">
                  <w:pPr>
                    <w:jc w:val="center"/>
                    <w:rPr>
                      <w:kern w:val="0"/>
                      <w:sz w:val="18"/>
                      <w:szCs w:val="18"/>
                    </w:rPr>
                  </w:pPr>
                  <w:r>
                    <w:rPr>
                      <w:kern w:val="0"/>
                      <w:sz w:val="18"/>
                      <w:szCs w:val="18"/>
                    </w:rPr>
                    <w:t>20</w:t>
                  </w:r>
                </w:p>
              </w:tc>
              <w:tc>
                <w:tcPr>
                  <w:tcW w:w="321" w:type="pct"/>
                  <w:shd w:val="clear" w:color="auto" w:fill="FFFFFF"/>
                  <w:vAlign w:val="bottom"/>
                </w:tcPr>
                <w:p w14:paraId="7D5DE3CE">
                  <w:pPr>
                    <w:keepNext w:val="0"/>
                    <w:keepLines w:val="0"/>
                    <w:widowControl/>
                    <w:suppressLineNumbers w:val="0"/>
                    <w:jc w:val="center"/>
                    <w:textAlignment w:val="bottom"/>
                    <w:rPr>
                      <w:rFonts w:ascii="Times New Roman" w:hAnsi="Times New Roman" w:eastAsia="宋体" w:cs="Times New Roman"/>
                      <w:kern w:val="0"/>
                      <w:sz w:val="18"/>
                      <w:szCs w:val="18"/>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 xml:space="preserve">1.5 </w:t>
                  </w:r>
                </w:p>
              </w:tc>
              <w:tc>
                <w:tcPr>
                  <w:tcW w:w="369" w:type="pct"/>
                  <w:shd w:val="clear" w:color="auto" w:fill="FFFFFF"/>
                  <w:vAlign w:val="center"/>
                </w:tcPr>
                <w:p w14:paraId="26433587">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0906873E">
                  <w:pPr>
                    <w:jc w:val="center"/>
                    <w:rPr>
                      <w:sz w:val="18"/>
                      <w:szCs w:val="18"/>
                    </w:rPr>
                  </w:pPr>
                </w:p>
              </w:tc>
            </w:tr>
            <w:tr w14:paraId="6F9F22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2" w:type="pct"/>
                  <w:shd w:val="clear" w:color="auto" w:fill="FFFFFF"/>
                  <w:vAlign w:val="center"/>
                </w:tcPr>
                <w:p w14:paraId="7C2A17D7">
                  <w:pPr>
                    <w:pStyle w:val="27"/>
                    <w:jc w:val="center"/>
                    <w:rPr>
                      <w:rFonts w:ascii="Times New Roman" w:hAnsi="Times New Roman" w:eastAsia="宋体"/>
                      <w:sz w:val="18"/>
                      <w:szCs w:val="18"/>
                    </w:rPr>
                  </w:pPr>
                  <w:r>
                    <w:rPr>
                      <w:rFonts w:ascii="Times New Roman" w:hAnsi="Times New Roman" w:eastAsia="宋体"/>
                      <w:sz w:val="18"/>
                      <w:szCs w:val="18"/>
                    </w:rPr>
                    <w:t>4</w:t>
                  </w:r>
                </w:p>
              </w:tc>
              <w:tc>
                <w:tcPr>
                  <w:tcW w:w="219" w:type="pct"/>
                  <w:vMerge w:val="continue"/>
                  <w:shd w:val="clear" w:color="auto" w:fill="FFFFFF"/>
                  <w:vAlign w:val="center"/>
                </w:tcPr>
                <w:p w14:paraId="356312F0">
                  <w:pPr>
                    <w:pStyle w:val="27"/>
                    <w:jc w:val="center"/>
                    <w:rPr>
                      <w:rFonts w:ascii="Times New Roman" w:hAnsi="Times New Roman" w:eastAsia="宋体"/>
                      <w:sz w:val="18"/>
                      <w:szCs w:val="18"/>
                    </w:rPr>
                  </w:pPr>
                </w:p>
              </w:tc>
              <w:tc>
                <w:tcPr>
                  <w:tcW w:w="518" w:type="pct"/>
                  <w:shd w:val="clear" w:color="auto" w:fill="FFFFFF"/>
                  <w:vAlign w:val="center"/>
                </w:tcPr>
                <w:p w14:paraId="303B46BC">
                  <w:pPr>
                    <w:jc w:val="center"/>
                    <w:rPr>
                      <w:rFonts w:ascii="Times New Roman" w:hAnsi="Times New Roman" w:eastAsia="宋体" w:cs="Times New Roman"/>
                      <w:color w:val="000000"/>
                      <w:spacing w:val="-10"/>
                      <w:kern w:val="0"/>
                      <w:sz w:val="18"/>
                      <w:szCs w:val="18"/>
                      <w:lang w:val="en-US" w:eastAsia="zh-CN" w:bidi="ar-SA"/>
                    </w:rPr>
                  </w:pPr>
                  <w:r>
                    <w:rPr>
                      <w:rFonts w:hint="eastAsia"/>
                      <w:sz w:val="18"/>
                      <w:szCs w:val="18"/>
                      <w:lang w:eastAsia="zh-CN"/>
                    </w:rPr>
                    <w:t>电磁除铁器</w:t>
                  </w:r>
                </w:p>
              </w:tc>
              <w:tc>
                <w:tcPr>
                  <w:tcW w:w="171" w:type="pct"/>
                  <w:shd w:val="clear" w:color="auto" w:fill="FFFFFF"/>
                  <w:vAlign w:val="center"/>
                </w:tcPr>
                <w:p w14:paraId="5D2F54CF">
                  <w:pPr>
                    <w:bidi w:val="0"/>
                    <w:jc w:val="center"/>
                    <w:rPr>
                      <w:rFonts w:ascii="Times New Roman" w:hAnsi="Times New Roman" w:eastAsia="宋体" w:cs="Times New Roman"/>
                      <w:color w:val="000000"/>
                      <w:spacing w:val="-10"/>
                      <w:kern w:val="0"/>
                      <w:sz w:val="18"/>
                      <w:szCs w:val="18"/>
                      <w:lang w:val="en-US" w:eastAsia="zh-CN" w:bidi="ar-SA"/>
                    </w:rPr>
                  </w:pPr>
                  <w:r>
                    <w:rPr>
                      <w:rFonts w:hint="eastAsia" w:cs="Times New Roman"/>
                      <w:color w:val="auto"/>
                      <w:sz w:val="18"/>
                      <w:szCs w:val="18"/>
                      <w:lang w:val="en-US" w:eastAsia="zh-CN"/>
                    </w:rPr>
                    <w:t>3</w:t>
                  </w:r>
                </w:p>
              </w:tc>
              <w:tc>
                <w:tcPr>
                  <w:tcW w:w="443" w:type="pct"/>
                  <w:shd w:val="clear" w:color="auto" w:fill="FFFFFF"/>
                  <w:vAlign w:val="center"/>
                </w:tcPr>
                <w:p w14:paraId="1F5AE37E">
                  <w:pPr>
                    <w:jc w:val="center"/>
                    <w:rPr>
                      <w:sz w:val="18"/>
                      <w:szCs w:val="18"/>
                    </w:rPr>
                  </w:pPr>
                  <w:r>
                    <w:rPr>
                      <w:sz w:val="18"/>
                      <w:szCs w:val="18"/>
                    </w:rPr>
                    <w:t>/</w:t>
                  </w:r>
                </w:p>
              </w:tc>
              <w:tc>
                <w:tcPr>
                  <w:tcW w:w="288" w:type="pct"/>
                  <w:shd w:val="clear" w:color="auto" w:fill="FFFFFF"/>
                  <w:vAlign w:val="center"/>
                </w:tcPr>
                <w:p w14:paraId="0A57CA85">
                  <w:pPr>
                    <w:spacing w:line="320" w:lineRule="exact"/>
                    <w:jc w:val="center"/>
                    <w:rPr>
                      <w:sz w:val="18"/>
                      <w:szCs w:val="18"/>
                    </w:rPr>
                  </w:pPr>
                  <w:r>
                    <w:rPr>
                      <w:rFonts w:hint="default" w:ascii="Times New Roman" w:hAnsi="Times New Roman" w:cs="Times New Roman"/>
                      <w:color w:val="auto"/>
                      <w:sz w:val="18"/>
                      <w:szCs w:val="18"/>
                    </w:rPr>
                    <w:t>80</w:t>
                  </w:r>
                </w:p>
              </w:tc>
              <w:tc>
                <w:tcPr>
                  <w:tcW w:w="261" w:type="pct"/>
                  <w:vMerge w:val="continue"/>
                  <w:shd w:val="clear" w:color="auto" w:fill="FFFFFF"/>
                  <w:vAlign w:val="center"/>
                </w:tcPr>
                <w:p w14:paraId="74E68827">
                  <w:pPr>
                    <w:pStyle w:val="27"/>
                    <w:jc w:val="center"/>
                    <w:rPr>
                      <w:rFonts w:ascii="Times New Roman" w:hAnsi="Times New Roman" w:eastAsia="宋体"/>
                      <w:sz w:val="18"/>
                      <w:szCs w:val="18"/>
                    </w:rPr>
                  </w:pPr>
                </w:p>
              </w:tc>
              <w:tc>
                <w:tcPr>
                  <w:tcW w:w="266" w:type="pct"/>
                  <w:shd w:val="clear" w:color="auto" w:fill="FFFFFF"/>
                  <w:vAlign w:val="center"/>
                </w:tcPr>
                <w:p w14:paraId="719FBBDB">
                  <w:pPr>
                    <w:pStyle w:val="27"/>
                    <w:ind w:firstLine="0" w:firstLineChars="0"/>
                    <w:jc w:val="center"/>
                    <w:rPr>
                      <w:rFonts w:hint="default" w:ascii="Times New Roman" w:hAnsi="Times New Roman" w:eastAsia="宋体"/>
                      <w:sz w:val="18"/>
                      <w:szCs w:val="18"/>
                      <w:lang w:val="en-US" w:eastAsia="zh-CN"/>
                    </w:rPr>
                  </w:pPr>
                  <w:r>
                    <w:rPr>
                      <w:rFonts w:hint="eastAsia" w:ascii="Times New Roman" w:hAnsi="Times New Roman" w:eastAsia="宋体" w:cs="Times New Roman"/>
                      <w:color w:val="auto"/>
                      <w:sz w:val="18"/>
                      <w:szCs w:val="18"/>
                      <w:lang w:val="en-US" w:eastAsia="zh-CN"/>
                    </w:rPr>
                    <w:t>26</w:t>
                  </w:r>
                </w:p>
              </w:tc>
              <w:tc>
                <w:tcPr>
                  <w:tcW w:w="271" w:type="pct"/>
                  <w:shd w:val="clear" w:color="auto" w:fill="FFFFFF"/>
                  <w:vAlign w:val="center"/>
                </w:tcPr>
                <w:p w14:paraId="3390D073">
                  <w:pPr>
                    <w:pStyle w:val="27"/>
                    <w:ind w:firstLine="0" w:firstLineChars="0"/>
                    <w:jc w:val="center"/>
                    <w:rPr>
                      <w:rFonts w:hint="default" w:ascii="Times New Roman" w:hAnsi="Times New Roman" w:eastAsia="宋体" w:cs="Times New Roman"/>
                      <w:color w:val="000000"/>
                      <w:spacing w:val="-10"/>
                      <w:kern w:val="0"/>
                      <w:sz w:val="18"/>
                      <w:szCs w:val="18"/>
                      <w:lang w:val="en-US" w:eastAsia="zh-CN" w:bidi="ar-SA"/>
                    </w:rPr>
                  </w:pPr>
                  <w:r>
                    <w:rPr>
                      <w:rFonts w:hint="eastAsia" w:ascii="Times New Roman" w:hAnsi="Times New Roman" w:cs="Times New Roman"/>
                      <w:color w:val="auto"/>
                      <w:sz w:val="18"/>
                      <w:szCs w:val="18"/>
                      <w:lang w:val="en-US" w:eastAsia="zh-CN"/>
                    </w:rPr>
                    <w:t>45</w:t>
                  </w:r>
                </w:p>
              </w:tc>
              <w:tc>
                <w:tcPr>
                  <w:tcW w:w="231" w:type="pct"/>
                  <w:shd w:val="clear" w:color="auto" w:fill="FFFFFF"/>
                  <w:vAlign w:val="center"/>
                </w:tcPr>
                <w:p w14:paraId="42A394D1">
                  <w:pPr>
                    <w:jc w:val="center"/>
                    <w:rPr>
                      <w:rFonts w:ascii="Times New Roman" w:hAnsi="Times New Roman" w:eastAsia="宋体"/>
                      <w:sz w:val="18"/>
                      <w:szCs w:val="18"/>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475D1E45">
                  <w:pPr>
                    <w:pStyle w:val="27"/>
                    <w:ind w:firstLine="0" w:firstLineChars="0"/>
                    <w:jc w:val="center"/>
                    <w:rPr>
                      <w:rFonts w:hint="default" w:eastAsia="宋体"/>
                      <w:sz w:val="18"/>
                      <w:szCs w:val="18"/>
                      <w:lang w:val="en-US" w:eastAsia="zh-CN"/>
                    </w:rPr>
                  </w:pPr>
                  <w:r>
                    <w:rPr>
                      <w:rFonts w:hint="eastAsia" w:eastAsia="宋体"/>
                      <w:sz w:val="18"/>
                      <w:szCs w:val="18"/>
                      <w:lang w:val="en-US" w:eastAsia="zh-CN"/>
                    </w:rPr>
                    <w:t>N15</w:t>
                  </w:r>
                </w:p>
              </w:tc>
              <w:tc>
                <w:tcPr>
                  <w:tcW w:w="326" w:type="pct"/>
                  <w:shd w:val="clear" w:color="auto" w:fill="FFFFFF"/>
                  <w:vAlign w:val="bottom"/>
                </w:tcPr>
                <w:p w14:paraId="5415BEDF">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61.2 </w:t>
                  </w:r>
                </w:p>
              </w:tc>
              <w:tc>
                <w:tcPr>
                  <w:tcW w:w="278" w:type="pct"/>
                  <w:shd w:val="clear" w:color="auto" w:fill="FFFFFF"/>
                  <w:vAlign w:val="center"/>
                </w:tcPr>
                <w:p w14:paraId="4A6C47CC">
                  <w:pPr>
                    <w:jc w:val="center"/>
                    <w:rPr>
                      <w:kern w:val="0"/>
                      <w:sz w:val="18"/>
                      <w:szCs w:val="18"/>
                    </w:rPr>
                  </w:pPr>
                  <w:r>
                    <w:rPr>
                      <w:kern w:val="0"/>
                      <w:sz w:val="18"/>
                      <w:szCs w:val="18"/>
                    </w:rPr>
                    <w:t>昼/夜</w:t>
                  </w:r>
                </w:p>
              </w:tc>
              <w:tc>
                <w:tcPr>
                  <w:tcW w:w="360" w:type="pct"/>
                  <w:shd w:val="clear" w:color="auto" w:fill="FFFFFF"/>
                  <w:vAlign w:val="center"/>
                </w:tcPr>
                <w:p w14:paraId="2D13829B">
                  <w:pPr>
                    <w:jc w:val="center"/>
                    <w:rPr>
                      <w:kern w:val="0"/>
                      <w:sz w:val="18"/>
                      <w:szCs w:val="18"/>
                    </w:rPr>
                  </w:pPr>
                  <w:r>
                    <w:rPr>
                      <w:kern w:val="0"/>
                      <w:sz w:val="18"/>
                      <w:szCs w:val="18"/>
                    </w:rPr>
                    <w:t>20</w:t>
                  </w:r>
                </w:p>
              </w:tc>
              <w:tc>
                <w:tcPr>
                  <w:tcW w:w="321" w:type="pct"/>
                  <w:shd w:val="clear" w:color="auto" w:fill="FFFFFF"/>
                  <w:vAlign w:val="bottom"/>
                </w:tcPr>
                <w:p w14:paraId="7B94C303">
                  <w:pPr>
                    <w:keepNext w:val="0"/>
                    <w:keepLines w:val="0"/>
                    <w:widowControl/>
                    <w:suppressLineNumbers w:val="0"/>
                    <w:jc w:val="center"/>
                    <w:textAlignment w:val="bottom"/>
                    <w:rPr>
                      <w:rFonts w:ascii="Times New Roman" w:hAnsi="Times New Roman" w:eastAsia="宋体" w:cs="Times New Roman"/>
                      <w:kern w:val="0"/>
                      <w:sz w:val="18"/>
                      <w:szCs w:val="18"/>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 xml:space="preserve">1.2 </w:t>
                  </w:r>
                </w:p>
              </w:tc>
              <w:tc>
                <w:tcPr>
                  <w:tcW w:w="369" w:type="pct"/>
                  <w:shd w:val="clear" w:color="auto" w:fill="FFFFFF"/>
                  <w:vAlign w:val="center"/>
                </w:tcPr>
                <w:p w14:paraId="1D367642">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2F9765DC">
                  <w:pPr>
                    <w:jc w:val="center"/>
                    <w:rPr>
                      <w:sz w:val="18"/>
                      <w:szCs w:val="18"/>
                    </w:rPr>
                  </w:pPr>
                </w:p>
              </w:tc>
            </w:tr>
            <w:tr w14:paraId="06498E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2" w:type="pct"/>
                  <w:shd w:val="clear" w:color="auto" w:fill="FFFFFF"/>
                  <w:vAlign w:val="center"/>
                </w:tcPr>
                <w:p w14:paraId="28257BE1">
                  <w:pPr>
                    <w:pStyle w:val="27"/>
                    <w:jc w:val="center"/>
                    <w:rPr>
                      <w:rFonts w:ascii="Times New Roman" w:hAnsi="Times New Roman" w:eastAsia="宋体"/>
                      <w:sz w:val="18"/>
                      <w:szCs w:val="18"/>
                    </w:rPr>
                  </w:pPr>
                  <w:r>
                    <w:rPr>
                      <w:rFonts w:ascii="Times New Roman" w:hAnsi="Times New Roman" w:eastAsia="宋体"/>
                      <w:sz w:val="18"/>
                      <w:szCs w:val="18"/>
                    </w:rPr>
                    <w:t>5</w:t>
                  </w:r>
                </w:p>
              </w:tc>
              <w:tc>
                <w:tcPr>
                  <w:tcW w:w="219" w:type="pct"/>
                  <w:vMerge w:val="continue"/>
                  <w:shd w:val="clear" w:color="auto" w:fill="FFFFFF"/>
                  <w:vAlign w:val="center"/>
                </w:tcPr>
                <w:p w14:paraId="5F4999BF">
                  <w:pPr>
                    <w:pStyle w:val="27"/>
                    <w:jc w:val="center"/>
                    <w:rPr>
                      <w:rFonts w:ascii="Times New Roman" w:hAnsi="Times New Roman" w:eastAsia="宋体"/>
                      <w:sz w:val="18"/>
                      <w:szCs w:val="18"/>
                    </w:rPr>
                  </w:pPr>
                </w:p>
              </w:tc>
              <w:tc>
                <w:tcPr>
                  <w:tcW w:w="518" w:type="pct"/>
                  <w:shd w:val="clear" w:color="auto" w:fill="FFFFFF"/>
                  <w:vAlign w:val="center"/>
                </w:tcPr>
                <w:p w14:paraId="3D9999D6">
                  <w:pPr>
                    <w:jc w:val="center"/>
                    <w:rPr>
                      <w:rFonts w:ascii="Times New Roman" w:hAnsi="Times New Roman" w:eastAsia="宋体" w:cs="Times New Roman"/>
                      <w:color w:val="000000"/>
                      <w:spacing w:val="-10"/>
                      <w:kern w:val="0"/>
                      <w:sz w:val="18"/>
                      <w:szCs w:val="18"/>
                      <w:lang w:val="en-US" w:eastAsia="zh-CN" w:bidi="ar-SA"/>
                    </w:rPr>
                  </w:pPr>
                  <w:r>
                    <w:rPr>
                      <w:rFonts w:hint="eastAsia"/>
                      <w:sz w:val="18"/>
                      <w:szCs w:val="18"/>
                      <w:lang w:eastAsia="zh-CN"/>
                    </w:rPr>
                    <w:t>磁辊筒</w:t>
                  </w:r>
                </w:p>
              </w:tc>
              <w:tc>
                <w:tcPr>
                  <w:tcW w:w="171" w:type="pct"/>
                  <w:shd w:val="clear" w:color="auto" w:fill="FFFFFF"/>
                  <w:vAlign w:val="center"/>
                </w:tcPr>
                <w:p w14:paraId="61998A5D">
                  <w:pPr>
                    <w:bidi w:val="0"/>
                    <w:jc w:val="center"/>
                    <w:rPr>
                      <w:rFonts w:ascii="Times New Roman" w:hAnsi="Times New Roman" w:eastAsia="宋体" w:cs="Times New Roman"/>
                      <w:color w:val="000000"/>
                      <w:spacing w:val="-10"/>
                      <w:kern w:val="0"/>
                      <w:sz w:val="18"/>
                      <w:szCs w:val="18"/>
                      <w:lang w:val="en-US" w:eastAsia="zh-CN" w:bidi="ar-SA"/>
                    </w:rPr>
                  </w:pPr>
                  <w:r>
                    <w:rPr>
                      <w:rFonts w:hint="eastAsia" w:cs="Times New Roman"/>
                      <w:color w:val="auto"/>
                      <w:sz w:val="18"/>
                      <w:szCs w:val="18"/>
                      <w:lang w:val="en-US" w:eastAsia="zh-CN"/>
                    </w:rPr>
                    <w:t>1</w:t>
                  </w:r>
                </w:p>
              </w:tc>
              <w:tc>
                <w:tcPr>
                  <w:tcW w:w="443" w:type="pct"/>
                  <w:shd w:val="clear" w:color="auto" w:fill="FFFFFF"/>
                  <w:vAlign w:val="center"/>
                </w:tcPr>
                <w:p w14:paraId="158134F9">
                  <w:pPr>
                    <w:jc w:val="center"/>
                    <w:rPr>
                      <w:sz w:val="18"/>
                      <w:szCs w:val="18"/>
                    </w:rPr>
                  </w:pPr>
                  <w:r>
                    <w:rPr>
                      <w:sz w:val="18"/>
                      <w:szCs w:val="18"/>
                    </w:rPr>
                    <w:t>/</w:t>
                  </w:r>
                </w:p>
              </w:tc>
              <w:tc>
                <w:tcPr>
                  <w:tcW w:w="288" w:type="pct"/>
                  <w:shd w:val="clear" w:color="auto" w:fill="FFFFFF"/>
                  <w:vAlign w:val="center"/>
                </w:tcPr>
                <w:p w14:paraId="5C20FEE0">
                  <w:pPr>
                    <w:spacing w:line="320" w:lineRule="exact"/>
                    <w:jc w:val="center"/>
                    <w:rPr>
                      <w:sz w:val="18"/>
                      <w:szCs w:val="18"/>
                    </w:rPr>
                  </w:pPr>
                  <w:r>
                    <w:rPr>
                      <w:rFonts w:hint="default" w:ascii="Times New Roman" w:hAnsi="Times New Roman" w:cs="Times New Roman"/>
                      <w:color w:val="auto"/>
                      <w:sz w:val="18"/>
                      <w:szCs w:val="18"/>
                      <w:lang w:val="en-US" w:eastAsia="zh-CN"/>
                    </w:rPr>
                    <w:t>8</w:t>
                  </w:r>
                  <w:r>
                    <w:rPr>
                      <w:rFonts w:hint="eastAsia" w:cs="Times New Roman"/>
                      <w:color w:val="auto"/>
                      <w:sz w:val="18"/>
                      <w:szCs w:val="18"/>
                      <w:lang w:val="en-US" w:eastAsia="zh-CN"/>
                    </w:rPr>
                    <w:t>0</w:t>
                  </w:r>
                </w:p>
              </w:tc>
              <w:tc>
                <w:tcPr>
                  <w:tcW w:w="261" w:type="pct"/>
                  <w:vMerge w:val="continue"/>
                  <w:shd w:val="clear" w:color="auto" w:fill="FFFFFF"/>
                  <w:vAlign w:val="center"/>
                </w:tcPr>
                <w:p w14:paraId="227138C8">
                  <w:pPr>
                    <w:pStyle w:val="27"/>
                    <w:jc w:val="center"/>
                    <w:rPr>
                      <w:rFonts w:ascii="Times New Roman" w:hAnsi="Times New Roman" w:eastAsia="宋体"/>
                      <w:sz w:val="18"/>
                      <w:szCs w:val="18"/>
                    </w:rPr>
                  </w:pPr>
                </w:p>
              </w:tc>
              <w:tc>
                <w:tcPr>
                  <w:tcW w:w="266" w:type="pct"/>
                  <w:shd w:val="clear" w:color="auto" w:fill="FFFFFF"/>
                  <w:vAlign w:val="center"/>
                </w:tcPr>
                <w:p w14:paraId="740C01A6">
                  <w:pPr>
                    <w:pStyle w:val="27"/>
                    <w:ind w:firstLine="0" w:firstLineChars="0"/>
                    <w:jc w:val="center"/>
                    <w:rPr>
                      <w:rFonts w:hint="default" w:ascii="Times New Roman" w:hAnsi="Times New Roman" w:eastAsia="宋体"/>
                      <w:sz w:val="18"/>
                      <w:szCs w:val="18"/>
                      <w:lang w:val="en-US" w:eastAsia="zh-CN"/>
                    </w:rPr>
                  </w:pPr>
                  <w:r>
                    <w:rPr>
                      <w:rFonts w:hint="eastAsia" w:ascii="Times New Roman" w:hAnsi="Times New Roman" w:cs="Times New Roman"/>
                      <w:color w:val="auto"/>
                      <w:sz w:val="18"/>
                      <w:szCs w:val="18"/>
                      <w:lang w:val="en-US" w:eastAsia="zh-CN"/>
                    </w:rPr>
                    <w:t>33</w:t>
                  </w:r>
                </w:p>
              </w:tc>
              <w:tc>
                <w:tcPr>
                  <w:tcW w:w="271" w:type="pct"/>
                  <w:shd w:val="clear" w:color="auto" w:fill="FFFFFF"/>
                  <w:vAlign w:val="center"/>
                </w:tcPr>
                <w:p w14:paraId="79CBCD33">
                  <w:pPr>
                    <w:pStyle w:val="27"/>
                    <w:ind w:firstLine="0" w:firstLineChars="0"/>
                    <w:jc w:val="center"/>
                    <w:rPr>
                      <w:rFonts w:hint="default" w:ascii="Times New Roman" w:hAnsi="Times New Roman" w:eastAsia="宋体" w:cs="Times New Roman"/>
                      <w:color w:val="000000"/>
                      <w:spacing w:val="-10"/>
                      <w:kern w:val="0"/>
                      <w:sz w:val="18"/>
                      <w:szCs w:val="18"/>
                      <w:lang w:val="en-US" w:eastAsia="zh-CN" w:bidi="ar-SA"/>
                    </w:rPr>
                  </w:pPr>
                  <w:r>
                    <w:rPr>
                      <w:rFonts w:hint="eastAsia" w:ascii="Times New Roman" w:hAnsi="Times New Roman" w:cs="Times New Roman"/>
                      <w:color w:val="auto"/>
                      <w:sz w:val="18"/>
                      <w:szCs w:val="18"/>
                      <w:lang w:val="en-US" w:eastAsia="zh-CN"/>
                    </w:rPr>
                    <w:t>35</w:t>
                  </w:r>
                </w:p>
              </w:tc>
              <w:tc>
                <w:tcPr>
                  <w:tcW w:w="231" w:type="pct"/>
                  <w:shd w:val="clear" w:color="auto" w:fill="FFFFFF"/>
                  <w:vAlign w:val="center"/>
                </w:tcPr>
                <w:p w14:paraId="7C09BBBA">
                  <w:pPr>
                    <w:jc w:val="center"/>
                    <w:rPr>
                      <w:sz w:val="18"/>
                      <w:szCs w:val="18"/>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2C455153">
                  <w:pPr>
                    <w:pStyle w:val="27"/>
                    <w:ind w:firstLine="0" w:firstLineChars="0"/>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E2</w:t>
                  </w:r>
                </w:p>
              </w:tc>
              <w:tc>
                <w:tcPr>
                  <w:tcW w:w="326" w:type="pct"/>
                  <w:shd w:val="clear" w:color="auto" w:fill="FFFFFF"/>
                  <w:vAlign w:val="bottom"/>
                </w:tcPr>
                <w:p w14:paraId="6E3481D8">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74.0 </w:t>
                  </w:r>
                </w:p>
              </w:tc>
              <w:tc>
                <w:tcPr>
                  <w:tcW w:w="278" w:type="pct"/>
                  <w:shd w:val="clear" w:color="auto" w:fill="FFFFFF"/>
                  <w:vAlign w:val="center"/>
                </w:tcPr>
                <w:p w14:paraId="5FF5A3C4">
                  <w:pPr>
                    <w:jc w:val="center"/>
                    <w:rPr>
                      <w:kern w:val="0"/>
                      <w:sz w:val="18"/>
                      <w:szCs w:val="18"/>
                    </w:rPr>
                  </w:pPr>
                  <w:r>
                    <w:rPr>
                      <w:kern w:val="0"/>
                      <w:sz w:val="18"/>
                      <w:szCs w:val="18"/>
                    </w:rPr>
                    <w:t>昼/夜</w:t>
                  </w:r>
                </w:p>
              </w:tc>
              <w:tc>
                <w:tcPr>
                  <w:tcW w:w="360" w:type="pct"/>
                  <w:shd w:val="clear" w:color="auto" w:fill="FFFFFF"/>
                  <w:vAlign w:val="center"/>
                </w:tcPr>
                <w:p w14:paraId="73381B44">
                  <w:pPr>
                    <w:jc w:val="center"/>
                    <w:rPr>
                      <w:kern w:val="0"/>
                      <w:sz w:val="18"/>
                      <w:szCs w:val="18"/>
                    </w:rPr>
                  </w:pPr>
                  <w:r>
                    <w:rPr>
                      <w:kern w:val="0"/>
                      <w:sz w:val="18"/>
                      <w:szCs w:val="18"/>
                    </w:rPr>
                    <w:t>20</w:t>
                  </w:r>
                </w:p>
              </w:tc>
              <w:tc>
                <w:tcPr>
                  <w:tcW w:w="321" w:type="pct"/>
                  <w:shd w:val="clear" w:color="auto" w:fill="FFFFFF"/>
                  <w:vAlign w:val="bottom"/>
                </w:tcPr>
                <w:p w14:paraId="1AA0B270">
                  <w:pPr>
                    <w:keepNext w:val="0"/>
                    <w:keepLines w:val="0"/>
                    <w:widowControl/>
                    <w:suppressLineNumbers w:val="0"/>
                    <w:jc w:val="center"/>
                    <w:textAlignment w:val="bottom"/>
                    <w:rPr>
                      <w:rFonts w:ascii="Times New Roman" w:hAnsi="Times New Roman" w:eastAsia="宋体" w:cs="Times New Roman"/>
                      <w:kern w:val="0"/>
                      <w:sz w:val="18"/>
                      <w:szCs w:val="18"/>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 xml:space="preserve">4.0 </w:t>
                  </w:r>
                </w:p>
              </w:tc>
              <w:tc>
                <w:tcPr>
                  <w:tcW w:w="369" w:type="pct"/>
                  <w:shd w:val="clear" w:color="auto" w:fill="FFFFFF"/>
                  <w:vAlign w:val="center"/>
                </w:tcPr>
                <w:p w14:paraId="5C3E32DB">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446FDB9F">
                  <w:pPr>
                    <w:jc w:val="center"/>
                    <w:rPr>
                      <w:sz w:val="18"/>
                      <w:szCs w:val="18"/>
                    </w:rPr>
                  </w:pPr>
                </w:p>
              </w:tc>
            </w:tr>
            <w:tr w14:paraId="617F52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2" w:type="pct"/>
                  <w:shd w:val="clear" w:color="auto" w:fill="FFFFFF"/>
                  <w:vAlign w:val="center"/>
                </w:tcPr>
                <w:p w14:paraId="47D00711">
                  <w:pPr>
                    <w:pStyle w:val="27"/>
                    <w:jc w:val="center"/>
                    <w:rPr>
                      <w:rFonts w:ascii="Times New Roman" w:hAnsi="Times New Roman" w:eastAsia="宋体"/>
                      <w:sz w:val="18"/>
                      <w:szCs w:val="18"/>
                    </w:rPr>
                  </w:pPr>
                  <w:r>
                    <w:rPr>
                      <w:rFonts w:ascii="Times New Roman" w:hAnsi="Times New Roman" w:eastAsia="宋体"/>
                      <w:sz w:val="18"/>
                      <w:szCs w:val="18"/>
                    </w:rPr>
                    <w:t>6</w:t>
                  </w:r>
                </w:p>
              </w:tc>
              <w:tc>
                <w:tcPr>
                  <w:tcW w:w="219" w:type="pct"/>
                  <w:vMerge w:val="continue"/>
                  <w:shd w:val="clear" w:color="auto" w:fill="FFFFFF"/>
                  <w:vAlign w:val="center"/>
                </w:tcPr>
                <w:p w14:paraId="47CA9711">
                  <w:pPr>
                    <w:pStyle w:val="27"/>
                    <w:jc w:val="center"/>
                    <w:rPr>
                      <w:rFonts w:ascii="Times New Roman" w:hAnsi="Times New Roman" w:eastAsia="宋体"/>
                      <w:sz w:val="18"/>
                      <w:szCs w:val="18"/>
                    </w:rPr>
                  </w:pPr>
                </w:p>
              </w:tc>
              <w:tc>
                <w:tcPr>
                  <w:tcW w:w="518" w:type="pct"/>
                  <w:shd w:val="clear" w:color="auto" w:fill="FFFFFF"/>
                  <w:vAlign w:val="center"/>
                </w:tcPr>
                <w:p w14:paraId="4EA3F50A">
                  <w:pPr>
                    <w:jc w:val="center"/>
                    <w:rPr>
                      <w:rFonts w:ascii="Times New Roman" w:hAnsi="Times New Roman" w:eastAsia="宋体" w:cs="Times New Roman"/>
                      <w:color w:val="000000"/>
                      <w:spacing w:val="-10"/>
                      <w:kern w:val="0"/>
                      <w:sz w:val="18"/>
                      <w:szCs w:val="18"/>
                      <w:lang w:val="en-US" w:eastAsia="zh-CN" w:bidi="ar-SA"/>
                    </w:rPr>
                  </w:pPr>
                  <w:r>
                    <w:rPr>
                      <w:rFonts w:hint="eastAsia"/>
                      <w:sz w:val="18"/>
                      <w:szCs w:val="18"/>
                      <w:lang w:eastAsia="zh-CN"/>
                    </w:rPr>
                    <w:t>破碎机</w:t>
                  </w:r>
                </w:p>
              </w:tc>
              <w:tc>
                <w:tcPr>
                  <w:tcW w:w="171" w:type="pct"/>
                  <w:shd w:val="clear" w:color="auto" w:fill="FFFFFF"/>
                  <w:vAlign w:val="center"/>
                </w:tcPr>
                <w:p w14:paraId="0CAD2D53">
                  <w:pPr>
                    <w:bidi w:val="0"/>
                    <w:jc w:val="center"/>
                    <w:rPr>
                      <w:rFonts w:hint="default" w:ascii="Times New Roman" w:hAnsi="Times New Roman" w:eastAsia="宋体" w:cs="Times New Roman"/>
                      <w:color w:val="000000"/>
                      <w:spacing w:val="-10"/>
                      <w:kern w:val="0"/>
                      <w:sz w:val="18"/>
                      <w:szCs w:val="18"/>
                      <w:lang w:val="en-US" w:eastAsia="zh-CN" w:bidi="ar-SA"/>
                    </w:rPr>
                  </w:pPr>
                  <w:r>
                    <w:rPr>
                      <w:rFonts w:hint="eastAsia" w:cs="Times New Roman"/>
                      <w:color w:val="auto"/>
                      <w:sz w:val="18"/>
                      <w:szCs w:val="18"/>
                      <w:lang w:val="en-US" w:eastAsia="zh-CN"/>
                    </w:rPr>
                    <w:t>1</w:t>
                  </w:r>
                </w:p>
              </w:tc>
              <w:tc>
                <w:tcPr>
                  <w:tcW w:w="443" w:type="pct"/>
                  <w:shd w:val="clear" w:color="auto" w:fill="FFFFFF"/>
                  <w:vAlign w:val="center"/>
                </w:tcPr>
                <w:p w14:paraId="27455909">
                  <w:pPr>
                    <w:jc w:val="center"/>
                    <w:rPr>
                      <w:sz w:val="18"/>
                      <w:szCs w:val="18"/>
                    </w:rPr>
                  </w:pPr>
                  <w:r>
                    <w:rPr>
                      <w:sz w:val="18"/>
                      <w:szCs w:val="18"/>
                    </w:rPr>
                    <w:t>/</w:t>
                  </w:r>
                </w:p>
              </w:tc>
              <w:tc>
                <w:tcPr>
                  <w:tcW w:w="288" w:type="pct"/>
                  <w:shd w:val="clear" w:color="auto" w:fill="FFFFFF"/>
                  <w:vAlign w:val="center"/>
                </w:tcPr>
                <w:p w14:paraId="5ABCC4DE">
                  <w:pPr>
                    <w:spacing w:line="320" w:lineRule="exact"/>
                    <w:jc w:val="center"/>
                    <w:rPr>
                      <w:sz w:val="18"/>
                      <w:szCs w:val="18"/>
                    </w:rPr>
                  </w:pPr>
                  <w:r>
                    <w:rPr>
                      <w:rFonts w:hint="default" w:ascii="Times New Roman" w:hAnsi="Times New Roman" w:cs="Times New Roman"/>
                      <w:color w:val="auto"/>
                      <w:sz w:val="18"/>
                      <w:szCs w:val="18"/>
                      <w:lang w:val="en-US" w:eastAsia="zh-CN"/>
                    </w:rPr>
                    <w:t>75</w:t>
                  </w:r>
                </w:p>
              </w:tc>
              <w:tc>
                <w:tcPr>
                  <w:tcW w:w="261" w:type="pct"/>
                  <w:vMerge w:val="continue"/>
                  <w:shd w:val="clear" w:color="auto" w:fill="FFFFFF"/>
                  <w:vAlign w:val="center"/>
                </w:tcPr>
                <w:p w14:paraId="3D2EAD4A">
                  <w:pPr>
                    <w:pStyle w:val="27"/>
                    <w:jc w:val="center"/>
                    <w:rPr>
                      <w:rFonts w:ascii="Times New Roman" w:hAnsi="Times New Roman" w:eastAsia="宋体"/>
                      <w:sz w:val="18"/>
                      <w:szCs w:val="18"/>
                    </w:rPr>
                  </w:pPr>
                </w:p>
              </w:tc>
              <w:tc>
                <w:tcPr>
                  <w:tcW w:w="266" w:type="pct"/>
                  <w:shd w:val="clear" w:color="auto" w:fill="FFFFFF"/>
                  <w:vAlign w:val="center"/>
                </w:tcPr>
                <w:p w14:paraId="2155A0BD">
                  <w:pPr>
                    <w:pStyle w:val="27"/>
                    <w:ind w:firstLine="0" w:firstLineChars="0"/>
                    <w:jc w:val="center"/>
                    <w:rPr>
                      <w:rFonts w:hint="default" w:ascii="Times New Roman" w:hAnsi="Times New Roman" w:eastAsia="宋体"/>
                      <w:sz w:val="18"/>
                      <w:szCs w:val="18"/>
                      <w:lang w:val="en-US" w:eastAsia="zh-CN"/>
                    </w:rPr>
                  </w:pPr>
                  <w:r>
                    <w:rPr>
                      <w:rFonts w:hint="eastAsia" w:ascii="Times New Roman" w:hAnsi="Times New Roman" w:cs="Times New Roman"/>
                      <w:color w:val="auto"/>
                      <w:sz w:val="18"/>
                      <w:szCs w:val="18"/>
                      <w:lang w:val="en-US" w:eastAsia="zh-CN"/>
                    </w:rPr>
                    <w:t>26</w:t>
                  </w:r>
                </w:p>
              </w:tc>
              <w:tc>
                <w:tcPr>
                  <w:tcW w:w="271" w:type="pct"/>
                  <w:shd w:val="clear" w:color="auto" w:fill="FFFFFF"/>
                  <w:vAlign w:val="center"/>
                </w:tcPr>
                <w:p w14:paraId="4DA89669">
                  <w:pPr>
                    <w:pStyle w:val="27"/>
                    <w:ind w:firstLine="0" w:firstLineChars="0"/>
                    <w:jc w:val="center"/>
                    <w:rPr>
                      <w:rFonts w:hint="default" w:ascii="Times New Roman" w:hAnsi="Times New Roman" w:eastAsia="宋体"/>
                      <w:sz w:val="18"/>
                      <w:szCs w:val="18"/>
                      <w:lang w:val="en-US" w:eastAsia="zh-CN"/>
                    </w:rPr>
                  </w:pPr>
                  <w:r>
                    <w:rPr>
                      <w:rFonts w:hint="eastAsia" w:ascii="Times New Roman" w:hAnsi="Times New Roman" w:cs="Times New Roman"/>
                      <w:color w:val="auto"/>
                      <w:sz w:val="18"/>
                      <w:szCs w:val="18"/>
                      <w:lang w:val="en-US" w:eastAsia="zh-CN"/>
                    </w:rPr>
                    <w:t>44</w:t>
                  </w:r>
                </w:p>
              </w:tc>
              <w:tc>
                <w:tcPr>
                  <w:tcW w:w="231" w:type="pct"/>
                  <w:shd w:val="clear" w:color="auto" w:fill="FFFFFF"/>
                  <w:vAlign w:val="center"/>
                </w:tcPr>
                <w:p w14:paraId="7990DB8F">
                  <w:pPr>
                    <w:jc w:val="center"/>
                    <w:rPr>
                      <w:sz w:val="18"/>
                      <w:szCs w:val="18"/>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66982B75">
                  <w:pPr>
                    <w:pStyle w:val="27"/>
                    <w:ind w:firstLine="0" w:firstLineChars="0"/>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E9</w:t>
                  </w:r>
                </w:p>
              </w:tc>
              <w:tc>
                <w:tcPr>
                  <w:tcW w:w="326" w:type="pct"/>
                  <w:shd w:val="clear" w:color="auto" w:fill="FFFFFF"/>
                  <w:vAlign w:val="bottom"/>
                </w:tcPr>
                <w:p w14:paraId="73343F47">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55.9 </w:t>
                  </w:r>
                </w:p>
              </w:tc>
              <w:tc>
                <w:tcPr>
                  <w:tcW w:w="278" w:type="pct"/>
                  <w:shd w:val="clear" w:color="auto" w:fill="FFFFFF"/>
                  <w:vAlign w:val="center"/>
                </w:tcPr>
                <w:p w14:paraId="3A8F8DB5">
                  <w:pPr>
                    <w:jc w:val="center"/>
                    <w:rPr>
                      <w:kern w:val="0"/>
                      <w:sz w:val="18"/>
                      <w:szCs w:val="18"/>
                    </w:rPr>
                  </w:pPr>
                  <w:r>
                    <w:rPr>
                      <w:kern w:val="0"/>
                      <w:sz w:val="18"/>
                      <w:szCs w:val="18"/>
                    </w:rPr>
                    <w:t>昼/夜</w:t>
                  </w:r>
                </w:p>
              </w:tc>
              <w:tc>
                <w:tcPr>
                  <w:tcW w:w="360" w:type="pct"/>
                  <w:shd w:val="clear" w:color="auto" w:fill="FFFFFF"/>
                  <w:vAlign w:val="center"/>
                </w:tcPr>
                <w:p w14:paraId="691DEF58">
                  <w:pPr>
                    <w:jc w:val="center"/>
                    <w:rPr>
                      <w:kern w:val="0"/>
                      <w:sz w:val="18"/>
                      <w:szCs w:val="18"/>
                    </w:rPr>
                  </w:pPr>
                  <w:r>
                    <w:rPr>
                      <w:kern w:val="0"/>
                      <w:sz w:val="18"/>
                      <w:szCs w:val="18"/>
                    </w:rPr>
                    <w:t>20</w:t>
                  </w:r>
                </w:p>
              </w:tc>
              <w:tc>
                <w:tcPr>
                  <w:tcW w:w="321" w:type="pct"/>
                  <w:shd w:val="clear" w:color="auto" w:fill="FFFFFF"/>
                  <w:vAlign w:val="bottom"/>
                </w:tcPr>
                <w:p w14:paraId="7B0E2E4F">
                  <w:pPr>
                    <w:keepNext w:val="0"/>
                    <w:keepLines w:val="0"/>
                    <w:widowControl/>
                    <w:suppressLineNumbers w:val="0"/>
                    <w:jc w:val="center"/>
                    <w:textAlignment w:val="bottom"/>
                    <w:rPr>
                      <w:rFonts w:ascii="Times New Roman" w:hAnsi="Times New Roman" w:eastAsia="宋体" w:cs="Times New Roman"/>
                      <w:kern w:val="0"/>
                      <w:sz w:val="18"/>
                      <w:szCs w:val="18"/>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 xml:space="preserve">5.9 </w:t>
                  </w:r>
                </w:p>
              </w:tc>
              <w:tc>
                <w:tcPr>
                  <w:tcW w:w="369" w:type="pct"/>
                  <w:shd w:val="clear" w:color="auto" w:fill="FFFFFF"/>
                  <w:vAlign w:val="center"/>
                </w:tcPr>
                <w:p w14:paraId="7E4662CC">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4E37A849">
                  <w:pPr>
                    <w:jc w:val="center"/>
                    <w:rPr>
                      <w:sz w:val="18"/>
                      <w:szCs w:val="18"/>
                    </w:rPr>
                  </w:pPr>
                </w:p>
              </w:tc>
            </w:tr>
            <w:tr w14:paraId="53F957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 w:type="pct"/>
                  <w:shd w:val="clear" w:color="auto" w:fill="FFFFFF"/>
                  <w:vAlign w:val="center"/>
                </w:tcPr>
                <w:p w14:paraId="1546808F">
                  <w:pPr>
                    <w:pStyle w:val="27"/>
                    <w:jc w:val="center"/>
                    <w:rPr>
                      <w:rFonts w:ascii="Times New Roman" w:hAnsi="Times New Roman" w:eastAsia="宋体"/>
                      <w:sz w:val="18"/>
                      <w:szCs w:val="18"/>
                    </w:rPr>
                  </w:pPr>
                  <w:r>
                    <w:rPr>
                      <w:rFonts w:ascii="Times New Roman" w:hAnsi="Times New Roman" w:eastAsia="宋体"/>
                      <w:sz w:val="18"/>
                      <w:szCs w:val="18"/>
                    </w:rPr>
                    <w:t>7</w:t>
                  </w:r>
                </w:p>
              </w:tc>
              <w:tc>
                <w:tcPr>
                  <w:tcW w:w="219" w:type="pct"/>
                  <w:vMerge w:val="continue"/>
                  <w:shd w:val="clear" w:color="auto" w:fill="FFFFFF"/>
                  <w:vAlign w:val="center"/>
                </w:tcPr>
                <w:p w14:paraId="234187DE">
                  <w:pPr>
                    <w:pStyle w:val="27"/>
                    <w:jc w:val="center"/>
                    <w:rPr>
                      <w:rFonts w:ascii="Times New Roman" w:hAnsi="Times New Roman" w:eastAsia="宋体"/>
                      <w:sz w:val="18"/>
                      <w:szCs w:val="18"/>
                    </w:rPr>
                  </w:pPr>
                </w:p>
              </w:tc>
              <w:tc>
                <w:tcPr>
                  <w:tcW w:w="518" w:type="pct"/>
                  <w:shd w:val="clear" w:color="auto" w:fill="FFFFFF"/>
                  <w:vAlign w:val="center"/>
                </w:tcPr>
                <w:p w14:paraId="0F1980D2">
                  <w:pPr>
                    <w:jc w:val="center"/>
                    <w:rPr>
                      <w:rFonts w:ascii="Times New Roman" w:hAnsi="Times New Roman" w:eastAsia="宋体" w:cs="Times New Roman"/>
                      <w:color w:val="000000"/>
                      <w:spacing w:val="-10"/>
                      <w:kern w:val="0"/>
                      <w:sz w:val="18"/>
                      <w:szCs w:val="18"/>
                      <w:lang w:val="en-US" w:eastAsia="zh-CN" w:bidi="ar-SA"/>
                    </w:rPr>
                  </w:pPr>
                  <w:r>
                    <w:rPr>
                      <w:rFonts w:hint="eastAsia"/>
                      <w:sz w:val="18"/>
                      <w:szCs w:val="18"/>
                      <w:lang w:eastAsia="zh-CN"/>
                    </w:rPr>
                    <w:t>皮带输送机</w:t>
                  </w:r>
                </w:p>
              </w:tc>
              <w:tc>
                <w:tcPr>
                  <w:tcW w:w="171" w:type="pct"/>
                  <w:shd w:val="clear" w:color="auto" w:fill="FFFFFF"/>
                  <w:vAlign w:val="center"/>
                </w:tcPr>
                <w:p w14:paraId="77B62DCB">
                  <w:pPr>
                    <w:bidi w:val="0"/>
                    <w:jc w:val="center"/>
                    <w:rPr>
                      <w:rFonts w:ascii="Times New Roman" w:hAnsi="Times New Roman" w:eastAsia="宋体" w:cs="Times New Roman"/>
                      <w:color w:val="000000"/>
                      <w:spacing w:val="-10"/>
                      <w:kern w:val="0"/>
                      <w:sz w:val="18"/>
                      <w:szCs w:val="18"/>
                      <w:lang w:val="en-US" w:eastAsia="zh-CN" w:bidi="ar-SA"/>
                    </w:rPr>
                  </w:pPr>
                  <w:r>
                    <w:rPr>
                      <w:rFonts w:hint="eastAsia" w:cs="Times New Roman"/>
                      <w:color w:val="auto"/>
                      <w:sz w:val="18"/>
                      <w:szCs w:val="18"/>
                      <w:lang w:val="en-US" w:eastAsia="zh-CN"/>
                    </w:rPr>
                    <w:t>1</w:t>
                  </w:r>
                </w:p>
              </w:tc>
              <w:tc>
                <w:tcPr>
                  <w:tcW w:w="443" w:type="pct"/>
                  <w:shd w:val="clear" w:color="auto" w:fill="FFFFFF"/>
                  <w:vAlign w:val="center"/>
                </w:tcPr>
                <w:p w14:paraId="7C4CB175">
                  <w:pPr>
                    <w:jc w:val="center"/>
                    <w:rPr>
                      <w:sz w:val="18"/>
                      <w:szCs w:val="18"/>
                    </w:rPr>
                  </w:pPr>
                  <w:r>
                    <w:rPr>
                      <w:sz w:val="18"/>
                      <w:szCs w:val="18"/>
                    </w:rPr>
                    <w:t>/</w:t>
                  </w:r>
                </w:p>
              </w:tc>
              <w:tc>
                <w:tcPr>
                  <w:tcW w:w="288" w:type="pct"/>
                  <w:shd w:val="clear" w:color="auto" w:fill="FFFFFF"/>
                  <w:vAlign w:val="center"/>
                </w:tcPr>
                <w:p w14:paraId="5447F3CC">
                  <w:pPr>
                    <w:spacing w:line="320" w:lineRule="exact"/>
                    <w:jc w:val="center"/>
                    <w:rPr>
                      <w:sz w:val="18"/>
                      <w:szCs w:val="18"/>
                    </w:rPr>
                  </w:pPr>
                  <w:r>
                    <w:rPr>
                      <w:rFonts w:hint="default" w:ascii="Times New Roman" w:hAnsi="Times New Roman" w:cs="Times New Roman"/>
                      <w:color w:val="auto"/>
                      <w:sz w:val="18"/>
                      <w:szCs w:val="18"/>
                      <w:lang w:val="en-US" w:eastAsia="zh-CN"/>
                    </w:rPr>
                    <w:t>80</w:t>
                  </w:r>
                </w:p>
              </w:tc>
              <w:tc>
                <w:tcPr>
                  <w:tcW w:w="261" w:type="pct"/>
                  <w:vMerge w:val="continue"/>
                  <w:shd w:val="clear" w:color="auto" w:fill="FFFFFF"/>
                  <w:vAlign w:val="center"/>
                </w:tcPr>
                <w:p w14:paraId="1CBA7927">
                  <w:pPr>
                    <w:pStyle w:val="27"/>
                    <w:jc w:val="center"/>
                    <w:rPr>
                      <w:rFonts w:ascii="Times New Roman" w:hAnsi="Times New Roman" w:eastAsia="宋体"/>
                      <w:sz w:val="18"/>
                      <w:szCs w:val="18"/>
                    </w:rPr>
                  </w:pPr>
                </w:p>
              </w:tc>
              <w:tc>
                <w:tcPr>
                  <w:tcW w:w="266" w:type="pct"/>
                  <w:shd w:val="clear" w:color="auto" w:fill="FFFFFF"/>
                  <w:vAlign w:val="center"/>
                </w:tcPr>
                <w:p w14:paraId="71D147B2">
                  <w:pPr>
                    <w:pStyle w:val="27"/>
                    <w:ind w:firstLine="0" w:firstLineChars="0"/>
                    <w:jc w:val="center"/>
                    <w:rPr>
                      <w:rFonts w:hint="default" w:ascii="Times New Roman" w:hAnsi="Times New Roman" w:eastAsia="宋体"/>
                      <w:sz w:val="18"/>
                      <w:szCs w:val="18"/>
                      <w:lang w:val="en-US" w:eastAsia="zh-CN"/>
                    </w:rPr>
                  </w:pPr>
                  <w:r>
                    <w:rPr>
                      <w:rFonts w:hint="default" w:ascii="Times New Roman" w:hAnsi="Times New Roman" w:cs="Times New Roman"/>
                      <w:color w:val="auto"/>
                      <w:sz w:val="18"/>
                      <w:szCs w:val="18"/>
                      <w:lang w:val="en-US" w:eastAsia="zh-CN"/>
                    </w:rPr>
                    <w:t>30</w:t>
                  </w:r>
                </w:p>
              </w:tc>
              <w:tc>
                <w:tcPr>
                  <w:tcW w:w="271" w:type="pct"/>
                  <w:shd w:val="clear" w:color="auto" w:fill="FFFFFF"/>
                  <w:vAlign w:val="center"/>
                </w:tcPr>
                <w:p w14:paraId="286CC61E">
                  <w:pPr>
                    <w:pStyle w:val="27"/>
                    <w:ind w:firstLine="0" w:firstLineChars="0"/>
                    <w:jc w:val="center"/>
                    <w:rPr>
                      <w:rFonts w:hint="default" w:ascii="Times New Roman" w:hAnsi="Times New Roman" w:eastAsia="宋体"/>
                      <w:sz w:val="18"/>
                      <w:szCs w:val="18"/>
                      <w:lang w:val="en-US" w:eastAsia="zh-CN"/>
                    </w:rPr>
                  </w:pPr>
                  <w:r>
                    <w:rPr>
                      <w:rFonts w:hint="default" w:ascii="Times New Roman" w:hAnsi="Times New Roman" w:cs="Times New Roman"/>
                      <w:color w:val="auto"/>
                      <w:sz w:val="18"/>
                      <w:szCs w:val="18"/>
                      <w:lang w:val="en-US" w:eastAsia="zh-CN"/>
                    </w:rPr>
                    <w:t>4</w:t>
                  </w:r>
                  <w:r>
                    <w:rPr>
                      <w:rFonts w:hint="eastAsia" w:ascii="Times New Roman" w:hAnsi="Times New Roman" w:cs="Times New Roman"/>
                      <w:color w:val="auto"/>
                      <w:sz w:val="18"/>
                      <w:szCs w:val="18"/>
                      <w:lang w:val="en-US" w:eastAsia="zh-CN"/>
                    </w:rPr>
                    <w:t>2</w:t>
                  </w:r>
                </w:p>
              </w:tc>
              <w:tc>
                <w:tcPr>
                  <w:tcW w:w="231" w:type="pct"/>
                  <w:shd w:val="clear" w:color="auto" w:fill="FFFFFF"/>
                  <w:vAlign w:val="center"/>
                </w:tcPr>
                <w:p w14:paraId="3E7ADA82">
                  <w:pPr>
                    <w:jc w:val="center"/>
                    <w:rPr>
                      <w:sz w:val="18"/>
                      <w:szCs w:val="18"/>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5E8B2F6D">
                  <w:pPr>
                    <w:pStyle w:val="27"/>
                    <w:ind w:firstLine="0" w:firstLineChars="0"/>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E5</w:t>
                  </w:r>
                </w:p>
              </w:tc>
              <w:tc>
                <w:tcPr>
                  <w:tcW w:w="326" w:type="pct"/>
                  <w:shd w:val="clear" w:color="auto" w:fill="FFFFFF"/>
                  <w:vAlign w:val="bottom"/>
                </w:tcPr>
                <w:p w14:paraId="1B0EB58A">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66.0 </w:t>
                  </w:r>
                </w:p>
              </w:tc>
              <w:tc>
                <w:tcPr>
                  <w:tcW w:w="278" w:type="pct"/>
                  <w:shd w:val="clear" w:color="auto" w:fill="FFFFFF"/>
                  <w:vAlign w:val="center"/>
                </w:tcPr>
                <w:p w14:paraId="1847C8E4">
                  <w:pPr>
                    <w:jc w:val="center"/>
                    <w:rPr>
                      <w:kern w:val="0"/>
                      <w:sz w:val="18"/>
                      <w:szCs w:val="18"/>
                    </w:rPr>
                  </w:pPr>
                  <w:r>
                    <w:rPr>
                      <w:kern w:val="0"/>
                      <w:sz w:val="18"/>
                      <w:szCs w:val="18"/>
                    </w:rPr>
                    <w:t>昼/夜</w:t>
                  </w:r>
                </w:p>
              </w:tc>
              <w:tc>
                <w:tcPr>
                  <w:tcW w:w="360" w:type="pct"/>
                  <w:shd w:val="clear" w:color="auto" w:fill="FFFFFF"/>
                  <w:vAlign w:val="center"/>
                </w:tcPr>
                <w:p w14:paraId="3AF6D0B7">
                  <w:pPr>
                    <w:jc w:val="center"/>
                    <w:rPr>
                      <w:kern w:val="0"/>
                      <w:sz w:val="18"/>
                      <w:szCs w:val="18"/>
                    </w:rPr>
                  </w:pPr>
                  <w:r>
                    <w:rPr>
                      <w:kern w:val="0"/>
                      <w:sz w:val="18"/>
                      <w:szCs w:val="18"/>
                    </w:rPr>
                    <w:t>20</w:t>
                  </w:r>
                </w:p>
              </w:tc>
              <w:tc>
                <w:tcPr>
                  <w:tcW w:w="321" w:type="pct"/>
                  <w:shd w:val="clear" w:color="auto" w:fill="FFFFFF"/>
                  <w:vAlign w:val="bottom"/>
                </w:tcPr>
                <w:p w14:paraId="60C113E4">
                  <w:pPr>
                    <w:keepNext w:val="0"/>
                    <w:keepLines w:val="0"/>
                    <w:widowControl/>
                    <w:suppressLineNumbers w:val="0"/>
                    <w:jc w:val="center"/>
                    <w:textAlignment w:val="bottom"/>
                    <w:rPr>
                      <w:rFonts w:ascii="Times New Roman" w:hAnsi="Times New Roman" w:eastAsia="宋体" w:cs="Times New Roman"/>
                      <w:kern w:val="0"/>
                      <w:sz w:val="18"/>
                      <w:szCs w:val="18"/>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 xml:space="preserve">6.0 </w:t>
                  </w:r>
                </w:p>
              </w:tc>
              <w:tc>
                <w:tcPr>
                  <w:tcW w:w="369" w:type="pct"/>
                  <w:shd w:val="clear" w:color="auto" w:fill="FFFFFF"/>
                  <w:vAlign w:val="center"/>
                </w:tcPr>
                <w:p w14:paraId="7472FF11">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21BE959C">
                  <w:pPr>
                    <w:jc w:val="center"/>
                    <w:rPr>
                      <w:sz w:val="18"/>
                      <w:szCs w:val="18"/>
                    </w:rPr>
                  </w:pPr>
                </w:p>
              </w:tc>
            </w:tr>
            <w:tr w14:paraId="08EDBD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2" w:type="pct"/>
                  <w:shd w:val="clear" w:color="auto" w:fill="FFFFFF"/>
                  <w:vAlign w:val="center"/>
                </w:tcPr>
                <w:p w14:paraId="1D0EE321">
                  <w:pPr>
                    <w:pStyle w:val="27"/>
                    <w:jc w:val="center"/>
                    <w:rPr>
                      <w:rFonts w:hint="eastAsia" w:ascii="Times New Roman" w:hAnsi="Times New Roman" w:eastAsia="宋体"/>
                      <w:sz w:val="18"/>
                      <w:szCs w:val="18"/>
                      <w:lang w:val="en-US" w:eastAsia="zh-CN"/>
                    </w:rPr>
                  </w:pPr>
                  <w:r>
                    <w:rPr>
                      <w:rFonts w:hint="eastAsia" w:ascii="Times New Roman" w:hAnsi="Times New Roman" w:eastAsia="宋体"/>
                      <w:sz w:val="18"/>
                      <w:szCs w:val="18"/>
                      <w:lang w:val="en-US" w:eastAsia="zh-CN"/>
                    </w:rPr>
                    <w:t>8</w:t>
                  </w:r>
                </w:p>
              </w:tc>
              <w:tc>
                <w:tcPr>
                  <w:tcW w:w="219" w:type="pct"/>
                  <w:vMerge w:val="continue"/>
                  <w:shd w:val="clear" w:color="auto" w:fill="FFFFFF"/>
                  <w:vAlign w:val="center"/>
                </w:tcPr>
                <w:p w14:paraId="35A74210">
                  <w:pPr>
                    <w:pStyle w:val="27"/>
                    <w:jc w:val="center"/>
                    <w:rPr>
                      <w:rFonts w:ascii="Times New Roman" w:hAnsi="Times New Roman" w:eastAsia="宋体"/>
                      <w:sz w:val="18"/>
                      <w:szCs w:val="18"/>
                    </w:rPr>
                  </w:pPr>
                </w:p>
              </w:tc>
              <w:tc>
                <w:tcPr>
                  <w:tcW w:w="518" w:type="pct"/>
                  <w:shd w:val="clear" w:color="auto" w:fill="FFFFFF"/>
                  <w:vAlign w:val="center"/>
                </w:tcPr>
                <w:p w14:paraId="06B3D022">
                  <w:pPr>
                    <w:jc w:val="center"/>
                    <w:rPr>
                      <w:rFonts w:ascii="Times New Roman" w:hAnsi="Times New Roman" w:eastAsia="宋体" w:cs="Times New Roman"/>
                      <w:color w:val="000000"/>
                      <w:spacing w:val="-10"/>
                      <w:kern w:val="0"/>
                      <w:sz w:val="18"/>
                      <w:szCs w:val="18"/>
                      <w:lang w:val="en-US" w:eastAsia="zh-CN" w:bidi="ar-SA"/>
                    </w:rPr>
                  </w:pPr>
                  <w:r>
                    <w:rPr>
                      <w:rFonts w:hint="eastAsia"/>
                      <w:sz w:val="18"/>
                      <w:szCs w:val="18"/>
                      <w:lang w:eastAsia="zh-CN"/>
                    </w:rPr>
                    <w:t>皮带输送机</w:t>
                  </w:r>
                </w:p>
              </w:tc>
              <w:tc>
                <w:tcPr>
                  <w:tcW w:w="171" w:type="pct"/>
                  <w:shd w:val="clear" w:color="auto" w:fill="FFFFFF"/>
                  <w:vAlign w:val="center"/>
                </w:tcPr>
                <w:p w14:paraId="1DBEFF8A">
                  <w:pPr>
                    <w:bidi w:val="0"/>
                    <w:jc w:val="center"/>
                    <w:rPr>
                      <w:rFonts w:ascii="Times New Roman" w:hAnsi="Times New Roman" w:eastAsia="宋体" w:cs="Times New Roman"/>
                      <w:color w:val="000000"/>
                      <w:spacing w:val="-10"/>
                      <w:kern w:val="0"/>
                      <w:sz w:val="18"/>
                      <w:szCs w:val="18"/>
                      <w:lang w:val="en-US" w:eastAsia="zh-CN" w:bidi="ar-SA"/>
                    </w:rPr>
                  </w:pPr>
                  <w:r>
                    <w:rPr>
                      <w:rFonts w:hint="eastAsia" w:cs="Times New Roman"/>
                      <w:color w:val="auto"/>
                      <w:sz w:val="18"/>
                      <w:szCs w:val="18"/>
                      <w:lang w:val="en-US" w:eastAsia="zh-CN"/>
                    </w:rPr>
                    <w:t>1</w:t>
                  </w:r>
                </w:p>
              </w:tc>
              <w:tc>
                <w:tcPr>
                  <w:tcW w:w="443" w:type="pct"/>
                  <w:shd w:val="clear" w:color="auto" w:fill="FFFFFF"/>
                  <w:vAlign w:val="center"/>
                </w:tcPr>
                <w:p w14:paraId="0DB34317">
                  <w:pPr>
                    <w:jc w:val="center"/>
                    <w:rPr>
                      <w:sz w:val="18"/>
                      <w:szCs w:val="18"/>
                    </w:rPr>
                  </w:pPr>
                  <w:r>
                    <w:rPr>
                      <w:sz w:val="18"/>
                      <w:szCs w:val="18"/>
                    </w:rPr>
                    <w:t>/</w:t>
                  </w:r>
                </w:p>
              </w:tc>
              <w:tc>
                <w:tcPr>
                  <w:tcW w:w="288" w:type="pct"/>
                  <w:shd w:val="clear" w:color="auto" w:fill="FFFFFF"/>
                  <w:vAlign w:val="center"/>
                </w:tcPr>
                <w:p w14:paraId="72C90CB2">
                  <w:pPr>
                    <w:spacing w:line="320" w:lineRule="exact"/>
                    <w:jc w:val="center"/>
                    <w:rPr>
                      <w:sz w:val="18"/>
                      <w:szCs w:val="18"/>
                    </w:rPr>
                  </w:pPr>
                  <w:r>
                    <w:rPr>
                      <w:rFonts w:hint="default" w:ascii="Times New Roman" w:hAnsi="Times New Roman" w:cs="Times New Roman"/>
                      <w:color w:val="auto"/>
                      <w:sz w:val="18"/>
                      <w:szCs w:val="18"/>
                      <w:lang w:val="en-US" w:eastAsia="zh-CN"/>
                    </w:rPr>
                    <w:t>80</w:t>
                  </w:r>
                </w:p>
              </w:tc>
              <w:tc>
                <w:tcPr>
                  <w:tcW w:w="261" w:type="pct"/>
                  <w:vMerge w:val="continue"/>
                  <w:shd w:val="clear" w:color="auto" w:fill="FFFFFF"/>
                  <w:vAlign w:val="center"/>
                </w:tcPr>
                <w:p w14:paraId="2AC757BA">
                  <w:pPr>
                    <w:pStyle w:val="27"/>
                    <w:jc w:val="center"/>
                    <w:rPr>
                      <w:rFonts w:ascii="Times New Roman" w:hAnsi="Times New Roman" w:eastAsia="宋体"/>
                      <w:sz w:val="18"/>
                      <w:szCs w:val="18"/>
                    </w:rPr>
                  </w:pPr>
                </w:p>
              </w:tc>
              <w:tc>
                <w:tcPr>
                  <w:tcW w:w="266" w:type="pct"/>
                  <w:shd w:val="clear" w:color="auto" w:fill="FFFFFF"/>
                  <w:vAlign w:val="center"/>
                </w:tcPr>
                <w:p w14:paraId="6543FEF2">
                  <w:pPr>
                    <w:pStyle w:val="27"/>
                    <w:ind w:firstLine="0" w:firstLineChars="0"/>
                    <w:jc w:val="center"/>
                    <w:rPr>
                      <w:rFonts w:hint="default" w:ascii="Times New Roman" w:hAnsi="Times New Roman" w:eastAsia="宋体"/>
                      <w:sz w:val="18"/>
                      <w:szCs w:val="18"/>
                      <w:lang w:val="en-US" w:eastAsia="zh-CN"/>
                    </w:rPr>
                  </w:pPr>
                  <w:r>
                    <w:rPr>
                      <w:rFonts w:hint="eastAsia" w:ascii="Times New Roman" w:hAnsi="Times New Roman" w:cs="Times New Roman"/>
                      <w:color w:val="auto"/>
                      <w:sz w:val="18"/>
                      <w:szCs w:val="18"/>
                      <w:lang w:val="en-US" w:eastAsia="zh-CN"/>
                    </w:rPr>
                    <w:t>32</w:t>
                  </w:r>
                </w:p>
              </w:tc>
              <w:tc>
                <w:tcPr>
                  <w:tcW w:w="271" w:type="pct"/>
                  <w:shd w:val="clear" w:color="auto" w:fill="FFFFFF"/>
                  <w:vAlign w:val="center"/>
                </w:tcPr>
                <w:p w14:paraId="417B5E9F">
                  <w:pPr>
                    <w:pStyle w:val="27"/>
                    <w:ind w:firstLine="0" w:firstLineChars="0"/>
                    <w:jc w:val="center"/>
                    <w:rPr>
                      <w:rFonts w:hint="default" w:ascii="Times New Roman" w:hAnsi="Times New Roman" w:eastAsia="宋体"/>
                      <w:sz w:val="18"/>
                      <w:szCs w:val="18"/>
                      <w:lang w:val="en-US" w:eastAsia="zh-CN"/>
                    </w:rPr>
                  </w:pPr>
                  <w:r>
                    <w:rPr>
                      <w:rFonts w:hint="eastAsia" w:ascii="Times New Roman" w:hAnsi="Times New Roman" w:cs="Times New Roman"/>
                      <w:color w:val="auto"/>
                      <w:sz w:val="18"/>
                      <w:szCs w:val="18"/>
                      <w:lang w:val="en-US" w:eastAsia="zh-CN"/>
                    </w:rPr>
                    <w:t>36</w:t>
                  </w:r>
                </w:p>
              </w:tc>
              <w:tc>
                <w:tcPr>
                  <w:tcW w:w="231" w:type="pct"/>
                  <w:shd w:val="clear" w:color="auto" w:fill="FFFFFF"/>
                  <w:vAlign w:val="center"/>
                </w:tcPr>
                <w:p w14:paraId="2ACE958D">
                  <w:pPr>
                    <w:jc w:val="center"/>
                    <w:rPr>
                      <w:sz w:val="18"/>
                      <w:szCs w:val="18"/>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5CEBCE4B">
                  <w:pPr>
                    <w:pStyle w:val="27"/>
                    <w:ind w:firstLine="0" w:firstLineChars="0"/>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E3</w:t>
                  </w:r>
                </w:p>
              </w:tc>
              <w:tc>
                <w:tcPr>
                  <w:tcW w:w="326" w:type="pct"/>
                  <w:shd w:val="clear" w:color="auto" w:fill="FFFFFF"/>
                  <w:vAlign w:val="bottom"/>
                </w:tcPr>
                <w:p w14:paraId="057ECEF2">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70.5 </w:t>
                  </w:r>
                </w:p>
              </w:tc>
              <w:tc>
                <w:tcPr>
                  <w:tcW w:w="278" w:type="pct"/>
                  <w:shd w:val="clear" w:color="auto" w:fill="FFFFFF"/>
                  <w:vAlign w:val="center"/>
                </w:tcPr>
                <w:p w14:paraId="036BA030">
                  <w:pPr>
                    <w:jc w:val="center"/>
                    <w:rPr>
                      <w:kern w:val="0"/>
                      <w:sz w:val="18"/>
                      <w:szCs w:val="18"/>
                    </w:rPr>
                  </w:pPr>
                  <w:r>
                    <w:rPr>
                      <w:kern w:val="0"/>
                      <w:sz w:val="18"/>
                      <w:szCs w:val="18"/>
                    </w:rPr>
                    <w:t>昼/夜</w:t>
                  </w:r>
                </w:p>
              </w:tc>
              <w:tc>
                <w:tcPr>
                  <w:tcW w:w="360" w:type="pct"/>
                  <w:shd w:val="clear" w:color="auto" w:fill="FFFFFF"/>
                  <w:vAlign w:val="center"/>
                </w:tcPr>
                <w:p w14:paraId="523241F9">
                  <w:pPr>
                    <w:jc w:val="center"/>
                    <w:rPr>
                      <w:rFonts w:hint="default" w:eastAsia="宋体"/>
                      <w:kern w:val="0"/>
                      <w:sz w:val="18"/>
                      <w:szCs w:val="18"/>
                      <w:lang w:val="en-US" w:eastAsia="zh-CN"/>
                    </w:rPr>
                  </w:pPr>
                  <w:r>
                    <w:rPr>
                      <w:rFonts w:hint="eastAsia"/>
                      <w:kern w:val="0"/>
                      <w:sz w:val="18"/>
                      <w:szCs w:val="18"/>
                      <w:lang w:val="en-US" w:eastAsia="zh-CN"/>
                    </w:rPr>
                    <w:t>20</w:t>
                  </w:r>
                </w:p>
              </w:tc>
              <w:tc>
                <w:tcPr>
                  <w:tcW w:w="321" w:type="pct"/>
                  <w:shd w:val="clear" w:color="auto" w:fill="FFFFFF"/>
                  <w:vAlign w:val="bottom"/>
                </w:tcPr>
                <w:p w14:paraId="4993501D">
                  <w:pPr>
                    <w:keepNext w:val="0"/>
                    <w:keepLines w:val="0"/>
                    <w:widowControl/>
                    <w:suppressLineNumbers w:val="0"/>
                    <w:jc w:val="center"/>
                    <w:textAlignment w:val="bottom"/>
                    <w:rPr>
                      <w:rFonts w:ascii="Times New Roman" w:hAnsi="Times New Roman" w:eastAsia="宋体" w:cs="Times New Roman"/>
                      <w:kern w:val="0"/>
                      <w:sz w:val="18"/>
                      <w:szCs w:val="18"/>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 xml:space="preserve">0.5 </w:t>
                  </w:r>
                </w:p>
              </w:tc>
              <w:tc>
                <w:tcPr>
                  <w:tcW w:w="369" w:type="pct"/>
                  <w:shd w:val="clear" w:color="auto" w:fill="FFFFFF"/>
                  <w:vAlign w:val="center"/>
                </w:tcPr>
                <w:p w14:paraId="5F12EACD">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7ABAA4E6">
                  <w:pPr>
                    <w:jc w:val="center"/>
                    <w:rPr>
                      <w:sz w:val="18"/>
                      <w:szCs w:val="18"/>
                    </w:rPr>
                  </w:pPr>
                </w:p>
              </w:tc>
            </w:tr>
            <w:tr w14:paraId="744E59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2" w:type="pct"/>
                  <w:shd w:val="clear" w:color="auto" w:fill="FFFFFF"/>
                  <w:vAlign w:val="center"/>
                </w:tcPr>
                <w:p w14:paraId="7B8B3493">
                  <w:pPr>
                    <w:pStyle w:val="27"/>
                    <w:jc w:val="center"/>
                    <w:rPr>
                      <w:rFonts w:hint="eastAsia" w:ascii="Times New Roman" w:hAnsi="Times New Roman" w:eastAsia="宋体"/>
                      <w:sz w:val="18"/>
                      <w:szCs w:val="18"/>
                      <w:lang w:val="en-US" w:eastAsia="zh-CN"/>
                    </w:rPr>
                  </w:pPr>
                  <w:r>
                    <w:rPr>
                      <w:rFonts w:hint="eastAsia" w:ascii="Times New Roman" w:hAnsi="Times New Roman" w:eastAsia="宋体"/>
                      <w:sz w:val="18"/>
                      <w:szCs w:val="18"/>
                      <w:lang w:val="en-US" w:eastAsia="zh-CN"/>
                    </w:rPr>
                    <w:t>9</w:t>
                  </w:r>
                </w:p>
              </w:tc>
              <w:tc>
                <w:tcPr>
                  <w:tcW w:w="219" w:type="pct"/>
                  <w:vMerge w:val="continue"/>
                  <w:shd w:val="clear" w:color="auto" w:fill="FFFFFF"/>
                  <w:vAlign w:val="center"/>
                </w:tcPr>
                <w:p w14:paraId="5CA7CC57">
                  <w:pPr>
                    <w:pStyle w:val="27"/>
                    <w:jc w:val="center"/>
                    <w:rPr>
                      <w:rFonts w:ascii="Times New Roman" w:hAnsi="Times New Roman" w:eastAsia="宋体"/>
                      <w:sz w:val="18"/>
                      <w:szCs w:val="18"/>
                    </w:rPr>
                  </w:pPr>
                </w:p>
              </w:tc>
              <w:tc>
                <w:tcPr>
                  <w:tcW w:w="518" w:type="pct"/>
                  <w:shd w:val="clear" w:color="auto" w:fill="FFFFFF"/>
                  <w:vAlign w:val="center"/>
                </w:tcPr>
                <w:p w14:paraId="05E2AA2D">
                  <w:pPr>
                    <w:jc w:val="center"/>
                    <w:rPr>
                      <w:rFonts w:ascii="Times New Roman" w:hAnsi="Times New Roman" w:eastAsia="宋体" w:cs="Times New Roman"/>
                      <w:color w:val="000000"/>
                      <w:spacing w:val="-10"/>
                      <w:kern w:val="0"/>
                      <w:sz w:val="18"/>
                      <w:szCs w:val="18"/>
                      <w:lang w:val="en-US" w:eastAsia="zh-CN" w:bidi="ar-SA"/>
                    </w:rPr>
                  </w:pPr>
                  <w:r>
                    <w:rPr>
                      <w:rFonts w:hint="eastAsia"/>
                      <w:sz w:val="18"/>
                      <w:szCs w:val="18"/>
                      <w:lang w:eastAsia="zh-CN"/>
                    </w:rPr>
                    <w:t>破碎机</w:t>
                  </w:r>
                </w:p>
              </w:tc>
              <w:tc>
                <w:tcPr>
                  <w:tcW w:w="171" w:type="pct"/>
                  <w:shd w:val="clear" w:color="auto" w:fill="FFFFFF"/>
                  <w:vAlign w:val="center"/>
                </w:tcPr>
                <w:p w14:paraId="024B35E9">
                  <w:pPr>
                    <w:bidi w:val="0"/>
                    <w:jc w:val="center"/>
                    <w:rPr>
                      <w:rFonts w:ascii="Times New Roman" w:hAnsi="Times New Roman" w:eastAsia="宋体" w:cs="Times New Roman"/>
                      <w:color w:val="000000"/>
                      <w:spacing w:val="-10"/>
                      <w:kern w:val="0"/>
                      <w:sz w:val="18"/>
                      <w:szCs w:val="18"/>
                      <w:lang w:val="en-US" w:eastAsia="zh-CN" w:bidi="ar-SA"/>
                    </w:rPr>
                  </w:pPr>
                  <w:r>
                    <w:rPr>
                      <w:rFonts w:hint="eastAsia" w:cs="Times New Roman"/>
                      <w:color w:val="auto"/>
                      <w:sz w:val="18"/>
                      <w:szCs w:val="18"/>
                      <w:lang w:val="en-US" w:eastAsia="zh-CN"/>
                    </w:rPr>
                    <w:t>1</w:t>
                  </w:r>
                </w:p>
              </w:tc>
              <w:tc>
                <w:tcPr>
                  <w:tcW w:w="443" w:type="pct"/>
                  <w:shd w:val="clear" w:color="auto" w:fill="FFFFFF"/>
                  <w:vAlign w:val="center"/>
                </w:tcPr>
                <w:p w14:paraId="614DC427">
                  <w:pPr>
                    <w:jc w:val="center"/>
                    <w:rPr>
                      <w:sz w:val="18"/>
                      <w:szCs w:val="18"/>
                    </w:rPr>
                  </w:pPr>
                  <w:r>
                    <w:rPr>
                      <w:sz w:val="18"/>
                      <w:szCs w:val="18"/>
                    </w:rPr>
                    <w:t>/</w:t>
                  </w:r>
                </w:p>
              </w:tc>
              <w:tc>
                <w:tcPr>
                  <w:tcW w:w="288" w:type="pct"/>
                  <w:shd w:val="clear" w:color="auto" w:fill="FFFFFF"/>
                  <w:vAlign w:val="center"/>
                </w:tcPr>
                <w:p w14:paraId="190B3BB2">
                  <w:pPr>
                    <w:spacing w:line="320" w:lineRule="exact"/>
                    <w:jc w:val="center"/>
                    <w:rPr>
                      <w:sz w:val="18"/>
                      <w:szCs w:val="18"/>
                    </w:rPr>
                  </w:pPr>
                  <w:r>
                    <w:rPr>
                      <w:rFonts w:hint="default" w:ascii="Times New Roman" w:hAnsi="Times New Roman" w:cs="Times New Roman"/>
                      <w:color w:val="auto"/>
                      <w:sz w:val="18"/>
                      <w:szCs w:val="18"/>
                      <w:lang w:val="en-US" w:eastAsia="zh-CN"/>
                    </w:rPr>
                    <w:t>75</w:t>
                  </w:r>
                </w:p>
              </w:tc>
              <w:tc>
                <w:tcPr>
                  <w:tcW w:w="261" w:type="pct"/>
                  <w:vMerge w:val="continue"/>
                  <w:shd w:val="clear" w:color="auto" w:fill="FFFFFF"/>
                  <w:vAlign w:val="center"/>
                </w:tcPr>
                <w:p w14:paraId="0F60BF6A">
                  <w:pPr>
                    <w:pStyle w:val="27"/>
                    <w:jc w:val="center"/>
                    <w:rPr>
                      <w:rFonts w:ascii="Times New Roman" w:hAnsi="Times New Roman" w:eastAsia="宋体"/>
                      <w:sz w:val="18"/>
                      <w:szCs w:val="18"/>
                    </w:rPr>
                  </w:pPr>
                </w:p>
              </w:tc>
              <w:tc>
                <w:tcPr>
                  <w:tcW w:w="266" w:type="pct"/>
                  <w:shd w:val="clear" w:color="auto" w:fill="FFFFFF"/>
                  <w:vAlign w:val="center"/>
                </w:tcPr>
                <w:p w14:paraId="2899EEA7">
                  <w:pPr>
                    <w:pStyle w:val="27"/>
                    <w:ind w:firstLine="0" w:firstLineChars="0"/>
                    <w:jc w:val="center"/>
                    <w:rPr>
                      <w:rFonts w:hint="default" w:ascii="Times New Roman" w:hAnsi="Times New Roman" w:eastAsia="宋体"/>
                      <w:sz w:val="18"/>
                      <w:szCs w:val="18"/>
                      <w:lang w:val="en-US" w:eastAsia="zh-CN"/>
                    </w:rPr>
                  </w:pPr>
                  <w:r>
                    <w:rPr>
                      <w:rFonts w:hint="default" w:ascii="Times New Roman" w:hAnsi="Times New Roman" w:cs="Times New Roman"/>
                      <w:color w:val="auto"/>
                      <w:sz w:val="18"/>
                      <w:szCs w:val="18"/>
                      <w:lang w:val="en-US" w:eastAsia="zh-CN"/>
                    </w:rPr>
                    <w:t>28</w:t>
                  </w:r>
                </w:p>
              </w:tc>
              <w:tc>
                <w:tcPr>
                  <w:tcW w:w="271" w:type="pct"/>
                  <w:shd w:val="clear" w:color="auto" w:fill="FFFFFF"/>
                  <w:vAlign w:val="center"/>
                </w:tcPr>
                <w:p w14:paraId="0EBDBE38">
                  <w:pPr>
                    <w:pStyle w:val="27"/>
                    <w:ind w:firstLine="0" w:firstLineChars="0"/>
                    <w:jc w:val="center"/>
                    <w:rPr>
                      <w:rFonts w:hint="default" w:ascii="Times New Roman" w:hAnsi="Times New Roman" w:eastAsia="宋体"/>
                      <w:sz w:val="18"/>
                      <w:szCs w:val="18"/>
                      <w:lang w:val="en-US" w:eastAsia="zh-CN"/>
                    </w:rPr>
                  </w:pPr>
                  <w:r>
                    <w:rPr>
                      <w:rFonts w:hint="default" w:ascii="Times New Roman" w:hAnsi="Times New Roman" w:cs="Times New Roman"/>
                      <w:color w:val="auto"/>
                      <w:sz w:val="18"/>
                      <w:szCs w:val="18"/>
                      <w:lang w:val="en-US" w:eastAsia="zh-CN"/>
                    </w:rPr>
                    <w:t>37</w:t>
                  </w:r>
                </w:p>
              </w:tc>
              <w:tc>
                <w:tcPr>
                  <w:tcW w:w="231" w:type="pct"/>
                  <w:shd w:val="clear" w:color="auto" w:fill="FFFFFF"/>
                  <w:vAlign w:val="center"/>
                </w:tcPr>
                <w:p w14:paraId="14AD10D1">
                  <w:pPr>
                    <w:jc w:val="center"/>
                    <w:rPr>
                      <w:sz w:val="18"/>
                      <w:szCs w:val="18"/>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2D49C7CF">
                  <w:pPr>
                    <w:pStyle w:val="27"/>
                    <w:ind w:firstLine="0" w:firstLineChars="0"/>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E7</w:t>
                  </w:r>
                </w:p>
              </w:tc>
              <w:tc>
                <w:tcPr>
                  <w:tcW w:w="326" w:type="pct"/>
                  <w:shd w:val="clear" w:color="auto" w:fill="FFFFFF"/>
                  <w:vAlign w:val="bottom"/>
                </w:tcPr>
                <w:p w14:paraId="279B89F5">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58.1 </w:t>
                  </w:r>
                </w:p>
              </w:tc>
              <w:tc>
                <w:tcPr>
                  <w:tcW w:w="278" w:type="pct"/>
                  <w:shd w:val="clear" w:color="auto" w:fill="FFFFFF"/>
                  <w:vAlign w:val="center"/>
                </w:tcPr>
                <w:p w14:paraId="2CDF54F0">
                  <w:pPr>
                    <w:jc w:val="center"/>
                    <w:rPr>
                      <w:kern w:val="0"/>
                      <w:sz w:val="18"/>
                      <w:szCs w:val="18"/>
                    </w:rPr>
                  </w:pPr>
                  <w:r>
                    <w:rPr>
                      <w:kern w:val="0"/>
                      <w:sz w:val="18"/>
                      <w:szCs w:val="18"/>
                    </w:rPr>
                    <w:t>昼/夜</w:t>
                  </w:r>
                </w:p>
              </w:tc>
              <w:tc>
                <w:tcPr>
                  <w:tcW w:w="360" w:type="pct"/>
                  <w:shd w:val="clear" w:color="auto" w:fill="FFFFFF"/>
                  <w:vAlign w:val="center"/>
                </w:tcPr>
                <w:p w14:paraId="58A49453">
                  <w:pPr>
                    <w:jc w:val="center"/>
                    <w:rPr>
                      <w:rFonts w:hint="default" w:eastAsia="宋体"/>
                      <w:kern w:val="0"/>
                      <w:sz w:val="18"/>
                      <w:szCs w:val="18"/>
                      <w:lang w:val="en-US" w:eastAsia="zh-CN"/>
                    </w:rPr>
                  </w:pPr>
                  <w:r>
                    <w:rPr>
                      <w:rFonts w:hint="eastAsia"/>
                      <w:kern w:val="0"/>
                      <w:sz w:val="18"/>
                      <w:szCs w:val="18"/>
                      <w:lang w:val="en-US" w:eastAsia="zh-CN"/>
                    </w:rPr>
                    <w:t>20</w:t>
                  </w:r>
                </w:p>
              </w:tc>
              <w:tc>
                <w:tcPr>
                  <w:tcW w:w="321" w:type="pct"/>
                  <w:shd w:val="clear" w:color="auto" w:fill="FFFFFF"/>
                  <w:vAlign w:val="bottom"/>
                </w:tcPr>
                <w:p w14:paraId="53660053">
                  <w:pPr>
                    <w:keepNext w:val="0"/>
                    <w:keepLines w:val="0"/>
                    <w:widowControl/>
                    <w:suppressLineNumbers w:val="0"/>
                    <w:jc w:val="center"/>
                    <w:textAlignment w:val="bottom"/>
                    <w:rPr>
                      <w:rFonts w:ascii="Times New Roman" w:hAnsi="Times New Roman" w:eastAsia="宋体" w:cs="Times New Roman"/>
                      <w:kern w:val="0"/>
                      <w:sz w:val="18"/>
                      <w:szCs w:val="18"/>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 xml:space="preserve">8.1 </w:t>
                  </w:r>
                </w:p>
              </w:tc>
              <w:tc>
                <w:tcPr>
                  <w:tcW w:w="369" w:type="pct"/>
                  <w:shd w:val="clear" w:color="auto" w:fill="FFFFFF"/>
                  <w:vAlign w:val="center"/>
                </w:tcPr>
                <w:p w14:paraId="64E90EDD">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1E5D08F9">
                  <w:pPr>
                    <w:jc w:val="center"/>
                    <w:rPr>
                      <w:sz w:val="18"/>
                      <w:szCs w:val="18"/>
                    </w:rPr>
                  </w:pPr>
                </w:p>
              </w:tc>
            </w:tr>
            <w:tr w14:paraId="0B12DA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2" w:type="pct"/>
                  <w:shd w:val="clear" w:color="auto" w:fill="FFFFFF"/>
                  <w:vAlign w:val="center"/>
                </w:tcPr>
                <w:p w14:paraId="3507698E">
                  <w:pPr>
                    <w:pStyle w:val="27"/>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10</w:t>
                  </w:r>
                </w:p>
              </w:tc>
              <w:tc>
                <w:tcPr>
                  <w:tcW w:w="219" w:type="pct"/>
                  <w:vMerge w:val="continue"/>
                  <w:shd w:val="clear" w:color="auto" w:fill="FFFFFF"/>
                  <w:vAlign w:val="center"/>
                </w:tcPr>
                <w:p w14:paraId="4D39D9F4">
                  <w:pPr>
                    <w:pStyle w:val="27"/>
                    <w:jc w:val="center"/>
                    <w:rPr>
                      <w:rFonts w:ascii="Times New Roman" w:hAnsi="Times New Roman" w:eastAsia="宋体"/>
                      <w:sz w:val="18"/>
                      <w:szCs w:val="18"/>
                    </w:rPr>
                  </w:pPr>
                </w:p>
              </w:tc>
              <w:tc>
                <w:tcPr>
                  <w:tcW w:w="518" w:type="pct"/>
                  <w:shd w:val="clear" w:color="auto" w:fill="FFFFFF"/>
                  <w:vAlign w:val="center"/>
                </w:tcPr>
                <w:p w14:paraId="31691EB9">
                  <w:pPr>
                    <w:jc w:val="center"/>
                    <w:rPr>
                      <w:rFonts w:ascii="Times New Roman" w:hAnsi="Times New Roman" w:eastAsia="宋体" w:cs="Times New Roman"/>
                      <w:color w:val="000000"/>
                      <w:spacing w:val="-10"/>
                      <w:kern w:val="0"/>
                      <w:sz w:val="18"/>
                      <w:szCs w:val="18"/>
                      <w:lang w:val="en-US" w:eastAsia="zh-CN" w:bidi="ar-SA"/>
                    </w:rPr>
                  </w:pPr>
                  <w:r>
                    <w:rPr>
                      <w:rFonts w:hint="eastAsia"/>
                      <w:sz w:val="18"/>
                      <w:szCs w:val="18"/>
                      <w:lang w:eastAsia="zh-CN"/>
                    </w:rPr>
                    <w:t>破碎机</w:t>
                  </w:r>
                </w:p>
              </w:tc>
              <w:tc>
                <w:tcPr>
                  <w:tcW w:w="171" w:type="pct"/>
                  <w:shd w:val="clear" w:color="auto" w:fill="FFFFFF"/>
                  <w:vAlign w:val="center"/>
                </w:tcPr>
                <w:p w14:paraId="38DD9705">
                  <w:pPr>
                    <w:bidi w:val="0"/>
                    <w:jc w:val="center"/>
                    <w:rPr>
                      <w:rFonts w:ascii="Times New Roman" w:hAnsi="Times New Roman" w:eastAsia="宋体" w:cs="Times New Roman"/>
                      <w:color w:val="000000"/>
                      <w:spacing w:val="-10"/>
                      <w:kern w:val="0"/>
                      <w:sz w:val="18"/>
                      <w:szCs w:val="18"/>
                      <w:lang w:val="en-US" w:eastAsia="zh-CN" w:bidi="ar-SA"/>
                    </w:rPr>
                  </w:pPr>
                  <w:r>
                    <w:rPr>
                      <w:rFonts w:hint="eastAsia" w:cs="Times New Roman"/>
                      <w:color w:val="auto"/>
                      <w:sz w:val="18"/>
                      <w:szCs w:val="18"/>
                      <w:lang w:val="en-US" w:eastAsia="zh-CN"/>
                    </w:rPr>
                    <w:t>2</w:t>
                  </w:r>
                </w:p>
              </w:tc>
              <w:tc>
                <w:tcPr>
                  <w:tcW w:w="443" w:type="pct"/>
                  <w:shd w:val="clear" w:color="auto" w:fill="FFFFFF"/>
                  <w:vAlign w:val="center"/>
                </w:tcPr>
                <w:p w14:paraId="220B1694">
                  <w:pPr>
                    <w:jc w:val="center"/>
                    <w:rPr>
                      <w:sz w:val="18"/>
                      <w:szCs w:val="18"/>
                    </w:rPr>
                  </w:pPr>
                  <w:r>
                    <w:rPr>
                      <w:sz w:val="18"/>
                      <w:szCs w:val="18"/>
                    </w:rPr>
                    <w:t>/</w:t>
                  </w:r>
                </w:p>
              </w:tc>
              <w:tc>
                <w:tcPr>
                  <w:tcW w:w="288" w:type="pct"/>
                  <w:shd w:val="clear" w:color="auto" w:fill="FFFFFF"/>
                  <w:vAlign w:val="center"/>
                </w:tcPr>
                <w:p w14:paraId="39A77313">
                  <w:pPr>
                    <w:spacing w:line="320" w:lineRule="exact"/>
                    <w:jc w:val="center"/>
                    <w:rPr>
                      <w:rFonts w:hint="default" w:eastAsia="宋体"/>
                      <w:sz w:val="18"/>
                      <w:szCs w:val="18"/>
                      <w:lang w:val="en-US" w:eastAsia="zh-CN"/>
                    </w:rPr>
                  </w:pPr>
                  <w:r>
                    <w:rPr>
                      <w:rFonts w:hint="default" w:ascii="Times New Roman" w:hAnsi="Times New Roman" w:cs="Times New Roman"/>
                      <w:color w:val="auto"/>
                      <w:sz w:val="18"/>
                      <w:szCs w:val="18"/>
                      <w:lang w:val="en-US" w:eastAsia="zh-CN"/>
                    </w:rPr>
                    <w:t>80</w:t>
                  </w:r>
                </w:p>
              </w:tc>
              <w:tc>
                <w:tcPr>
                  <w:tcW w:w="261" w:type="pct"/>
                  <w:vMerge w:val="continue"/>
                  <w:shd w:val="clear" w:color="auto" w:fill="FFFFFF"/>
                  <w:vAlign w:val="center"/>
                </w:tcPr>
                <w:p w14:paraId="29A95062">
                  <w:pPr>
                    <w:pStyle w:val="27"/>
                    <w:jc w:val="center"/>
                    <w:rPr>
                      <w:rFonts w:ascii="Times New Roman" w:hAnsi="Times New Roman" w:eastAsia="宋体"/>
                      <w:sz w:val="18"/>
                      <w:szCs w:val="18"/>
                    </w:rPr>
                  </w:pPr>
                </w:p>
              </w:tc>
              <w:tc>
                <w:tcPr>
                  <w:tcW w:w="266" w:type="pct"/>
                  <w:shd w:val="clear" w:color="auto" w:fill="FFFFFF"/>
                  <w:vAlign w:val="center"/>
                </w:tcPr>
                <w:p w14:paraId="7C124DF6">
                  <w:pPr>
                    <w:pStyle w:val="27"/>
                    <w:ind w:firstLine="0" w:firstLineChars="0"/>
                    <w:jc w:val="center"/>
                    <w:rPr>
                      <w:rFonts w:hint="default" w:ascii="Times New Roman" w:hAnsi="Times New Roman" w:eastAsia="宋体"/>
                      <w:sz w:val="18"/>
                      <w:szCs w:val="18"/>
                      <w:lang w:val="en-US" w:eastAsia="zh-CN"/>
                    </w:rPr>
                  </w:pPr>
                  <w:r>
                    <w:rPr>
                      <w:rFonts w:hint="eastAsia" w:ascii="Times New Roman" w:hAnsi="Times New Roman" w:cs="Times New Roman"/>
                      <w:color w:val="auto"/>
                      <w:sz w:val="18"/>
                      <w:szCs w:val="18"/>
                      <w:lang w:val="en-US" w:eastAsia="zh-CN"/>
                    </w:rPr>
                    <w:t>2</w:t>
                  </w:r>
                  <w:r>
                    <w:rPr>
                      <w:rFonts w:hint="default" w:ascii="Times New Roman" w:hAnsi="Times New Roman" w:cs="Times New Roman"/>
                      <w:color w:val="auto"/>
                      <w:sz w:val="18"/>
                      <w:szCs w:val="18"/>
                      <w:lang w:val="en-US" w:eastAsia="zh-CN"/>
                    </w:rPr>
                    <w:t>9</w:t>
                  </w:r>
                </w:p>
              </w:tc>
              <w:tc>
                <w:tcPr>
                  <w:tcW w:w="271" w:type="pct"/>
                  <w:shd w:val="clear" w:color="auto" w:fill="FFFFFF"/>
                  <w:vAlign w:val="center"/>
                </w:tcPr>
                <w:p w14:paraId="4A4076B3">
                  <w:pPr>
                    <w:pStyle w:val="27"/>
                    <w:ind w:firstLine="0" w:firstLineChars="0"/>
                    <w:jc w:val="center"/>
                    <w:rPr>
                      <w:rFonts w:hint="default" w:ascii="Times New Roman" w:hAnsi="Times New Roman" w:eastAsia="宋体"/>
                      <w:sz w:val="18"/>
                      <w:szCs w:val="18"/>
                      <w:lang w:val="en-US" w:eastAsia="zh-CN"/>
                    </w:rPr>
                  </w:pPr>
                  <w:r>
                    <w:rPr>
                      <w:rFonts w:hint="eastAsia" w:ascii="Times New Roman" w:hAnsi="Times New Roman" w:cs="Times New Roman"/>
                      <w:color w:val="auto"/>
                      <w:sz w:val="18"/>
                      <w:szCs w:val="18"/>
                      <w:lang w:val="en-US" w:eastAsia="zh-CN"/>
                    </w:rPr>
                    <w:t>3</w:t>
                  </w:r>
                  <w:r>
                    <w:rPr>
                      <w:rFonts w:hint="default" w:ascii="Times New Roman" w:hAnsi="Times New Roman" w:cs="Times New Roman"/>
                      <w:color w:val="auto"/>
                      <w:sz w:val="18"/>
                      <w:szCs w:val="18"/>
                      <w:lang w:val="en-US" w:eastAsia="zh-CN"/>
                    </w:rPr>
                    <w:t>2</w:t>
                  </w:r>
                </w:p>
              </w:tc>
              <w:tc>
                <w:tcPr>
                  <w:tcW w:w="231" w:type="pct"/>
                  <w:shd w:val="clear" w:color="auto" w:fill="FFFFFF"/>
                  <w:vAlign w:val="center"/>
                </w:tcPr>
                <w:p w14:paraId="1D9C41D1">
                  <w:pPr>
                    <w:jc w:val="center"/>
                    <w:rPr>
                      <w:sz w:val="18"/>
                      <w:szCs w:val="18"/>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78907645">
                  <w:pPr>
                    <w:pStyle w:val="27"/>
                    <w:ind w:firstLine="0" w:firstLineChars="0"/>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E6</w:t>
                  </w:r>
                </w:p>
              </w:tc>
              <w:tc>
                <w:tcPr>
                  <w:tcW w:w="326" w:type="pct"/>
                  <w:shd w:val="clear" w:color="auto" w:fill="FFFFFF"/>
                  <w:vAlign w:val="bottom"/>
                </w:tcPr>
                <w:p w14:paraId="042EB67F">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67.4 </w:t>
                  </w:r>
                </w:p>
              </w:tc>
              <w:tc>
                <w:tcPr>
                  <w:tcW w:w="278" w:type="pct"/>
                  <w:shd w:val="clear" w:color="auto" w:fill="FFFFFF"/>
                  <w:vAlign w:val="center"/>
                </w:tcPr>
                <w:p w14:paraId="7427F3E3">
                  <w:pPr>
                    <w:jc w:val="center"/>
                    <w:rPr>
                      <w:kern w:val="0"/>
                      <w:sz w:val="18"/>
                      <w:szCs w:val="18"/>
                    </w:rPr>
                  </w:pPr>
                  <w:r>
                    <w:rPr>
                      <w:kern w:val="0"/>
                      <w:sz w:val="18"/>
                      <w:szCs w:val="18"/>
                    </w:rPr>
                    <w:t>昼/夜</w:t>
                  </w:r>
                </w:p>
              </w:tc>
              <w:tc>
                <w:tcPr>
                  <w:tcW w:w="360" w:type="pct"/>
                  <w:shd w:val="clear" w:color="auto" w:fill="FFFFFF"/>
                  <w:vAlign w:val="center"/>
                </w:tcPr>
                <w:p w14:paraId="19FDCA58">
                  <w:pPr>
                    <w:jc w:val="center"/>
                    <w:rPr>
                      <w:rFonts w:hint="default" w:eastAsia="宋体"/>
                      <w:kern w:val="0"/>
                      <w:sz w:val="18"/>
                      <w:szCs w:val="18"/>
                      <w:lang w:val="en-US" w:eastAsia="zh-CN"/>
                    </w:rPr>
                  </w:pPr>
                  <w:r>
                    <w:rPr>
                      <w:rFonts w:hint="eastAsia"/>
                      <w:kern w:val="0"/>
                      <w:sz w:val="18"/>
                      <w:szCs w:val="18"/>
                      <w:lang w:val="en-US" w:eastAsia="zh-CN"/>
                    </w:rPr>
                    <w:t>20</w:t>
                  </w:r>
                </w:p>
              </w:tc>
              <w:tc>
                <w:tcPr>
                  <w:tcW w:w="321" w:type="pct"/>
                  <w:shd w:val="clear" w:color="auto" w:fill="FFFFFF"/>
                  <w:vAlign w:val="bottom"/>
                </w:tcPr>
                <w:p w14:paraId="32CAFEB8">
                  <w:pPr>
                    <w:keepNext w:val="0"/>
                    <w:keepLines w:val="0"/>
                    <w:widowControl/>
                    <w:suppressLineNumbers w:val="0"/>
                    <w:jc w:val="center"/>
                    <w:textAlignment w:val="bottom"/>
                    <w:rPr>
                      <w:rFonts w:ascii="Times New Roman" w:hAnsi="Times New Roman" w:eastAsia="宋体" w:cs="Times New Roman"/>
                      <w:kern w:val="0"/>
                      <w:sz w:val="18"/>
                      <w:szCs w:val="18"/>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 xml:space="preserve">7.4 </w:t>
                  </w:r>
                </w:p>
              </w:tc>
              <w:tc>
                <w:tcPr>
                  <w:tcW w:w="369" w:type="pct"/>
                  <w:shd w:val="clear" w:color="auto" w:fill="FFFFFF"/>
                  <w:vAlign w:val="center"/>
                </w:tcPr>
                <w:p w14:paraId="57AD0649">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483B4F11">
                  <w:pPr>
                    <w:jc w:val="center"/>
                    <w:rPr>
                      <w:sz w:val="18"/>
                      <w:szCs w:val="18"/>
                    </w:rPr>
                  </w:pPr>
                </w:p>
              </w:tc>
            </w:tr>
            <w:tr w14:paraId="492F34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2" w:type="pct"/>
                  <w:shd w:val="clear" w:color="auto" w:fill="FFFFFF"/>
                  <w:vAlign w:val="center"/>
                </w:tcPr>
                <w:p w14:paraId="419D437D">
                  <w:pPr>
                    <w:pStyle w:val="27"/>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11</w:t>
                  </w:r>
                </w:p>
              </w:tc>
              <w:tc>
                <w:tcPr>
                  <w:tcW w:w="219" w:type="pct"/>
                  <w:vMerge w:val="continue"/>
                  <w:shd w:val="clear" w:color="auto" w:fill="FFFFFF"/>
                  <w:vAlign w:val="center"/>
                </w:tcPr>
                <w:p w14:paraId="28EAED7D">
                  <w:pPr>
                    <w:pStyle w:val="27"/>
                    <w:jc w:val="center"/>
                    <w:rPr>
                      <w:rFonts w:ascii="Times New Roman" w:hAnsi="Times New Roman" w:eastAsia="宋体"/>
                      <w:sz w:val="18"/>
                      <w:szCs w:val="18"/>
                    </w:rPr>
                  </w:pPr>
                </w:p>
              </w:tc>
              <w:tc>
                <w:tcPr>
                  <w:tcW w:w="518" w:type="pct"/>
                  <w:shd w:val="clear" w:color="auto" w:fill="FFFFFF"/>
                  <w:vAlign w:val="center"/>
                </w:tcPr>
                <w:p w14:paraId="78FC1A85">
                  <w:pPr>
                    <w:jc w:val="center"/>
                    <w:rPr>
                      <w:rFonts w:hint="default" w:ascii="Times New Roman" w:hAnsi="Times New Roman" w:cs="Times New Roman"/>
                      <w:sz w:val="18"/>
                      <w:szCs w:val="18"/>
                    </w:rPr>
                  </w:pPr>
                  <w:r>
                    <w:rPr>
                      <w:rFonts w:hint="eastAsia"/>
                      <w:sz w:val="18"/>
                      <w:szCs w:val="18"/>
                      <w:lang w:eastAsia="zh-CN"/>
                    </w:rPr>
                    <w:t>磁选机</w:t>
                  </w:r>
                </w:p>
              </w:tc>
              <w:tc>
                <w:tcPr>
                  <w:tcW w:w="171" w:type="pct"/>
                  <w:shd w:val="clear" w:color="auto" w:fill="FFFFFF"/>
                  <w:vAlign w:val="center"/>
                </w:tcPr>
                <w:p w14:paraId="78281BFB">
                  <w:pPr>
                    <w:bidi w:val="0"/>
                    <w:jc w:val="center"/>
                    <w:rPr>
                      <w:rFonts w:hint="eastAsia" w:cs="Times New Roman"/>
                      <w:color w:val="000000"/>
                      <w:spacing w:val="-10"/>
                      <w:kern w:val="0"/>
                      <w:sz w:val="18"/>
                      <w:szCs w:val="18"/>
                      <w:lang w:val="en-US" w:eastAsia="zh-CN" w:bidi="ar-SA"/>
                    </w:rPr>
                  </w:pPr>
                  <w:r>
                    <w:rPr>
                      <w:rFonts w:hint="eastAsia" w:cs="Times New Roman"/>
                      <w:color w:val="auto"/>
                      <w:sz w:val="18"/>
                      <w:szCs w:val="18"/>
                      <w:lang w:val="en-US" w:eastAsia="zh-CN"/>
                    </w:rPr>
                    <w:t>1</w:t>
                  </w:r>
                </w:p>
              </w:tc>
              <w:tc>
                <w:tcPr>
                  <w:tcW w:w="443" w:type="pct"/>
                  <w:shd w:val="clear" w:color="auto" w:fill="FFFFFF"/>
                  <w:vAlign w:val="center"/>
                </w:tcPr>
                <w:p w14:paraId="67904D68">
                  <w:pPr>
                    <w:jc w:val="center"/>
                    <w:rPr>
                      <w:sz w:val="18"/>
                      <w:szCs w:val="18"/>
                    </w:rPr>
                  </w:pPr>
                  <w:r>
                    <w:rPr>
                      <w:sz w:val="18"/>
                      <w:szCs w:val="18"/>
                    </w:rPr>
                    <w:t>/</w:t>
                  </w:r>
                </w:p>
              </w:tc>
              <w:tc>
                <w:tcPr>
                  <w:tcW w:w="288" w:type="pct"/>
                  <w:shd w:val="clear" w:color="auto" w:fill="FFFFFF"/>
                  <w:vAlign w:val="center"/>
                </w:tcPr>
                <w:p w14:paraId="5A55E29C">
                  <w:pPr>
                    <w:spacing w:line="32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80</w:t>
                  </w:r>
                </w:p>
              </w:tc>
              <w:tc>
                <w:tcPr>
                  <w:tcW w:w="261" w:type="pct"/>
                  <w:vMerge w:val="continue"/>
                  <w:shd w:val="clear" w:color="auto" w:fill="FFFFFF"/>
                  <w:vAlign w:val="center"/>
                </w:tcPr>
                <w:p w14:paraId="4DB452B6">
                  <w:pPr>
                    <w:pStyle w:val="27"/>
                    <w:jc w:val="center"/>
                    <w:rPr>
                      <w:rFonts w:ascii="Times New Roman" w:hAnsi="Times New Roman" w:eastAsia="宋体"/>
                      <w:sz w:val="18"/>
                      <w:szCs w:val="18"/>
                    </w:rPr>
                  </w:pPr>
                </w:p>
              </w:tc>
              <w:tc>
                <w:tcPr>
                  <w:tcW w:w="266" w:type="pct"/>
                  <w:shd w:val="clear" w:color="auto" w:fill="FFFFFF"/>
                  <w:vAlign w:val="center"/>
                </w:tcPr>
                <w:p w14:paraId="6E300856">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23</w:t>
                  </w:r>
                </w:p>
              </w:tc>
              <w:tc>
                <w:tcPr>
                  <w:tcW w:w="271" w:type="pct"/>
                  <w:shd w:val="clear" w:color="auto" w:fill="FFFFFF"/>
                  <w:vAlign w:val="center"/>
                </w:tcPr>
                <w:p w14:paraId="605340E5">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33</w:t>
                  </w:r>
                </w:p>
              </w:tc>
              <w:tc>
                <w:tcPr>
                  <w:tcW w:w="231" w:type="pct"/>
                  <w:shd w:val="clear" w:color="auto" w:fill="FFFFFF"/>
                  <w:vAlign w:val="center"/>
                </w:tcPr>
                <w:p w14:paraId="1290AB28">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2A387177">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E12</w:t>
                  </w:r>
                </w:p>
              </w:tc>
              <w:tc>
                <w:tcPr>
                  <w:tcW w:w="326" w:type="pct"/>
                  <w:shd w:val="clear" w:color="auto" w:fill="FFFFFF"/>
                  <w:vAlign w:val="bottom"/>
                </w:tcPr>
                <w:p w14:paraId="44E1EBE6">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58.4 </w:t>
                  </w:r>
                </w:p>
              </w:tc>
              <w:tc>
                <w:tcPr>
                  <w:tcW w:w="278" w:type="pct"/>
                  <w:shd w:val="clear" w:color="auto" w:fill="FFFFFF"/>
                  <w:vAlign w:val="center"/>
                </w:tcPr>
                <w:p w14:paraId="55D92DA4">
                  <w:pPr>
                    <w:jc w:val="center"/>
                    <w:rPr>
                      <w:kern w:val="0"/>
                      <w:sz w:val="18"/>
                      <w:szCs w:val="18"/>
                    </w:rPr>
                  </w:pPr>
                  <w:r>
                    <w:rPr>
                      <w:kern w:val="0"/>
                      <w:sz w:val="18"/>
                      <w:szCs w:val="18"/>
                    </w:rPr>
                    <w:t>昼/夜</w:t>
                  </w:r>
                </w:p>
              </w:tc>
              <w:tc>
                <w:tcPr>
                  <w:tcW w:w="360" w:type="pct"/>
                  <w:shd w:val="clear" w:color="auto" w:fill="FFFFFF"/>
                  <w:vAlign w:val="center"/>
                </w:tcPr>
                <w:p w14:paraId="1C08F2E6">
                  <w:pPr>
                    <w:jc w:val="center"/>
                    <w:rPr>
                      <w:rFonts w:hint="eastAsia"/>
                      <w:kern w:val="0"/>
                      <w:sz w:val="18"/>
                      <w:szCs w:val="18"/>
                      <w:lang w:val="en-US" w:eastAsia="zh-CN"/>
                    </w:rPr>
                  </w:pPr>
                  <w:r>
                    <w:rPr>
                      <w:rFonts w:hint="eastAsia"/>
                      <w:kern w:val="0"/>
                      <w:sz w:val="18"/>
                      <w:szCs w:val="18"/>
                      <w:lang w:val="en-US" w:eastAsia="zh-CN"/>
                    </w:rPr>
                    <w:t>20</w:t>
                  </w:r>
                </w:p>
              </w:tc>
              <w:tc>
                <w:tcPr>
                  <w:tcW w:w="321" w:type="pct"/>
                  <w:shd w:val="clear" w:color="auto" w:fill="FFFFFF"/>
                  <w:vAlign w:val="bottom"/>
                </w:tcPr>
                <w:p w14:paraId="25745267">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 xml:space="preserve">8.4 </w:t>
                  </w:r>
                </w:p>
              </w:tc>
              <w:tc>
                <w:tcPr>
                  <w:tcW w:w="369" w:type="pct"/>
                  <w:shd w:val="clear" w:color="auto" w:fill="FFFFFF"/>
                  <w:vAlign w:val="center"/>
                </w:tcPr>
                <w:p w14:paraId="6B9F25DE">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32DF1569">
                  <w:pPr>
                    <w:jc w:val="center"/>
                    <w:rPr>
                      <w:sz w:val="18"/>
                      <w:szCs w:val="18"/>
                    </w:rPr>
                  </w:pPr>
                </w:p>
              </w:tc>
            </w:tr>
            <w:tr w14:paraId="32AB57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2" w:type="pct"/>
                  <w:shd w:val="clear" w:color="auto" w:fill="FFFFFF"/>
                  <w:vAlign w:val="center"/>
                </w:tcPr>
                <w:p w14:paraId="724C3A32">
                  <w:pPr>
                    <w:pStyle w:val="27"/>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12</w:t>
                  </w:r>
                </w:p>
              </w:tc>
              <w:tc>
                <w:tcPr>
                  <w:tcW w:w="219" w:type="pct"/>
                  <w:vMerge w:val="continue"/>
                  <w:shd w:val="clear" w:color="auto" w:fill="FFFFFF"/>
                  <w:vAlign w:val="center"/>
                </w:tcPr>
                <w:p w14:paraId="5D6C62C9">
                  <w:pPr>
                    <w:pStyle w:val="27"/>
                    <w:jc w:val="center"/>
                    <w:rPr>
                      <w:rFonts w:ascii="Times New Roman" w:hAnsi="Times New Roman" w:eastAsia="宋体"/>
                      <w:sz w:val="18"/>
                      <w:szCs w:val="18"/>
                    </w:rPr>
                  </w:pPr>
                </w:p>
              </w:tc>
              <w:tc>
                <w:tcPr>
                  <w:tcW w:w="518" w:type="pct"/>
                  <w:shd w:val="clear" w:color="auto" w:fill="FFFFFF"/>
                  <w:vAlign w:val="center"/>
                </w:tcPr>
                <w:p w14:paraId="2227B6A4">
                  <w:pPr>
                    <w:jc w:val="center"/>
                    <w:rPr>
                      <w:rFonts w:hint="default" w:ascii="Times New Roman" w:hAnsi="Times New Roman" w:cs="Times New Roman"/>
                      <w:sz w:val="18"/>
                      <w:szCs w:val="18"/>
                    </w:rPr>
                  </w:pPr>
                  <w:r>
                    <w:rPr>
                      <w:rFonts w:hint="eastAsia"/>
                      <w:sz w:val="18"/>
                      <w:szCs w:val="18"/>
                      <w:lang w:eastAsia="zh-CN"/>
                    </w:rPr>
                    <w:t>磁选机</w:t>
                  </w:r>
                </w:p>
              </w:tc>
              <w:tc>
                <w:tcPr>
                  <w:tcW w:w="171" w:type="pct"/>
                  <w:shd w:val="clear" w:color="auto" w:fill="FFFFFF"/>
                  <w:vAlign w:val="center"/>
                </w:tcPr>
                <w:p w14:paraId="6A16343B">
                  <w:pPr>
                    <w:bidi w:val="0"/>
                    <w:jc w:val="center"/>
                    <w:rPr>
                      <w:rFonts w:hint="eastAsia" w:cs="Times New Roman"/>
                      <w:color w:val="000000"/>
                      <w:spacing w:val="-10"/>
                      <w:kern w:val="0"/>
                      <w:sz w:val="18"/>
                      <w:szCs w:val="18"/>
                      <w:lang w:val="en-US" w:eastAsia="zh-CN" w:bidi="ar-SA"/>
                    </w:rPr>
                  </w:pPr>
                  <w:r>
                    <w:rPr>
                      <w:rFonts w:hint="eastAsia" w:cs="Times New Roman"/>
                      <w:color w:val="auto"/>
                      <w:sz w:val="18"/>
                      <w:szCs w:val="18"/>
                      <w:lang w:val="en-US" w:eastAsia="zh-CN"/>
                    </w:rPr>
                    <w:t>6</w:t>
                  </w:r>
                </w:p>
              </w:tc>
              <w:tc>
                <w:tcPr>
                  <w:tcW w:w="443" w:type="pct"/>
                  <w:shd w:val="clear" w:color="auto" w:fill="FFFFFF"/>
                  <w:vAlign w:val="center"/>
                </w:tcPr>
                <w:p w14:paraId="4AC260AF">
                  <w:pPr>
                    <w:jc w:val="center"/>
                    <w:rPr>
                      <w:sz w:val="18"/>
                      <w:szCs w:val="18"/>
                    </w:rPr>
                  </w:pPr>
                  <w:r>
                    <w:rPr>
                      <w:sz w:val="18"/>
                      <w:szCs w:val="18"/>
                    </w:rPr>
                    <w:t>/</w:t>
                  </w:r>
                </w:p>
              </w:tc>
              <w:tc>
                <w:tcPr>
                  <w:tcW w:w="288" w:type="pct"/>
                  <w:shd w:val="clear" w:color="auto" w:fill="FFFFFF"/>
                  <w:vAlign w:val="center"/>
                </w:tcPr>
                <w:p w14:paraId="25C2DFF9">
                  <w:pPr>
                    <w:spacing w:line="32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80</w:t>
                  </w:r>
                </w:p>
              </w:tc>
              <w:tc>
                <w:tcPr>
                  <w:tcW w:w="261" w:type="pct"/>
                  <w:vMerge w:val="continue"/>
                  <w:shd w:val="clear" w:color="auto" w:fill="FFFFFF"/>
                  <w:vAlign w:val="center"/>
                </w:tcPr>
                <w:p w14:paraId="5B26D50B">
                  <w:pPr>
                    <w:pStyle w:val="27"/>
                    <w:jc w:val="center"/>
                    <w:rPr>
                      <w:rFonts w:ascii="Times New Roman" w:hAnsi="Times New Roman" w:eastAsia="宋体"/>
                      <w:sz w:val="18"/>
                      <w:szCs w:val="18"/>
                    </w:rPr>
                  </w:pPr>
                </w:p>
              </w:tc>
              <w:tc>
                <w:tcPr>
                  <w:tcW w:w="266" w:type="pct"/>
                  <w:shd w:val="clear" w:color="auto" w:fill="FFFFFF"/>
                  <w:vAlign w:val="center"/>
                </w:tcPr>
                <w:p w14:paraId="2AF3F21B">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21</w:t>
                  </w:r>
                </w:p>
              </w:tc>
              <w:tc>
                <w:tcPr>
                  <w:tcW w:w="271" w:type="pct"/>
                  <w:shd w:val="clear" w:color="auto" w:fill="FFFFFF"/>
                  <w:vAlign w:val="center"/>
                </w:tcPr>
                <w:p w14:paraId="52E3DDFA">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39</w:t>
                  </w:r>
                </w:p>
              </w:tc>
              <w:tc>
                <w:tcPr>
                  <w:tcW w:w="231" w:type="pct"/>
                  <w:shd w:val="clear" w:color="auto" w:fill="FFFFFF"/>
                  <w:vAlign w:val="center"/>
                </w:tcPr>
                <w:p w14:paraId="64624891">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6EBF98D5">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W21</w:t>
                  </w:r>
                </w:p>
              </w:tc>
              <w:tc>
                <w:tcPr>
                  <w:tcW w:w="326" w:type="pct"/>
                  <w:shd w:val="clear" w:color="auto" w:fill="FFFFFF"/>
                  <w:vAlign w:val="bottom"/>
                </w:tcPr>
                <w:p w14:paraId="2287A20F">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61.3 </w:t>
                  </w:r>
                </w:p>
              </w:tc>
              <w:tc>
                <w:tcPr>
                  <w:tcW w:w="278" w:type="pct"/>
                  <w:shd w:val="clear" w:color="auto" w:fill="FFFFFF"/>
                  <w:vAlign w:val="center"/>
                </w:tcPr>
                <w:p w14:paraId="393CA4F1">
                  <w:pPr>
                    <w:jc w:val="center"/>
                    <w:rPr>
                      <w:kern w:val="0"/>
                      <w:sz w:val="18"/>
                      <w:szCs w:val="18"/>
                    </w:rPr>
                  </w:pPr>
                  <w:r>
                    <w:rPr>
                      <w:kern w:val="0"/>
                      <w:sz w:val="18"/>
                      <w:szCs w:val="18"/>
                    </w:rPr>
                    <w:t>昼/夜</w:t>
                  </w:r>
                </w:p>
              </w:tc>
              <w:tc>
                <w:tcPr>
                  <w:tcW w:w="360" w:type="pct"/>
                  <w:shd w:val="clear" w:color="auto" w:fill="FFFFFF"/>
                  <w:vAlign w:val="center"/>
                </w:tcPr>
                <w:p w14:paraId="01576812">
                  <w:pPr>
                    <w:jc w:val="center"/>
                    <w:rPr>
                      <w:rFonts w:hint="eastAsia"/>
                      <w:kern w:val="0"/>
                      <w:sz w:val="18"/>
                      <w:szCs w:val="18"/>
                      <w:lang w:val="en-US" w:eastAsia="zh-CN"/>
                    </w:rPr>
                  </w:pPr>
                  <w:r>
                    <w:rPr>
                      <w:rFonts w:hint="eastAsia"/>
                      <w:kern w:val="0"/>
                      <w:sz w:val="18"/>
                      <w:szCs w:val="18"/>
                      <w:lang w:val="en-US" w:eastAsia="zh-CN"/>
                    </w:rPr>
                    <w:t>20</w:t>
                  </w:r>
                </w:p>
              </w:tc>
              <w:tc>
                <w:tcPr>
                  <w:tcW w:w="321" w:type="pct"/>
                  <w:shd w:val="clear" w:color="auto" w:fill="FFFFFF"/>
                  <w:vAlign w:val="bottom"/>
                </w:tcPr>
                <w:p w14:paraId="737CCBA7">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 xml:space="preserve">1.3 </w:t>
                  </w:r>
                </w:p>
              </w:tc>
              <w:tc>
                <w:tcPr>
                  <w:tcW w:w="369" w:type="pct"/>
                  <w:shd w:val="clear" w:color="auto" w:fill="FFFFFF"/>
                  <w:vAlign w:val="center"/>
                </w:tcPr>
                <w:p w14:paraId="746640CB">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32C9B18C">
                  <w:pPr>
                    <w:jc w:val="center"/>
                    <w:rPr>
                      <w:sz w:val="18"/>
                      <w:szCs w:val="18"/>
                    </w:rPr>
                  </w:pPr>
                </w:p>
              </w:tc>
            </w:tr>
            <w:tr w14:paraId="5E512F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2" w:type="pct"/>
                  <w:shd w:val="clear" w:color="auto" w:fill="FFFFFF"/>
                  <w:vAlign w:val="center"/>
                </w:tcPr>
                <w:p w14:paraId="4C49C5DF">
                  <w:pPr>
                    <w:pStyle w:val="27"/>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13</w:t>
                  </w:r>
                </w:p>
              </w:tc>
              <w:tc>
                <w:tcPr>
                  <w:tcW w:w="219" w:type="pct"/>
                  <w:vMerge w:val="continue"/>
                  <w:shd w:val="clear" w:color="auto" w:fill="FFFFFF"/>
                  <w:vAlign w:val="center"/>
                </w:tcPr>
                <w:p w14:paraId="3E5AE67A">
                  <w:pPr>
                    <w:pStyle w:val="27"/>
                    <w:jc w:val="center"/>
                    <w:rPr>
                      <w:rFonts w:ascii="Times New Roman" w:hAnsi="Times New Roman" w:eastAsia="宋体"/>
                      <w:sz w:val="18"/>
                      <w:szCs w:val="18"/>
                    </w:rPr>
                  </w:pPr>
                </w:p>
              </w:tc>
              <w:tc>
                <w:tcPr>
                  <w:tcW w:w="518" w:type="pct"/>
                  <w:shd w:val="clear" w:color="auto" w:fill="FFFFFF"/>
                  <w:vAlign w:val="center"/>
                </w:tcPr>
                <w:p w14:paraId="1865EE54">
                  <w:pPr>
                    <w:jc w:val="center"/>
                    <w:rPr>
                      <w:rFonts w:hint="default" w:ascii="Times New Roman" w:hAnsi="Times New Roman" w:cs="Times New Roman"/>
                      <w:sz w:val="18"/>
                      <w:szCs w:val="18"/>
                    </w:rPr>
                  </w:pPr>
                  <w:r>
                    <w:rPr>
                      <w:rFonts w:hint="eastAsia"/>
                      <w:sz w:val="18"/>
                      <w:szCs w:val="18"/>
                      <w:lang w:eastAsia="zh-CN"/>
                    </w:rPr>
                    <w:t>摇床悬挂除铁器</w:t>
                  </w:r>
                </w:p>
              </w:tc>
              <w:tc>
                <w:tcPr>
                  <w:tcW w:w="171" w:type="pct"/>
                  <w:shd w:val="clear" w:color="auto" w:fill="FFFFFF"/>
                  <w:vAlign w:val="center"/>
                </w:tcPr>
                <w:p w14:paraId="1F44DA08">
                  <w:pPr>
                    <w:bidi w:val="0"/>
                    <w:jc w:val="center"/>
                    <w:rPr>
                      <w:rFonts w:hint="eastAsia" w:cs="Times New Roman"/>
                      <w:color w:val="000000"/>
                      <w:spacing w:val="-10"/>
                      <w:kern w:val="0"/>
                      <w:sz w:val="18"/>
                      <w:szCs w:val="18"/>
                      <w:lang w:val="en-US" w:eastAsia="zh-CN" w:bidi="ar-SA"/>
                    </w:rPr>
                  </w:pPr>
                  <w:r>
                    <w:rPr>
                      <w:rFonts w:hint="eastAsia" w:cs="Times New Roman"/>
                      <w:color w:val="auto"/>
                      <w:sz w:val="18"/>
                      <w:szCs w:val="18"/>
                      <w:lang w:val="en-US" w:eastAsia="zh-CN"/>
                    </w:rPr>
                    <w:t>5</w:t>
                  </w:r>
                </w:p>
              </w:tc>
              <w:tc>
                <w:tcPr>
                  <w:tcW w:w="443" w:type="pct"/>
                  <w:shd w:val="clear" w:color="auto" w:fill="FFFFFF"/>
                  <w:vAlign w:val="center"/>
                </w:tcPr>
                <w:p w14:paraId="34072EEF">
                  <w:pPr>
                    <w:jc w:val="center"/>
                    <w:rPr>
                      <w:sz w:val="18"/>
                      <w:szCs w:val="18"/>
                    </w:rPr>
                  </w:pPr>
                  <w:r>
                    <w:rPr>
                      <w:sz w:val="18"/>
                      <w:szCs w:val="18"/>
                    </w:rPr>
                    <w:t>/</w:t>
                  </w:r>
                </w:p>
              </w:tc>
              <w:tc>
                <w:tcPr>
                  <w:tcW w:w="288" w:type="pct"/>
                  <w:shd w:val="clear" w:color="auto" w:fill="FFFFFF"/>
                  <w:vAlign w:val="center"/>
                </w:tcPr>
                <w:p w14:paraId="71EC01AF">
                  <w:pPr>
                    <w:spacing w:line="32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85</w:t>
                  </w:r>
                </w:p>
              </w:tc>
              <w:tc>
                <w:tcPr>
                  <w:tcW w:w="261" w:type="pct"/>
                  <w:vMerge w:val="continue"/>
                  <w:shd w:val="clear" w:color="auto" w:fill="FFFFFF"/>
                  <w:vAlign w:val="center"/>
                </w:tcPr>
                <w:p w14:paraId="5BE5D196">
                  <w:pPr>
                    <w:pStyle w:val="27"/>
                    <w:jc w:val="center"/>
                    <w:rPr>
                      <w:rFonts w:ascii="Times New Roman" w:hAnsi="Times New Roman" w:eastAsia="宋体"/>
                      <w:sz w:val="18"/>
                      <w:szCs w:val="18"/>
                    </w:rPr>
                  </w:pPr>
                </w:p>
              </w:tc>
              <w:tc>
                <w:tcPr>
                  <w:tcW w:w="266" w:type="pct"/>
                  <w:shd w:val="clear" w:color="auto" w:fill="FFFFFF"/>
                  <w:vAlign w:val="center"/>
                </w:tcPr>
                <w:p w14:paraId="00194E33">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20</w:t>
                  </w:r>
                </w:p>
              </w:tc>
              <w:tc>
                <w:tcPr>
                  <w:tcW w:w="271" w:type="pct"/>
                  <w:shd w:val="clear" w:color="auto" w:fill="FFFFFF"/>
                  <w:vAlign w:val="center"/>
                </w:tcPr>
                <w:p w14:paraId="54658BAD">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30</w:t>
                  </w:r>
                </w:p>
              </w:tc>
              <w:tc>
                <w:tcPr>
                  <w:tcW w:w="231" w:type="pct"/>
                  <w:shd w:val="clear" w:color="auto" w:fill="FFFFFF"/>
                  <w:vAlign w:val="center"/>
                </w:tcPr>
                <w:p w14:paraId="77674F6C">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1018F01F">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W20</w:t>
                  </w:r>
                </w:p>
              </w:tc>
              <w:tc>
                <w:tcPr>
                  <w:tcW w:w="326" w:type="pct"/>
                  <w:shd w:val="clear" w:color="auto" w:fill="FFFFFF"/>
                  <w:vAlign w:val="bottom"/>
                </w:tcPr>
                <w:p w14:paraId="210B1C08">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66.0 </w:t>
                  </w:r>
                </w:p>
              </w:tc>
              <w:tc>
                <w:tcPr>
                  <w:tcW w:w="278" w:type="pct"/>
                  <w:shd w:val="clear" w:color="auto" w:fill="FFFFFF"/>
                  <w:vAlign w:val="center"/>
                </w:tcPr>
                <w:p w14:paraId="7F35EB2D">
                  <w:pPr>
                    <w:jc w:val="center"/>
                    <w:rPr>
                      <w:kern w:val="0"/>
                      <w:sz w:val="18"/>
                      <w:szCs w:val="18"/>
                    </w:rPr>
                  </w:pPr>
                  <w:r>
                    <w:rPr>
                      <w:kern w:val="0"/>
                      <w:sz w:val="18"/>
                      <w:szCs w:val="18"/>
                    </w:rPr>
                    <w:t>昼/夜</w:t>
                  </w:r>
                </w:p>
              </w:tc>
              <w:tc>
                <w:tcPr>
                  <w:tcW w:w="360" w:type="pct"/>
                  <w:shd w:val="clear" w:color="auto" w:fill="FFFFFF"/>
                  <w:vAlign w:val="center"/>
                </w:tcPr>
                <w:p w14:paraId="3E585605">
                  <w:pPr>
                    <w:jc w:val="center"/>
                    <w:rPr>
                      <w:rFonts w:hint="eastAsia"/>
                      <w:kern w:val="0"/>
                      <w:sz w:val="18"/>
                      <w:szCs w:val="18"/>
                      <w:lang w:val="en-US" w:eastAsia="zh-CN"/>
                    </w:rPr>
                  </w:pPr>
                  <w:r>
                    <w:rPr>
                      <w:rFonts w:hint="eastAsia"/>
                      <w:kern w:val="0"/>
                      <w:sz w:val="18"/>
                      <w:szCs w:val="18"/>
                      <w:lang w:val="en-US" w:eastAsia="zh-CN"/>
                    </w:rPr>
                    <w:t>20</w:t>
                  </w:r>
                </w:p>
              </w:tc>
              <w:tc>
                <w:tcPr>
                  <w:tcW w:w="321" w:type="pct"/>
                  <w:shd w:val="clear" w:color="auto" w:fill="FFFFFF"/>
                  <w:vAlign w:val="bottom"/>
                </w:tcPr>
                <w:p w14:paraId="246FAE56">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 xml:space="preserve">6.0 </w:t>
                  </w:r>
                </w:p>
              </w:tc>
              <w:tc>
                <w:tcPr>
                  <w:tcW w:w="369" w:type="pct"/>
                  <w:shd w:val="clear" w:color="auto" w:fill="FFFFFF"/>
                  <w:vAlign w:val="center"/>
                </w:tcPr>
                <w:p w14:paraId="5F2057E4">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277D9C96">
                  <w:pPr>
                    <w:jc w:val="center"/>
                    <w:rPr>
                      <w:sz w:val="18"/>
                      <w:szCs w:val="18"/>
                    </w:rPr>
                  </w:pPr>
                </w:p>
              </w:tc>
            </w:tr>
            <w:tr w14:paraId="67A082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2" w:type="pct"/>
                  <w:shd w:val="clear" w:color="auto" w:fill="FFFFFF"/>
                  <w:vAlign w:val="center"/>
                </w:tcPr>
                <w:p w14:paraId="58B4B5EC">
                  <w:pPr>
                    <w:pStyle w:val="27"/>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14</w:t>
                  </w:r>
                </w:p>
              </w:tc>
              <w:tc>
                <w:tcPr>
                  <w:tcW w:w="219" w:type="pct"/>
                  <w:vMerge w:val="continue"/>
                  <w:shd w:val="clear" w:color="auto" w:fill="FFFFFF"/>
                  <w:vAlign w:val="center"/>
                </w:tcPr>
                <w:p w14:paraId="4E7BF466">
                  <w:pPr>
                    <w:pStyle w:val="27"/>
                    <w:jc w:val="center"/>
                    <w:rPr>
                      <w:rFonts w:ascii="Times New Roman" w:hAnsi="Times New Roman" w:eastAsia="宋体"/>
                      <w:sz w:val="18"/>
                      <w:szCs w:val="18"/>
                    </w:rPr>
                  </w:pPr>
                </w:p>
              </w:tc>
              <w:tc>
                <w:tcPr>
                  <w:tcW w:w="518" w:type="pct"/>
                  <w:shd w:val="clear" w:color="auto" w:fill="FFFFFF"/>
                  <w:vAlign w:val="center"/>
                </w:tcPr>
                <w:p w14:paraId="30F4EB3E">
                  <w:pPr>
                    <w:jc w:val="center"/>
                    <w:rPr>
                      <w:rFonts w:hint="default" w:ascii="Times New Roman" w:hAnsi="Times New Roman" w:cs="Times New Roman"/>
                      <w:sz w:val="18"/>
                      <w:szCs w:val="18"/>
                    </w:rPr>
                  </w:pPr>
                  <w:r>
                    <w:rPr>
                      <w:rFonts w:hint="eastAsia"/>
                      <w:sz w:val="18"/>
                      <w:szCs w:val="18"/>
                      <w:lang w:eastAsia="zh-CN"/>
                    </w:rPr>
                    <w:t>一级锯齿波跳汰机</w:t>
                  </w:r>
                </w:p>
              </w:tc>
              <w:tc>
                <w:tcPr>
                  <w:tcW w:w="171" w:type="pct"/>
                  <w:shd w:val="clear" w:color="auto" w:fill="FFFFFF"/>
                  <w:vAlign w:val="center"/>
                </w:tcPr>
                <w:p w14:paraId="31907B5B">
                  <w:pPr>
                    <w:bidi w:val="0"/>
                    <w:jc w:val="center"/>
                    <w:rPr>
                      <w:rFonts w:hint="eastAsia" w:cs="Times New Roman"/>
                      <w:color w:val="000000"/>
                      <w:spacing w:val="-10"/>
                      <w:kern w:val="0"/>
                      <w:sz w:val="18"/>
                      <w:szCs w:val="18"/>
                      <w:lang w:val="en-US" w:eastAsia="zh-CN" w:bidi="ar-SA"/>
                    </w:rPr>
                  </w:pPr>
                  <w:r>
                    <w:rPr>
                      <w:rFonts w:hint="eastAsia" w:cs="Times New Roman"/>
                      <w:color w:val="auto"/>
                      <w:sz w:val="18"/>
                      <w:szCs w:val="18"/>
                      <w:lang w:val="en-US" w:eastAsia="zh-CN"/>
                    </w:rPr>
                    <w:t>2</w:t>
                  </w:r>
                </w:p>
              </w:tc>
              <w:tc>
                <w:tcPr>
                  <w:tcW w:w="443" w:type="pct"/>
                  <w:shd w:val="clear" w:color="auto" w:fill="FFFFFF"/>
                  <w:vAlign w:val="center"/>
                </w:tcPr>
                <w:p w14:paraId="43A94769">
                  <w:pPr>
                    <w:jc w:val="center"/>
                    <w:rPr>
                      <w:sz w:val="18"/>
                      <w:szCs w:val="18"/>
                    </w:rPr>
                  </w:pPr>
                  <w:r>
                    <w:rPr>
                      <w:sz w:val="18"/>
                      <w:szCs w:val="18"/>
                    </w:rPr>
                    <w:t>/</w:t>
                  </w:r>
                </w:p>
              </w:tc>
              <w:tc>
                <w:tcPr>
                  <w:tcW w:w="288" w:type="pct"/>
                  <w:shd w:val="clear" w:color="auto" w:fill="FFFFFF"/>
                  <w:vAlign w:val="center"/>
                </w:tcPr>
                <w:p w14:paraId="361A4EFF">
                  <w:pPr>
                    <w:spacing w:line="32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85</w:t>
                  </w:r>
                </w:p>
              </w:tc>
              <w:tc>
                <w:tcPr>
                  <w:tcW w:w="261" w:type="pct"/>
                  <w:vMerge w:val="continue"/>
                  <w:shd w:val="clear" w:color="auto" w:fill="FFFFFF"/>
                  <w:vAlign w:val="center"/>
                </w:tcPr>
                <w:p w14:paraId="128DB058">
                  <w:pPr>
                    <w:pStyle w:val="27"/>
                    <w:jc w:val="center"/>
                    <w:rPr>
                      <w:rFonts w:ascii="Times New Roman" w:hAnsi="Times New Roman" w:eastAsia="宋体"/>
                      <w:sz w:val="18"/>
                      <w:szCs w:val="18"/>
                    </w:rPr>
                  </w:pPr>
                </w:p>
              </w:tc>
              <w:tc>
                <w:tcPr>
                  <w:tcW w:w="266" w:type="pct"/>
                  <w:shd w:val="clear" w:color="auto" w:fill="FFFFFF"/>
                  <w:vAlign w:val="center"/>
                </w:tcPr>
                <w:p w14:paraId="02CF3918">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24</w:t>
                  </w:r>
                </w:p>
              </w:tc>
              <w:tc>
                <w:tcPr>
                  <w:tcW w:w="271" w:type="pct"/>
                  <w:shd w:val="clear" w:color="auto" w:fill="FFFFFF"/>
                  <w:vAlign w:val="center"/>
                </w:tcPr>
                <w:p w14:paraId="45AE33B7">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38</w:t>
                  </w:r>
                </w:p>
              </w:tc>
              <w:tc>
                <w:tcPr>
                  <w:tcW w:w="231" w:type="pct"/>
                  <w:shd w:val="clear" w:color="auto" w:fill="FFFFFF"/>
                  <w:vAlign w:val="center"/>
                </w:tcPr>
                <w:p w14:paraId="3210A536">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2D7BC9BF">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N22</w:t>
                  </w:r>
                </w:p>
              </w:tc>
              <w:tc>
                <w:tcPr>
                  <w:tcW w:w="326" w:type="pct"/>
                  <w:shd w:val="clear" w:color="auto" w:fill="FFFFFF"/>
                  <w:vAlign w:val="bottom"/>
                </w:tcPr>
                <w:p w14:paraId="6F4814FC">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61.2 </w:t>
                  </w:r>
                </w:p>
              </w:tc>
              <w:tc>
                <w:tcPr>
                  <w:tcW w:w="278" w:type="pct"/>
                  <w:shd w:val="clear" w:color="auto" w:fill="FFFFFF"/>
                  <w:vAlign w:val="center"/>
                </w:tcPr>
                <w:p w14:paraId="698E8F33">
                  <w:pPr>
                    <w:jc w:val="center"/>
                    <w:rPr>
                      <w:kern w:val="0"/>
                      <w:sz w:val="18"/>
                      <w:szCs w:val="18"/>
                    </w:rPr>
                  </w:pPr>
                  <w:r>
                    <w:rPr>
                      <w:kern w:val="0"/>
                      <w:sz w:val="18"/>
                      <w:szCs w:val="18"/>
                    </w:rPr>
                    <w:t>昼/夜</w:t>
                  </w:r>
                </w:p>
              </w:tc>
              <w:tc>
                <w:tcPr>
                  <w:tcW w:w="360" w:type="pct"/>
                  <w:shd w:val="clear" w:color="auto" w:fill="FFFFFF"/>
                  <w:vAlign w:val="center"/>
                </w:tcPr>
                <w:p w14:paraId="2F7A0D9A">
                  <w:pPr>
                    <w:jc w:val="center"/>
                    <w:rPr>
                      <w:rFonts w:hint="eastAsia"/>
                      <w:kern w:val="0"/>
                      <w:sz w:val="18"/>
                      <w:szCs w:val="18"/>
                      <w:lang w:val="en-US" w:eastAsia="zh-CN"/>
                    </w:rPr>
                  </w:pPr>
                  <w:r>
                    <w:rPr>
                      <w:rFonts w:hint="eastAsia"/>
                      <w:kern w:val="0"/>
                      <w:sz w:val="18"/>
                      <w:szCs w:val="18"/>
                      <w:lang w:val="en-US" w:eastAsia="zh-CN"/>
                    </w:rPr>
                    <w:t>20</w:t>
                  </w:r>
                </w:p>
              </w:tc>
              <w:tc>
                <w:tcPr>
                  <w:tcW w:w="321" w:type="pct"/>
                  <w:shd w:val="clear" w:color="auto" w:fill="FFFFFF"/>
                  <w:vAlign w:val="bottom"/>
                </w:tcPr>
                <w:p w14:paraId="1B038C5B">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 xml:space="preserve">1.2 </w:t>
                  </w:r>
                </w:p>
              </w:tc>
              <w:tc>
                <w:tcPr>
                  <w:tcW w:w="369" w:type="pct"/>
                  <w:shd w:val="clear" w:color="auto" w:fill="FFFFFF"/>
                  <w:vAlign w:val="center"/>
                </w:tcPr>
                <w:p w14:paraId="7E224058">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121AE743">
                  <w:pPr>
                    <w:jc w:val="center"/>
                    <w:rPr>
                      <w:sz w:val="18"/>
                      <w:szCs w:val="18"/>
                    </w:rPr>
                  </w:pPr>
                </w:p>
              </w:tc>
            </w:tr>
            <w:tr w14:paraId="3BD16A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2" w:type="pct"/>
                  <w:shd w:val="clear" w:color="auto" w:fill="FFFFFF"/>
                  <w:vAlign w:val="center"/>
                </w:tcPr>
                <w:p w14:paraId="76B00D25">
                  <w:pPr>
                    <w:pStyle w:val="27"/>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15</w:t>
                  </w:r>
                </w:p>
              </w:tc>
              <w:tc>
                <w:tcPr>
                  <w:tcW w:w="219" w:type="pct"/>
                  <w:vMerge w:val="continue"/>
                  <w:shd w:val="clear" w:color="auto" w:fill="FFFFFF"/>
                  <w:vAlign w:val="center"/>
                </w:tcPr>
                <w:p w14:paraId="7C3CBAD4">
                  <w:pPr>
                    <w:pStyle w:val="27"/>
                    <w:jc w:val="center"/>
                    <w:rPr>
                      <w:rFonts w:ascii="Times New Roman" w:hAnsi="Times New Roman" w:eastAsia="宋体"/>
                      <w:sz w:val="18"/>
                      <w:szCs w:val="18"/>
                    </w:rPr>
                  </w:pPr>
                </w:p>
              </w:tc>
              <w:tc>
                <w:tcPr>
                  <w:tcW w:w="518" w:type="pct"/>
                  <w:shd w:val="clear" w:color="auto" w:fill="FFFFFF"/>
                  <w:vAlign w:val="center"/>
                </w:tcPr>
                <w:p w14:paraId="18F99971">
                  <w:pPr>
                    <w:jc w:val="center"/>
                    <w:rPr>
                      <w:rFonts w:hint="default" w:ascii="Times New Roman" w:hAnsi="Times New Roman" w:cs="Times New Roman"/>
                      <w:sz w:val="18"/>
                      <w:szCs w:val="18"/>
                    </w:rPr>
                  </w:pPr>
                  <w:r>
                    <w:rPr>
                      <w:rFonts w:hint="eastAsia"/>
                      <w:sz w:val="18"/>
                      <w:szCs w:val="18"/>
                      <w:lang w:eastAsia="zh-CN"/>
                    </w:rPr>
                    <w:t>二级锯齿波跳汰机</w:t>
                  </w:r>
                </w:p>
              </w:tc>
              <w:tc>
                <w:tcPr>
                  <w:tcW w:w="171" w:type="pct"/>
                  <w:shd w:val="clear" w:color="auto" w:fill="FFFFFF"/>
                  <w:vAlign w:val="center"/>
                </w:tcPr>
                <w:p w14:paraId="54997FC9">
                  <w:pPr>
                    <w:bidi w:val="0"/>
                    <w:jc w:val="center"/>
                    <w:rPr>
                      <w:rFonts w:hint="eastAsia" w:cs="Times New Roman"/>
                      <w:color w:val="000000"/>
                      <w:spacing w:val="-10"/>
                      <w:kern w:val="0"/>
                      <w:sz w:val="18"/>
                      <w:szCs w:val="18"/>
                      <w:lang w:val="en-US" w:eastAsia="zh-CN" w:bidi="ar-SA"/>
                    </w:rPr>
                  </w:pPr>
                  <w:r>
                    <w:rPr>
                      <w:rFonts w:hint="eastAsia" w:cs="Times New Roman"/>
                      <w:color w:val="auto"/>
                      <w:sz w:val="18"/>
                      <w:szCs w:val="18"/>
                      <w:lang w:val="en-US" w:eastAsia="zh-CN"/>
                    </w:rPr>
                    <w:t>2</w:t>
                  </w:r>
                </w:p>
              </w:tc>
              <w:tc>
                <w:tcPr>
                  <w:tcW w:w="443" w:type="pct"/>
                  <w:shd w:val="clear" w:color="auto" w:fill="FFFFFF"/>
                  <w:vAlign w:val="center"/>
                </w:tcPr>
                <w:p w14:paraId="6DDFE772">
                  <w:pPr>
                    <w:jc w:val="center"/>
                    <w:rPr>
                      <w:sz w:val="18"/>
                      <w:szCs w:val="18"/>
                    </w:rPr>
                  </w:pPr>
                  <w:r>
                    <w:rPr>
                      <w:sz w:val="18"/>
                      <w:szCs w:val="18"/>
                    </w:rPr>
                    <w:t>/</w:t>
                  </w:r>
                </w:p>
              </w:tc>
              <w:tc>
                <w:tcPr>
                  <w:tcW w:w="288" w:type="pct"/>
                  <w:shd w:val="clear" w:color="auto" w:fill="FFFFFF"/>
                  <w:vAlign w:val="center"/>
                </w:tcPr>
                <w:p w14:paraId="47EA2863">
                  <w:pPr>
                    <w:spacing w:line="32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85</w:t>
                  </w:r>
                </w:p>
              </w:tc>
              <w:tc>
                <w:tcPr>
                  <w:tcW w:w="261" w:type="pct"/>
                  <w:vMerge w:val="continue"/>
                  <w:shd w:val="clear" w:color="auto" w:fill="FFFFFF"/>
                  <w:vAlign w:val="center"/>
                </w:tcPr>
                <w:p w14:paraId="0223BECC">
                  <w:pPr>
                    <w:pStyle w:val="27"/>
                    <w:jc w:val="center"/>
                    <w:rPr>
                      <w:rFonts w:ascii="Times New Roman" w:hAnsi="Times New Roman" w:eastAsia="宋体"/>
                      <w:sz w:val="18"/>
                      <w:szCs w:val="18"/>
                    </w:rPr>
                  </w:pPr>
                </w:p>
              </w:tc>
              <w:tc>
                <w:tcPr>
                  <w:tcW w:w="266" w:type="pct"/>
                  <w:shd w:val="clear" w:color="auto" w:fill="FFFFFF"/>
                  <w:vAlign w:val="center"/>
                </w:tcPr>
                <w:p w14:paraId="0AFB36D4">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25</w:t>
                  </w:r>
                </w:p>
              </w:tc>
              <w:tc>
                <w:tcPr>
                  <w:tcW w:w="271" w:type="pct"/>
                  <w:shd w:val="clear" w:color="auto" w:fill="FFFFFF"/>
                  <w:vAlign w:val="center"/>
                </w:tcPr>
                <w:p w14:paraId="65E11F10">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35</w:t>
                  </w:r>
                </w:p>
              </w:tc>
              <w:tc>
                <w:tcPr>
                  <w:tcW w:w="231" w:type="pct"/>
                  <w:shd w:val="clear" w:color="auto" w:fill="FFFFFF"/>
                  <w:vAlign w:val="center"/>
                </w:tcPr>
                <w:p w14:paraId="613674B0">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53FF3B21">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N25</w:t>
                  </w:r>
                </w:p>
              </w:tc>
              <w:tc>
                <w:tcPr>
                  <w:tcW w:w="326" w:type="pct"/>
                  <w:shd w:val="clear" w:color="auto" w:fill="FFFFFF"/>
                  <w:vAlign w:val="bottom"/>
                </w:tcPr>
                <w:p w14:paraId="696B0759">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60.1 </w:t>
                  </w:r>
                </w:p>
              </w:tc>
              <w:tc>
                <w:tcPr>
                  <w:tcW w:w="278" w:type="pct"/>
                  <w:shd w:val="clear" w:color="auto" w:fill="FFFFFF"/>
                  <w:vAlign w:val="center"/>
                </w:tcPr>
                <w:p w14:paraId="2B6EA246">
                  <w:pPr>
                    <w:jc w:val="center"/>
                    <w:rPr>
                      <w:kern w:val="0"/>
                      <w:sz w:val="18"/>
                      <w:szCs w:val="18"/>
                    </w:rPr>
                  </w:pPr>
                  <w:r>
                    <w:rPr>
                      <w:kern w:val="0"/>
                      <w:sz w:val="18"/>
                      <w:szCs w:val="18"/>
                    </w:rPr>
                    <w:t>昼/夜</w:t>
                  </w:r>
                </w:p>
              </w:tc>
              <w:tc>
                <w:tcPr>
                  <w:tcW w:w="360" w:type="pct"/>
                  <w:shd w:val="clear" w:color="auto" w:fill="FFFFFF"/>
                  <w:vAlign w:val="center"/>
                </w:tcPr>
                <w:p w14:paraId="4E574DB5">
                  <w:pPr>
                    <w:jc w:val="center"/>
                    <w:rPr>
                      <w:rFonts w:hint="eastAsia"/>
                      <w:kern w:val="0"/>
                      <w:sz w:val="18"/>
                      <w:szCs w:val="18"/>
                      <w:lang w:val="en-US" w:eastAsia="zh-CN"/>
                    </w:rPr>
                  </w:pPr>
                  <w:r>
                    <w:rPr>
                      <w:rFonts w:hint="eastAsia"/>
                      <w:kern w:val="0"/>
                      <w:sz w:val="18"/>
                      <w:szCs w:val="18"/>
                      <w:lang w:val="en-US" w:eastAsia="zh-CN"/>
                    </w:rPr>
                    <w:t>20</w:t>
                  </w:r>
                </w:p>
              </w:tc>
              <w:tc>
                <w:tcPr>
                  <w:tcW w:w="321" w:type="pct"/>
                  <w:shd w:val="clear" w:color="auto" w:fill="FFFFFF"/>
                  <w:vAlign w:val="bottom"/>
                </w:tcPr>
                <w:p w14:paraId="468D27BA">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 xml:space="preserve">0.1 </w:t>
                  </w:r>
                </w:p>
              </w:tc>
              <w:tc>
                <w:tcPr>
                  <w:tcW w:w="369" w:type="pct"/>
                  <w:shd w:val="clear" w:color="auto" w:fill="FFFFFF"/>
                  <w:vAlign w:val="center"/>
                </w:tcPr>
                <w:p w14:paraId="67DAC1E6">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103331C9">
                  <w:pPr>
                    <w:jc w:val="center"/>
                    <w:rPr>
                      <w:sz w:val="18"/>
                      <w:szCs w:val="18"/>
                    </w:rPr>
                  </w:pPr>
                </w:p>
              </w:tc>
            </w:tr>
            <w:tr w14:paraId="66BBA1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2" w:type="pct"/>
                  <w:shd w:val="clear" w:color="auto" w:fill="FFFFFF"/>
                  <w:vAlign w:val="center"/>
                </w:tcPr>
                <w:p w14:paraId="5406D60D">
                  <w:pPr>
                    <w:pStyle w:val="27"/>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16</w:t>
                  </w:r>
                </w:p>
              </w:tc>
              <w:tc>
                <w:tcPr>
                  <w:tcW w:w="219" w:type="pct"/>
                  <w:vMerge w:val="continue"/>
                  <w:shd w:val="clear" w:color="auto" w:fill="FFFFFF"/>
                  <w:vAlign w:val="center"/>
                </w:tcPr>
                <w:p w14:paraId="4AF6A425">
                  <w:pPr>
                    <w:pStyle w:val="27"/>
                    <w:jc w:val="center"/>
                    <w:rPr>
                      <w:rFonts w:ascii="Times New Roman" w:hAnsi="Times New Roman" w:eastAsia="宋体"/>
                      <w:sz w:val="18"/>
                      <w:szCs w:val="18"/>
                    </w:rPr>
                  </w:pPr>
                </w:p>
              </w:tc>
              <w:tc>
                <w:tcPr>
                  <w:tcW w:w="518" w:type="pct"/>
                  <w:shd w:val="clear" w:color="auto" w:fill="FFFFFF"/>
                  <w:vAlign w:val="center"/>
                </w:tcPr>
                <w:p w14:paraId="03A8C7DA">
                  <w:pPr>
                    <w:jc w:val="center"/>
                    <w:rPr>
                      <w:rFonts w:hint="default" w:ascii="Times New Roman" w:hAnsi="Times New Roman" w:cs="Times New Roman"/>
                      <w:sz w:val="18"/>
                      <w:szCs w:val="18"/>
                      <w:lang w:val="en-US"/>
                    </w:rPr>
                  </w:pPr>
                  <w:r>
                    <w:rPr>
                      <w:rFonts w:hint="eastAsia"/>
                      <w:sz w:val="18"/>
                      <w:szCs w:val="18"/>
                      <w:lang w:eastAsia="zh-CN"/>
                    </w:rPr>
                    <w:t>螺旋洗砂机</w:t>
                  </w:r>
                </w:p>
              </w:tc>
              <w:tc>
                <w:tcPr>
                  <w:tcW w:w="171" w:type="pct"/>
                  <w:shd w:val="clear" w:color="auto" w:fill="FFFFFF"/>
                  <w:vAlign w:val="center"/>
                </w:tcPr>
                <w:p w14:paraId="3AB8B383">
                  <w:pPr>
                    <w:bidi w:val="0"/>
                    <w:jc w:val="center"/>
                    <w:rPr>
                      <w:rFonts w:hint="eastAsia" w:cs="Times New Roman"/>
                      <w:color w:val="000000"/>
                      <w:spacing w:val="-10"/>
                      <w:kern w:val="0"/>
                      <w:sz w:val="18"/>
                      <w:szCs w:val="18"/>
                      <w:lang w:val="en-US" w:eastAsia="zh-CN" w:bidi="ar-SA"/>
                    </w:rPr>
                  </w:pPr>
                  <w:r>
                    <w:rPr>
                      <w:rFonts w:hint="eastAsia" w:cs="Times New Roman"/>
                      <w:color w:val="auto"/>
                      <w:sz w:val="18"/>
                      <w:szCs w:val="18"/>
                      <w:lang w:val="en-US" w:eastAsia="zh-CN"/>
                    </w:rPr>
                    <w:t>1</w:t>
                  </w:r>
                </w:p>
              </w:tc>
              <w:tc>
                <w:tcPr>
                  <w:tcW w:w="443" w:type="pct"/>
                  <w:shd w:val="clear" w:color="auto" w:fill="FFFFFF"/>
                  <w:vAlign w:val="center"/>
                </w:tcPr>
                <w:p w14:paraId="6C73E1A0">
                  <w:pPr>
                    <w:jc w:val="center"/>
                    <w:rPr>
                      <w:sz w:val="18"/>
                      <w:szCs w:val="18"/>
                    </w:rPr>
                  </w:pPr>
                  <w:r>
                    <w:rPr>
                      <w:sz w:val="18"/>
                      <w:szCs w:val="18"/>
                    </w:rPr>
                    <w:t>/</w:t>
                  </w:r>
                </w:p>
              </w:tc>
              <w:tc>
                <w:tcPr>
                  <w:tcW w:w="288" w:type="pct"/>
                  <w:shd w:val="clear" w:color="auto" w:fill="FFFFFF"/>
                  <w:vAlign w:val="center"/>
                </w:tcPr>
                <w:p w14:paraId="75BD00C1">
                  <w:pPr>
                    <w:spacing w:line="32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85</w:t>
                  </w:r>
                </w:p>
              </w:tc>
              <w:tc>
                <w:tcPr>
                  <w:tcW w:w="261" w:type="pct"/>
                  <w:vMerge w:val="continue"/>
                  <w:shd w:val="clear" w:color="auto" w:fill="FFFFFF"/>
                  <w:vAlign w:val="center"/>
                </w:tcPr>
                <w:p w14:paraId="2A432FB9">
                  <w:pPr>
                    <w:pStyle w:val="27"/>
                    <w:jc w:val="center"/>
                    <w:rPr>
                      <w:rFonts w:ascii="Times New Roman" w:hAnsi="Times New Roman" w:eastAsia="宋体"/>
                      <w:sz w:val="18"/>
                      <w:szCs w:val="18"/>
                    </w:rPr>
                  </w:pPr>
                </w:p>
              </w:tc>
              <w:tc>
                <w:tcPr>
                  <w:tcW w:w="266" w:type="pct"/>
                  <w:shd w:val="clear" w:color="auto" w:fill="FFFFFF"/>
                  <w:vAlign w:val="center"/>
                </w:tcPr>
                <w:p w14:paraId="346B0F6F">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23</w:t>
                  </w:r>
                </w:p>
              </w:tc>
              <w:tc>
                <w:tcPr>
                  <w:tcW w:w="271" w:type="pct"/>
                  <w:shd w:val="clear" w:color="auto" w:fill="FFFFFF"/>
                  <w:vAlign w:val="center"/>
                </w:tcPr>
                <w:p w14:paraId="02B87F6A">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31</w:t>
                  </w:r>
                </w:p>
              </w:tc>
              <w:tc>
                <w:tcPr>
                  <w:tcW w:w="231" w:type="pct"/>
                  <w:shd w:val="clear" w:color="auto" w:fill="FFFFFF"/>
                  <w:vAlign w:val="center"/>
                </w:tcPr>
                <w:p w14:paraId="79ACD7A6">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1B305F07">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E12</w:t>
                  </w:r>
                </w:p>
              </w:tc>
              <w:tc>
                <w:tcPr>
                  <w:tcW w:w="326" w:type="pct"/>
                  <w:shd w:val="clear" w:color="auto" w:fill="FFFFFF"/>
                  <w:vAlign w:val="bottom"/>
                </w:tcPr>
                <w:p w14:paraId="775A94A2">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63.4 </w:t>
                  </w:r>
                </w:p>
              </w:tc>
              <w:tc>
                <w:tcPr>
                  <w:tcW w:w="278" w:type="pct"/>
                  <w:shd w:val="clear" w:color="auto" w:fill="FFFFFF"/>
                  <w:vAlign w:val="center"/>
                </w:tcPr>
                <w:p w14:paraId="3696B6A6">
                  <w:pPr>
                    <w:jc w:val="center"/>
                    <w:rPr>
                      <w:kern w:val="0"/>
                      <w:sz w:val="18"/>
                      <w:szCs w:val="18"/>
                    </w:rPr>
                  </w:pPr>
                  <w:r>
                    <w:rPr>
                      <w:kern w:val="0"/>
                      <w:sz w:val="18"/>
                      <w:szCs w:val="18"/>
                    </w:rPr>
                    <w:t>昼/夜</w:t>
                  </w:r>
                </w:p>
              </w:tc>
              <w:tc>
                <w:tcPr>
                  <w:tcW w:w="360" w:type="pct"/>
                  <w:shd w:val="clear" w:color="auto" w:fill="FFFFFF"/>
                  <w:vAlign w:val="center"/>
                </w:tcPr>
                <w:p w14:paraId="46AF3CFB">
                  <w:pPr>
                    <w:jc w:val="center"/>
                    <w:rPr>
                      <w:rFonts w:hint="eastAsia"/>
                      <w:kern w:val="0"/>
                      <w:sz w:val="18"/>
                      <w:szCs w:val="18"/>
                      <w:lang w:val="en-US" w:eastAsia="zh-CN"/>
                    </w:rPr>
                  </w:pPr>
                  <w:r>
                    <w:rPr>
                      <w:rFonts w:hint="eastAsia"/>
                      <w:kern w:val="0"/>
                      <w:sz w:val="18"/>
                      <w:szCs w:val="18"/>
                      <w:lang w:val="en-US" w:eastAsia="zh-CN"/>
                    </w:rPr>
                    <w:t>20</w:t>
                  </w:r>
                </w:p>
              </w:tc>
              <w:tc>
                <w:tcPr>
                  <w:tcW w:w="321" w:type="pct"/>
                  <w:shd w:val="clear" w:color="auto" w:fill="FFFFFF"/>
                  <w:vAlign w:val="bottom"/>
                </w:tcPr>
                <w:p w14:paraId="3E24FE75">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 xml:space="preserve">3.4 </w:t>
                  </w:r>
                </w:p>
              </w:tc>
              <w:tc>
                <w:tcPr>
                  <w:tcW w:w="369" w:type="pct"/>
                  <w:shd w:val="clear" w:color="auto" w:fill="FFFFFF"/>
                  <w:vAlign w:val="center"/>
                </w:tcPr>
                <w:p w14:paraId="0E8DA92B">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5B8864AB">
                  <w:pPr>
                    <w:jc w:val="center"/>
                    <w:rPr>
                      <w:sz w:val="18"/>
                      <w:szCs w:val="18"/>
                    </w:rPr>
                  </w:pPr>
                </w:p>
              </w:tc>
            </w:tr>
            <w:tr w14:paraId="3DF6EB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2" w:type="pct"/>
                  <w:shd w:val="clear" w:color="auto" w:fill="FFFFFF"/>
                  <w:vAlign w:val="center"/>
                </w:tcPr>
                <w:p w14:paraId="11FFB754">
                  <w:pPr>
                    <w:pStyle w:val="27"/>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17</w:t>
                  </w:r>
                </w:p>
              </w:tc>
              <w:tc>
                <w:tcPr>
                  <w:tcW w:w="219" w:type="pct"/>
                  <w:vMerge w:val="continue"/>
                  <w:shd w:val="clear" w:color="auto" w:fill="FFFFFF"/>
                  <w:vAlign w:val="center"/>
                </w:tcPr>
                <w:p w14:paraId="43036514">
                  <w:pPr>
                    <w:pStyle w:val="27"/>
                    <w:jc w:val="center"/>
                    <w:rPr>
                      <w:rFonts w:ascii="Times New Roman" w:hAnsi="Times New Roman" w:eastAsia="宋体"/>
                      <w:sz w:val="18"/>
                      <w:szCs w:val="18"/>
                    </w:rPr>
                  </w:pPr>
                </w:p>
              </w:tc>
              <w:tc>
                <w:tcPr>
                  <w:tcW w:w="518" w:type="pct"/>
                  <w:shd w:val="clear" w:color="auto" w:fill="FFFFFF"/>
                  <w:vAlign w:val="center"/>
                </w:tcPr>
                <w:p w14:paraId="742937D7">
                  <w:pPr>
                    <w:jc w:val="center"/>
                    <w:rPr>
                      <w:rFonts w:hint="default" w:ascii="Times New Roman" w:hAnsi="Times New Roman" w:cs="Times New Roman"/>
                      <w:sz w:val="18"/>
                      <w:szCs w:val="18"/>
                      <w:lang w:val="en-US"/>
                    </w:rPr>
                  </w:pPr>
                  <w:r>
                    <w:rPr>
                      <w:rFonts w:hint="eastAsia"/>
                      <w:sz w:val="18"/>
                      <w:szCs w:val="18"/>
                      <w:lang w:eastAsia="zh-CN"/>
                    </w:rPr>
                    <w:t>螺旋洗砂机</w:t>
                  </w:r>
                </w:p>
              </w:tc>
              <w:tc>
                <w:tcPr>
                  <w:tcW w:w="171" w:type="pct"/>
                  <w:shd w:val="clear" w:color="auto" w:fill="FFFFFF"/>
                  <w:vAlign w:val="center"/>
                </w:tcPr>
                <w:p w14:paraId="67D5EFCF">
                  <w:pPr>
                    <w:bidi w:val="0"/>
                    <w:jc w:val="center"/>
                    <w:rPr>
                      <w:rFonts w:hint="eastAsia" w:cs="Times New Roman"/>
                      <w:color w:val="000000"/>
                      <w:spacing w:val="-10"/>
                      <w:kern w:val="0"/>
                      <w:sz w:val="18"/>
                      <w:szCs w:val="18"/>
                      <w:lang w:val="en-US" w:eastAsia="zh-CN" w:bidi="ar-SA"/>
                    </w:rPr>
                  </w:pPr>
                  <w:r>
                    <w:rPr>
                      <w:rFonts w:hint="eastAsia" w:cs="Times New Roman"/>
                      <w:color w:val="auto"/>
                      <w:sz w:val="18"/>
                      <w:szCs w:val="18"/>
                      <w:lang w:val="en-US" w:eastAsia="zh-CN"/>
                    </w:rPr>
                    <w:t>1</w:t>
                  </w:r>
                </w:p>
              </w:tc>
              <w:tc>
                <w:tcPr>
                  <w:tcW w:w="443" w:type="pct"/>
                  <w:shd w:val="clear" w:color="auto" w:fill="FFFFFF"/>
                  <w:vAlign w:val="center"/>
                </w:tcPr>
                <w:p w14:paraId="69EC4C3E">
                  <w:pPr>
                    <w:jc w:val="center"/>
                    <w:rPr>
                      <w:sz w:val="18"/>
                      <w:szCs w:val="18"/>
                    </w:rPr>
                  </w:pPr>
                  <w:r>
                    <w:rPr>
                      <w:sz w:val="18"/>
                      <w:szCs w:val="18"/>
                    </w:rPr>
                    <w:t>/</w:t>
                  </w:r>
                </w:p>
              </w:tc>
              <w:tc>
                <w:tcPr>
                  <w:tcW w:w="288" w:type="pct"/>
                  <w:shd w:val="clear" w:color="auto" w:fill="FFFFFF"/>
                  <w:vAlign w:val="center"/>
                </w:tcPr>
                <w:p w14:paraId="075A39EB">
                  <w:pPr>
                    <w:spacing w:line="32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85</w:t>
                  </w:r>
                </w:p>
              </w:tc>
              <w:tc>
                <w:tcPr>
                  <w:tcW w:w="261" w:type="pct"/>
                  <w:vMerge w:val="continue"/>
                  <w:shd w:val="clear" w:color="auto" w:fill="FFFFFF"/>
                  <w:vAlign w:val="center"/>
                </w:tcPr>
                <w:p w14:paraId="20922022">
                  <w:pPr>
                    <w:pStyle w:val="27"/>
                    <w:jc w:val="center"/>
                    <w:rPr>
                      <w:rFonts w:ascii="Times New Roman" w:hAnsi="Times New Roman" w:eastAsia="宋体"/>
                      <w:sz w:val="18"/>
                      <w:szCs w:val="18"/>
                    </w:rPr>
                  </w:pPr>
                </w:p>
              </w:tc>
              <w:tc>
                <w:tcPr>
                  <w:tcW w:w="266" w:type="pct"/>
                  <w:shd w:val="clear" w:color="auto" w:fill="FFFFFF"/>
                  <w:vAlign w:val="center"/>
                </w:tcPr>
                <w:p w14:paraId="2587EDBC">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22</w:t>
                  </w:r>
                </w:p>
              </w:tc>
              <w:tc>
                <w:tcPr>
                  <w:tcW w:w="271" w:type="pct"/>
                  <w:shd w:val="clear" w:color="auto" w:fill="FFFFFF"/>
                  <w:vAlign w:val="center"/>
                </w:tcPr>
                <w:p w14:paraId="7FE8AA55">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36</w:t>
                  </w:r>
                </w:p>
              </w:tc>
              <w:tc>
                <w:tcPr>
                  <w:tcW w:w="231" w:type="pct"/>
                  <w:shd w:val="clear" w:color="auto" w:fill="FFFFFF"/>
                  <w:vAlign w:val="center"/>
                </w:tcPr>
                <w:p w14:paraId="301B6B0F">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382AEBFD">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W22</w:t>
                  </w:r>
                </w:p>
              </w:tc>
              <w:tc>
                <w:tcPr>
                  <w:tcW w:w="326" w:type="pct"/>
                  <w:shd w:val="clear" w:color="auto" w:fill="FFFFFF"/>
                  <w:vAlign w:val="bottom"/>
                </w:tcPr>
                <w:p w14:paraId="2C70F76E">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58.2 </w:t>
                  </w:r>
                </w:p>
              </w:tc>
              <w:tc>
                <w:tcPr>
                  <w:tcW w:w="278" w:type="pct"/>
                  <w:shd w:val="clear" w:color="auto" w:fill="FFFFFF"/>
                  <w:vAlign w:val="center"/>
                </w:tcPr>
                <w:p w14:paraId="54A04875">
                  <w:pPr>
                    <w:jc w:val="center"/>
                    <w:rPr>
                      <w:kern w:val="0"/>
                      <w:sz w:val="18"/>
                      <w:szCs w:val="18"/>
                    </w:rPr>
                  </w:pPr>
                  <w:r>
                    <w:rPr>
                      <w:kern w:val="0"/>
                      <w:sz w:val="18"/>
                      <w:szCs w:val="18"/>
                    </w:rPr>
                    <w:t>昼/夜</w:t>
                  </w:r>
                </w:p>
              </w:tc>
              <w:tc>
                <w:tcPr>
                  <w:tcW w:w="360" w:type="pct"/>
                  <w:shd w:val="clear" w:color="auto" w:fill="FFFFFF"/>
                  <w:vAlign w:val="center"/>
                </w:tcPr>
                <w:p w14:paraId="3CE6BA9C">
                  <w:pPr>
                    <w:jc w:val="center"/>
                    <w:rPr>
                      <w:rFonts w:hint="eastAsia"/>
                      <w:kern w:val="0"/>
                      <w:sz w:val="18"/>
                      <w:szCs w:val="18"/>
                      <w:lang w:val="en-US" w:eastAsia="zh-CN"/>
                    </w:rPr>
                  </w:pPr>
                  <w:r>
                    <w:rPr>
                      <w:rFonts w:hint="eastAsia"/>
                      <w:kern w:val="0"/>
                      <w:sz w:val="18"/>
                      <w:szCs w:val="18"/>
                      <w:lang w:val="en-US" w:eastAsia="zh-CN"/>
                    </w:rPr>
                    <w:t>20</w:t>
                  </w:r>
                </w:p>
              </w:tc>
              <w:tc>
                <w:tcPr>
                  <w:tcW w:w="321" w:type="pct"/>
                  <w:shd w:val="clear" w:color="auto" w:fill="FFFFFF"/>
                  <w:vAlign w:val="bottom"/>
                </w:tcPr>
                <w:p w14:paraId="330C8632">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 xml:space="preserve">8.2 </w:t>
                  </w:r>
                </w:p>
              </w:tc>
              <w:tc>
                <w:tcPr>
                  <w:tcW w:w="369" w:type="pct"/>
                  <w:shd w:val="clear" w:color="auto" w:fill="FFFFFF"/>
                  <w:vAlign w:val="center"/>
                </w:tcPr>
                <w:p w14:paraId="29371212">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15784522">
                  <w:pPr>
                    <w:jc w:val="center"/>
                    <w:rPr>
                      <w:sz w:val="18"/>
                      <w:szCs w:val="18"/>
                    </w:rPr>
                  </w:pPr>
                </w:p>
              </w:tc>
            </w:tr>
            <w:tr w14:paraId="4B0322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2" w:type="pct"/>
                  <w:shd w:val="clear" w:color="auto" w:fill="FFFFFF"/>
                  <w:vAlign w:val="center"/>
                </w:tcPr>
                <w:p w14:paraId="48639DE9">
                  <w:pPr>
                    <w:pStyle w:val="27"/>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18</w:t>
                  </w:r>
                </w:p>
              </w:tc>
              <w:tc>
                <w:tcPr>
                  <w:tcW w:w="219" w:type="pct"/>
                  <w:vMerge w:val="continue"/>
                  <w:shd w:val="clear" w:color="auto" w:fill="FFFFFF"/>
                  <w:vAlign w:val="center"/>
                </w:tcPr>
                <w:p w14:paraId="4C8C393D">
                  <w:pPr>
                    <w:pStyle w:val="27"/>
                    <w:jc w:val="center"/>
                    <w:rPr>
                      <w:rFonts w:ascii="Times New Roman" w:hAnsi="Times New Roman" w:eastAsia="宋体"/>
                      <w:sz w:val="18"/>
                      <w:szCs w:val="18"/>
                    </w:rPr>
                  </w:pPr>
                </w:p>
              </w:tc>
              <w:tc>
                <w:tcPr>
                  <w:tcW w:w="518" w:type="pct"/>
                  <w:shd w:val="clear" w:color="auto" w:fill="FFFFFF"/>
                  <w:vAlign w:val="center"/>
                </w:tcPr>
                <w:p w14:paraId="66633E09">
                  <w:pPr>
                    <w:jc w:val="center"/>
                    <w:rPr>
                      <w:rFonts w:hint="default" w:ascii="Times New Roman" w:hAnsi="Times New Roman" w:cs="Times New Roman"/>
                      <w:sz w:val="18"/>
                      <w:szCs w:val="18"/>
                    </w:rPr>
                  </w:pPr>
                  <w:r>
                    <w:rPr>
                      <w:rFonts w:hint="eastAsia"/>
                      <w:sz w:val="18"/>
                      <w:szCs w:val="18"/>
                      <w:lang w:eastAsia="zh-CN"/>
                    </w:rPr>
                    <w:t>分级滚笼筛</w:t>
                  </w:r>
                </w:p>
              </w:tc>
              <w:tc>
                <w:tcPr>
                  <w:tcW w:w="171" w:type="pct"/>
                  <w:shd w:val="clear" w:color="auto" w:fill="FFFFFF"/>
                  <w:vAlign w:val="center"/>
                </w:tcPr>
                <w:p w14:paraId="3DBB744B">
                  <w:pPr>
                    <w:bidi w:val="0"/>
                    <w:jc w:val="center"/>
                    <w:rPr>
                      <w:rFonts w:hint="eastAsia" w:cs="Times New Roman"/>
                      <w:color w:val="000000"/>
                      <w:spacing w:val="-10"/>
                      <w:kern w:val="0"/>
                      <w:sz w:val="18"/>
                      <w:szCs w:val="18"/>
                      <w:lang w:val="en-US" w:eastAsia="zh-CN" w:bidi="ar-SA"/>
                    </w:rPr>
                  </w:pPr>
                  <w:r>
                    <w:rPr>
                      <w:rFonts w:hint="eastAsia" w:cs="Times New Roman"/>
                      <w:color w:val="auto"/>
                      <w:sz w:val="18"/>
                      <w:szCs w:val="18"/>
                      <w:lang w:val="en-US" w:eastAsia="zh-CN"/>
                    </w:rPr>
                    <w:t>1</w:t>
                  </w:r>
                </w:p>
              </w:tc>
              <w:tc>
                <w:tcPr>
                  <w:tcW w:w="443" w:type="pct"/>
                  <w:shd w:val="clear" w:color="auto" w:fill="FFFFFF"/>
                  <w:vAlign w:val="center"/>
                </w:tcPr>
                <w:p w14:paraId="41F92DCA">
                  <w:pPr>
                    <w:jc w:val="center"/>
                    <w:rPr>
                      <w:sz w:val="18"/>
                      <w:szCs w:val="18"/>
                    </w:rPr>
                  </w:pPr>
                  <w:r>
                    <w:rPr>
                      <w:sz w:val="18"/>
                      <w:szCs w:val="18"/>
                    </w:rPr>
                    <w:t>/</w:t>
                  </w:r>
                </w:p>
              </w:tc>
              <w:tc>
                <w:tcPr>
                  <w:tcW w:w="288" w:type="pct"/>
                  <w:shd w:val="clear" w:color="auto" w:fill="FFFFFF"/>
                  <w:vAlign w:val="center"/>
                </w:tcPr>
                <w:p w14:paraId="2BB49F42">
                  <w:pPr>
                    <w:spacing w:line="320" w:lineRule="exact"/>
                    <w:jc w:val="center"/>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8</w:t>
                  </w:r>
                  <w:r>
                    <w:rPr>
                      <w:rFonts w:hint="eastAsia" w:cs="Times New Roman"/>
                      <w:color w:val="auto"/>
                      <w:sz w:val="18"/>
                      <w:szCs w:val="18"/>
                      <w:lang w:val="en-US" w:eastAsia="zh-CN"/>
                    </w:rPr>
                    <w:t>0</w:t>
                  </w:r>
                </w:p>
              </w:tc>
              <w:tc>
                <w:tcPr>
                  <w:tcW w:w="261" w:type="pct"/>
                  <w:vMerge w:val="continue"/>
                  <w:shd w:val="clear" w:color="auto" w:fill="FFFFFF"/>
                  <w:vAlign w:val="center"/>
                </w:tcPr>
                <w:p w14:paraId="0FEE8A8F">
                  <w:pPr>
                    <w:pStyle w:val="27"/>
                    <w:jc w:val="center"/>
                    <w:rPr>
                      <w:rFonts w:ascii="Times New Roman" w:hAnsi="Times New Roman" w:eastAsia="宋体"/>
                      <w:sz w:val="18"/>
                      <w:szCs w:val="18"/>
                    </w:rPr>
                  </w:pPr>
                </w:p>
              </w:tc>
              <w:tc>
                <w:tcPr>
                  <w:tcW w:w="266" w:type="pct"/>
                  <w:shd w:val="clear" w:color="auto" w:fill="FFFFFF"/>
                  <w:vAlign w:val="center"/>
                </w:tcPr>
                <w:p w14:paraId="10CA86E2">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20</w:t>
                  </w:r>
                </w:p>
              </w:tc>
              <w:tc>
                <w:tcPr>
                  <w:tcW w:w="271" w:type="pct"/>
                  <w:shd w:val="clear" w:color="auto" w:fill="FFFFFF"/>
                  <w:vAlign w:val="center"/>
                </w:tcPr>
                <w:p w14:paraId="2B4E84B0">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30</w:t>
                  </w:r>
                </w:p>
              </w:tc>
              <w:tc>
                <w:tcPr>
                  <w:tcW w:w="231" w:type="pct"/>
                  <w:shd w:val="clear" w:color="auto" w:fill="FFFFFF"/>
                  <w:vAlign w:val="center"/>
                </w:tcPr>
                <w:p w14:paraId="1D218802">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18EBF732">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E15</w:t>
                  </w:r>
                </w:p>
              </w:tc>
              <w:tc>
                <w:tcPr>
                  <w:tcW w:w="326" w:type="pct"/>
                  <w:shd w:val="clear" w:color="auto" w:fill="FFFFFF"/>
                  <w:vAlign w:val="bottom"/>
                </w:tcPr>
                <w:p w14:paraId="3D5F38B8">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56.5 </w:t>
                  </w:r>
                </w:p>
              </w:tc>
              <w:tc>
                <w:tcPr>
                  <w:tcW w:w="278" w:type="pct"/>
                  <w:shd w:val="clear" w:color="auto" w:fill="FFFFFF"/>
                  <w:vAlign w:val="center"/>
                </w:tcPr>
                <w:p w14:paraId="0EECB3A9">
                  <w:pPr>
                    <w:jc w:val="center"/>
                    <w:rPr>
                      <w:kern w:val="0"/>
                      <w:sz w:val="18"/>
                      <w:szCs w:val="18"/>
                    </w:rPr>
                  </w:pPr>
                  <w:r>
                    <w:rPr>
                      <w:kern w:val="0"/>
                      <w:sz w:val="18"/>
                      <w:szCs w:val="18"/>
                    </w:rPr>
                    <w:t>昼/夜</w:t>
                  </w:r>
                </w:p>
              </w:tc>
              <w:tc>
                <w:tcPr>
                  <w:tcW w:w="360" w:type="pct"/>
                  <w:shd w:val="clear" w:color="auto" w:fill="FFFFFF"/>
                  <w:vAlign w:val="center"/>
                </w:tcPr>
                <w:p w14:paraId="2DA07E2A">
                  <w:pPr>
                    <w:jc w:val="center"/>
                    <w:rPr>
                      <w:rFonts w:hint="eastAsia"/>
                      <w:kern w:val="0"/>
                      <w:sz w:val="18"/>
                      <w:szCs w:val="18"/>
                      <w:lang w:val="en-US" w:eastAsia="zh-CN"/>
                    </w:rPr>
                  </w:pPr>
                  <w:r>
                    <w:rPr>
                      <w:rFonts w:hint="eastAsia"/>
                      <w:kern w:val="0"/>
                      <w:sz w:val="18"/>
                      <w:szCs w:val="18"/>
                      <w:lang w:val="en-US" w:eastAsia="zh-CN"/>
                    </w:rPr>
                    <w:t>20</w:t>
                  </w:r>
                </w:p>
              </w:tc>
              <w:tc>
                <w:tcPr>
                  <w:tcW w:w="321" w:type="pct"/>
                  <w:shd w:val="clear" w:color="auto" w:fill="FFFFFF"/>
                  <w:vAlign w:val="bottom"/>
                </w:tcPr>
                <w:p w14:paraId="2BD43B63">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 xml:space="preserve">6.5 </w:t>
                  </w:r>
                </w:p>
              </w:tc>
              <w:tc>
                <w:tcPr>
                  <w:tcW w:w="369" w:type="pct"/>
                  <w:shd w:val="clear" w:color="auto" w:fill="FFFFFF"/>
                  <w:vAlign w:val="center"/>
                </w:tcPr>
                <w:p w14:paraId="535CDE45">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12006659">
                  <w:pPr>
                    <w:jc w:val="center"/>
                    <w:rPr>
                      <w:sz w:val="18"/>
                      <w:szCs w:val="18"/>
                    </w:rPr>
                  </w:pPr>
                </w:p>
              </w:tc>
            </w:tr>
            <w:tr w14:paraId="1B039C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2" w:type="pct"/>
                  <w:shd w:val="clear" w:color="auto" w:fill="FFFFFF"/>
                  <w:vAlign w:val="center"/>
                </w:tcPr>
                <w:p w14:paraId="7B44113E">
                  <w:pPr>
                    <w:pStyle w:val="27"/>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19</w:t>
                  </w:r>
                </w:p>
              </w:tc>
              <w:tc>
                <w:tcPr>
                  <w:tcW w:w="219" w:type="pct"/>
                  <w:vMerge w:val="continue"/>
                  <w:shd w:val="clear" w:color="auto" w:fill="FFFFFF"/>
                  <w:vAlign w:val="center"/>
                </w:tcPr>
                <w:p w14:paraId="4EBE15E4">
                  <w:pPr>
                    <w:pStyle w:val="27"/>
                    <w:jc w:val="center"/>
                    <w:rPr>
                      <w:rFonts w:ascii="Times New Roman" w:hAnsi="Times New Roman" w:eastAsia="宋体"/>
                      <w:sz w:val="18"/>
                      <w:szCs w:val="18"/>
                    </w:rPr>
                  </w:pPr>
                </w:p>
              </w:tc>
              <w:tc>
                <w:tcPr>
                  <w:tcW w:w="518" w:type="pct"/>
                  <w:shd w:val="clear" w:color="auto" w:fill="FFFFFF"/>
                  <w:vAlign w:val="center"/>
                </w:tcPr>
                <w:p w14:paraId="740C2538">
                  <w:pPr>
                    <w:jc w:val="center"/>
                    <w:rPr>
                      <w:rFonts w:hint="default" w:ascii="Times New Roman" w:hAnsi="Times New Roman" w:cs="Times New Roman"/>
                      <w:sz w:val="18"/>
                      <w:szCs w:val="18"/>
                    </w:rPr>
                  </w:pPr>
                  <w:r>
                    <w:rPr>
                      <w:rFonts w:hint="eastAsia"/>
                      <w:sz w:val="18"/>
                      <w:szCs w:val="18"/>
                      <w:lang w:eastAsia="zh-CN"/>
                    </w:rPr>
                    <w:t>垃圾滚笼筛</w:t>
                  </w:r>
                </w:p>
              </w:tc>
              <w:tc>
                <w:tcPr>
                  <w:tcW w:w="171" w:type="pct"/>
                  <w:shd w:val="clear" w:color="auto" w:fill="FFFFFF"/>
                  <w:vAlign w:val="center"/>
                </w:tcPr>
                <w:p w14:paraId="695EE74A">
                  <w:pPr>
                    <w:bidi w:val="0"/>
                    <w:jc w:val="center"/>
                    <w:rPr>
                      <w:rFonts w:hint="eastAsia" w:cs="Times New Roman"/>
                      <w:color w:val="000000"/>
                      <w:spacing w:val="-10"/>
                      <w:kern w:val="0"/>
                      <w:sz w:val="18"/>
                      <w:szCs w:val="18"/>
                      <w:lang w:val="en-US" w:eastAsia="zh-CN" w:bidi="ar-SA"/>
                    </w:rPr>
                  </w:pPr>
                  <w:r>
                    <w:rPr>
                      <w:rFonts w:hint="eastAsia" w:cs="Times New Roman"/>
                      <w:color w:val="auto"/>
                      <w:sz w:val="18"/>
                      <w:szCs w:val="18"/>
                      <w:lang w:val="en-US" w:eastAsia="zh-CN"/>
                    </w:rPr>
                    <w:t>1</w:t>
                  </w:r>
                </w:p>
              </w:tc>
              <w:tc>
                <w:tcPr>
                  <w:tcW w:w="443" w:type="pct"/>
                  <w:shd w:val="clear" w:color="auto" w:fill="FFFFFF"/>
                  <w:vAlign w:val="center"/>
                </w:tcPr>
                <w:p w14:paraId="415B456A">
                  <w:pPr>
                    <w:jc w:val="center"/>
                    <w:rPr>
                      <w:sz w:val="18"/>
                      <w:szCs w:val="18"/>
                    </w:rPr>
                  </w:pPr>
                  <w:r>
                    <w:rPr>
                      <w:sz w:val="18"/>
                      <w:szCs w:val="18"/>
                    </w:rPr>
                    <w:t>/</w:t>
                  </w:r>
                </w:p>
              </w:tc>
              <w:tc>
                <w:tcPr>
                  <w:tcW w:w="288" w:type="pct"/>
                  <w:shd w:val="clear" w:color="auto" w:fill="FFFFFF"/>
                  <w:vAlign w:val="center"/>
                </w:tcPr>
                <w:p w14:paraId="5BE6D09E">
                  <w:pPr>
                    <w:spacing w:line="320" w:lineRule="exact"/>
                    <w:jc w:val="center"/>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8</w:t>
                  </w:r>
                  <w:r>
                    <w:rPr>
                      <w:rFonts w:hint="eastAsia" w:cs="Times New Roman"/>
                      <w:color w:val="auto"/>
                      <w:sz w:val="18"/>
                      <w:szCs w:val="18"/>
                      <w:lang w:val="en-US" w:eastAsia="zh-CN"/>
                    </w:rPr>
                    <w:t>0</w:t>
                  </w:r>
                </w:p>
              </w:tc>
              <w:tc>
                <w:tcPr>
                  <w:tcW w:w="261" w:type="pct"/>
                  <w:vMerge w:val="continue"/>
                  <w:shd w:val="clear" w:color="auto" w:fill="FFFFFF"/>
                  <w:vAlign w:val="center"/>
                </w:tcPr>
                <w:p w14:paraId="04F28EDA">
                  <w:pPr>
                    <w:pStyle w:val="27"/>
                    <w:jc w:val="center"/>
                    <w:rPr>
                      <w:rFonts w:ascii="Times New Roman" w:hAnsi="Times New Roman" w:eastAsia="宋体"/>
                      <w:sz w:val="18"/>
                      <w:szCs w:val="18"/>
                    </w:rPr>
                  </w:pPr>
                </w:p>
              </w:tc>
              <w:tc>
                <w:tcPr>
                  <w:tcW w:w="266" w:type="pct"/>
                  <w:shd w:val="clear" w:color="auto" w:fill="FFFFFF"/>
                  <w:vAlign w:val="center"/>
                </w:tcPr>
                <w:p w14:paraId="41FA6177">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20</w:t>
                  </w:r>
                </w:p>
              </w:tc>
              <w:tc>
                <w:tcPr>
                  <w:tcW w:w="271" w:type="pct"/>
                  <w:shd w:val="clear" w:color="auto" w:fill="FFFFFF"/>
                  <w:vAlign w:val="center"/>
                </w:tcPr>
                <w:p w14:paraId="384A0D3B">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34</w:t>
                  </w:r>
                </w:p>
              </w:tc>
              <w:tc>
                <w:tcPr>
                  <w:tcW w:w="231" w:type="pct"/>
                  <w:shd w:val="clear" w:color="auto" w:fill="FFFFFF"/>
                  <w:vAlign w:val="center"/>
                </w:tcPr>
                <w:p w14:paraId="2BDBF96B">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131B9997">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E15</w:t>
                  </w:r>
                </w:p>
              </w:tc>
              <w:tc>
                <w:tcPr>
                  <w:tcW w:w="326" w:type="pct"/>
                  <w:shd w:val="clear" w:color="auto" w:fill="FFFFFF"/>
                  <w:vAlign w:val="bottom"/>
                </w:tcPr>
                <w:p w14:paraId="7011B996">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56.5 </w:t>
                  </w:r>
                </w:p>
              </w:tc>
              <w:tc>
                <w:tcPr>
                  <w:tcW w:w="278" w:type="pct"/>
                  <w:shd w:val="clear" w:color="auto" w:fill="FFFFFF"/>
                  <w:vAlign w:val="center"/>
                </w:tcPr>
                <w:p w14:paraId="266520C2">
                  <w:pPr>
                    <w:jc w:val="center"/>
                    <w:rPr>
                      <w:kern w:val="0"/>
                      <w:sz w:val="18"/>
                      <w:szCs w:val="18"/>
                    </w:rPr>
                  </w:pPr>
                  <w:r>
                    <w:rPr>
                      <w:kern w:val="0"/>
                      <w:sz w:val="18"/>
                      <w:szCs w:val="18"/>
                    </w:rPr>
                    <w:t>昼/夜</w:t>
                  </w:r>
                </w:p>
              </w:tc>
              <w:tc>
                <w:tcPr>
                  <w:tcW w:w="360" w:type="pct"/>
                  <w:shd w:val="clear" w:color="auto" w:fill="FFFFFF"/>
                  <w:vAlign w:val="center"/>
                </w:tcPr>
                <w:p w14:paraId="1D8A01B4">
                  <w:pPr>
                    <w:jc w:val="center"/>
                    <w:rPr>
                      <w:rFonts w:hint="eastAsia"/>
                      <w:kern w:val="0"/>
                      <w:sz w:val="18"/>
                      <w:szCs w:val="18"/>
                      <w:lang w:val="en-US" w:eastAsia="zh-CN"/>
                    </w:rPr>
                  </w:pPr>
                  <w:r>
                    <w:rPr>
                      <w:rFonts w:hint="eastAsia"/>
                      <w:kern w:val="0"/>
                      <w:sz w:val="18"/>
                      <w:szCs w:val="18"/>
                      <w:lang w:val="en-US" w:eastAsia="zh-CN"/>
                    </w:rPr>
                    <w:t>20</w:t>
                  </w:r>
                </w:p>
              </w:tc>
              <w:tc>
                <w:tcPr>
                  <w:tcW w:w="321" w:type="pct"/>
                  <w:shd w:val="clear" w:color="auto" w:fill="FFFFFF"/>
                  <w:vAlign w:val="bottom"/>
                </w:tcPr>
                <w:p w14:paraId="13FE88C8">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 xml:space="preserve">6.5 </w:t>
                  </w:r>
                </w:p>
              </w:tc>
              <w:tc>
                <w:tcPr>
                  <w:tcW w:w="369" w:type="pct"/>
                  <w:shd w:val="clear" w:color="auto" w:fill="FFFFFF"/>
                  <w:vAlign w:val="center"/>
                </w:tcPr>
                <w:p w14:paraId="1C06832B">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52EC7DBA">
                  <w:pPr>
                    <w:jc w:val="center"/>
                    <w:rPr>
                      <w:sz w:val="18"/>
                      <w:szCs w:val="18"/>
                    </w:rPr>
                  </w:pPr>
                </w:p>
              </w:tc>
            </w:tr>
            <w:tr w14:paraId="7D1C52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2" w:type="pct"/>
                  <w:shd w:val="clear" w:color="auto" w:fill="FFFFFF"/>
                  <w:vAlign w:val="center"/>
                </w:tcPr>
                <w:p w14:paraId="201DA585">
                  <w:pPr>
                    <w:pStyle w:val="27"/>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20</w:t>
                  </w:r>
                </w:p>
              </w:tc>
              <w:tc>
                <w:tcPr>
                  <w:tcW w:w="219" w:type="pct"/>
                  <w:vMerge w:val="continue"/>
                  <w:shd w:val="clear" w:color="auto" w:fill="FFFFFF"/>
                  <w:vAlign w:val="center"/>
                </w:tcPr>
                <w:p w14:paraId="24FB18BA">
                  <w:pPr>
                    <w:pStyle w:val="27"/>
                    <w:jc w:val="center"/>
                    <w:rPr>
                      <w:rFonts w:ascii="Times New Roman" w:hAnsi="Times New Roman" w:eastAsia="宋体"/>
                      <w:sz w:val="18"/>
                      <w:szCs w:val="18"/>
                    </w:rPr>
                  </w:pPr>
                </w:p>
              </w:tc>
              <w:tc>
                <w:tcPr>
                  <w:tcW w:w="518" w:type="pct"/>
                  <w:shd w:val="clear" w:color="auto" w:fill="FFFFFF"/>
                  <w:vAlign w:val="center"/>
                </w:tcPr>
                <w:p w14:paraId="1B8693AC">
                  <w:pPr>
                    <w:jc w:val="center"/>
                    <w:rPr>
                      <w:rFonts w:hint="default" w:ascii="Times New Roman" w:hAnsi="Times New Roman" w:cs="Times New Roman"/>
                      <w:sz w:val="18"/>
                      <w:szCs w:val="18"/>
                    </w:rPr>
                  </w:pPr>
                  <w:r>
                    <w:rPr>
                      <w:rFonts w:hint="eastAsia"/>
                      <w:sz w:val="18"/>
                      <w:szCs w:val="18"/>
                      <w:lang w:eastAsia="zh-CN"/>
                    </w:rPr>
                    <w:t>滚笼筛</w:t>
                  </w:r>
                </w:p>
              </w:tc>
              <w:tc>
                <w:tcPr>
                  <w:tcW w:w="171" w:type="pct"/>
                  <w:shd w:val="clear" w:color="auto" w:fill="FFFFFF"/>
                  <w:vAlign w:val="center"/>
                </w:tcPr>
                <w:p w14:paraId="645A722E">
                  <w:pPr>
                    <w:bidi w:val="0"/>
                    <w:jc w:val="center"/>
                    <w:rPr>
                      <w:rFonts w:hint="eastAsia" w:cs="Times New Roman"/>
                      <w:color w:val="000000"/>
                      <w:spacing w:val="-10"/>
                      <w:kern w:val="0"/>
                      <w:sz w:val="18"/>
                      <w:szCs w:val="18"/>
                      <w:lang w:val="en-US" w:eastAsia="zh-CN" w:bidi="ar-SA"/>
                    </w:rPr>
                  </w:pPr>
                  <w:r>
                    <w:rPr>
                      <w:rFonts w:hint="eastAsia" w:cs="Times New Roman"/>
                      <w:color w:val="auto"/>
                      <w:sz w:val="18"/>
                      <w:szCs w:val="18"/>
                      <w:lang w:val="en-US" w:eastAsia="zh-CN"/>
                    </w:rPr>
                    <w:t>2</w:t>
                  </w:r>
                </w:p>
              </w:tc>
              <w:tc>
                <w:tcPr>
                  <w:tcW w:w="443" w:type="pct"/>
                  <w:shd w:val="clear" w:color="auto" w:fill="FFFFFF"/>
                  <w:vAlign w:val="center"/>
                </w:tcPr>
                <w:p w14:paraId="6A19A0B8">
                  <w:pPr>
                    <w:jc w:val="center"/>
                    <w:rPr>
                      <w:sz w:val="18"/>
                      <w:szCs w:val="18"/>
                    </w:rPr>
                  </w:pPr>
                  <w:r>
                    <w:rPr>
                      <w:sz w:val="18"/>
                      <w:szCs w:val="18"/>
                    </w:rPr>
                    <w:t>/</w:t>
                  </w:r>
                </w:p>
              </w:tc>
              <w:tc>
                <w:tcPr>
                  <w:tcW w:w="288" w:type="pct"/>
                  <w:shd w:val="clear" w:color="auto" w:fill="FFFFFF"/>
                  <w:vAlign w:val="center"/>
                </w:tcPr>
                <w:p w14:paraId="6C54449D">
                  <w:pPr>
                    <w:spacing w:line="320" w:lineRule="exact"/>
                    <w:jc w:val="center"/>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8</w:t>
                  </w:r>
                  <w:r>
                    <w:rPr>
                      <w:rFonts w:hint="eastAsia" w:cs="Times New Roman"/>
                      <w:color w:val="auto"/>
                      <w:sz w:val="18"/>
                      <w:szCs w:val="18"/>
                      <w:lang w:val="en-US" w:eastAsia="zh-CN"/>
                    </w:rPr>
                    <w:t>0</w:t>
                  </w:r>
                </w:p>
              </w:tc>
              <w:tc>
                <w:tcPr>
                  <w:tcW w:w="261" w:type="pct"/>
                  <w:vMerge w:val="continue"/>
                  <w:shd w:val="clear" w:color="auto" w:fill="FFFFFF"/>
                  <w:vAlign w:val="center"/>
                </w:tcPr>
                <w:p w14:paraId="0A1ECEF0">
                  <w:pPr>
                    <w:pStyle w:val="27"/>
                    <w:jc w:val="center"/>
                    <w:rPr>
                      <w:rFonts w:ascii="Times New Roman" w:hAnsi="Times New Roman" w:eastAsia="宋体"/>
                      <w:sz w:val="18"/>
                      <w:szCs w:val="18"/>
                    </w:rPr>
                  </w:pPr>
                </w:p>
              </w:tc>
              <w:tc>
                <w:tcPr>
                  <w:tcW w:w="266" w:type="pct"/>
                  <w:shd w:val="clear" w:color="auto" w:fill="FFFFFF"/>
                  <w:vAlign w:val="center"/>
                </w:tcPr>
                <w:p w14:paraId="4801A096">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21</w:t>
                  </w:r>
                </w:p>
              </w:tc>
              <w:tc>
                <w:tcPr>
                  <w:tcW w:w="271" w:type="pct"/>
                  <w:shd w:val="clear" w:color="auto" w:fill="FFFFFF"/>
                  <w:vAlign w:val="center"/>
                </w:tcPr>
                <w:p w14:paraId="41EB4F80">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33</w:t>
                  </w:r>
                </w:p>
              </w:tc>
              <w:tc>
                <w:tcPr>
                  <w:tcW w:w="231" w:type="pct"/>
                  <w:shd w:val="clear" w:color="auto" w:fill="FFFFFF"/>
                  <w:vAlign w:val="center"/>
                </w:tcPr>
                <w:p w14:paraId="63CB1048">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2E83E468">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E14</w:t>
                  </w:r>
                </w:p>
              </w:tc>
              <w:tc>
                <w:tcPr>
                  <w:tcW w:w="326" w:type="pct"/>
                  <w:shd w:val="clear" w:color="auto" w:fill="FFFFFF"/>
                  <w:vAlign w:val="bottom"/>
                </w:tcPr>
                <w:p w14:paraId="09971CE0">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60.1 </w:t>
                  </w:r>
                </w:p>
              </w:tc>
              <w:tc>
                <w:tcPr>
                  <w:tcW w:w="278" w:type="pct"/>
                  <w:shd w:val="clear" w:color="auto" w:fill="FFFFFF"/>
                  <w:vAlign w:val="center"/>
                </w:tcPr>
                <w:p w14:paraId="73742C32">
                  <w:pPr>
                    <w:jc w:val="center"/>
                    <w:rPr>
                      <w:kern w:val="0"/>
                      <w:sz w:val="18"/>
                      <w:szCs w:val="18"/>
                    </w:rPr>
                  </w:pPr>
                  <w:r>
                    <w:rPr>
                      <w:kern w:val="0"/>
                      <w:sz w:val="18"/>
                      <w:szCs w:val="18"/>
                    </w:rPr>
                    <w:t>昼/夜</w:t>
                  </w:r>
                </w:p>
              </w:tc>
              <w:tc>
                <w:tcPr>
                  <w:tcW w:w="360" w:type="pct"/>
                  <w:shd w:val="clear" w:color="auto" w:fill="FFFFFF"/>
                  <w:vAlign w:val="center"/>
                </w:tcPr>
                <w:p w14:paraId="6026EF39">
                  <w:pPr>
                    <w:jc w:val="center"/>
                    <w:rPr>
                      <w:rFonts w:hint="eastAsia"/>
                      <w:kern w:val="0"/>
                      <w:sz w:val="18"/>
                      <w:szCs w:val="18"/>
                      <w:lang w:val="en-US" w:eastAsia="zh-CN"/>
                    </w:rPr>
                  </w:pPr>
                  <w:r>
                    <w:rPr>
                      <w:rFonts w:hint="eastAsia"/>
                      <w:kern w:val="0"/>
                      <w:sz w:val="18"/>
                      <w:szCs w:val="18"/>
                      <w:lang w:val="en-US" w:eastAsia="zh-CN"/>
                    </w:rPr>
                    <w:t>20</w:t>
                  </w:r>
                </w:p>
              </w:tc>
              <w:tc>
                <w:tcPr>
                  <w:tcW w:w="321" w:type="pct"/>
                  <w:shd w:val="clear" w:color="auto" w:fill="FFFFFF"/>
                  <w:vAlign w:val="bottom"/>
                </w:tcPr>
                <w:p w14:paraId="60ADAA28">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 xml:space="preserve">0.1 </w:t>
                  </w:r>
                </w:p>
              </w:tc>
              <w:tc>
                <w:tcPr>
                  <w:tcW w:w="369" w:type="pct"/>
                  <w:shd w:val="clear" w:color="auto" w:fill="FFFFFF"/>
                  <w:vAlign w:val="center"/>
                </w:tcPr>
                <w:p w14:paraId="388F42B7">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261DA70E">
                  <w:pPr>
                    <w:jc w:val="center"/>
                    <w:rPr>
                      <w:sz w:val="18"/>
                      <w:szCs w:val="18"/>
                    </w:rPr>
                  </w:pPr>
                </w:p>
              </w:tc>
            </w:tr>
            <w:tr w14:paraId="607065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2" w:type="pct"/>
                  <w:shd w:val="clear" w:color="auto" w:fill="FFFFFF"/>
                  <w:vAlign w:val="center"/>
                </w:tcPr>
                <w:p w14:paraId="7EE02A04">
                  <w:pPr>
                    <w:pStyle w:val="27"/>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21</w:t>
                  </w:r>
                </w:p>
              </w:tc>
              <w:tc>
                <w:tcPr>
                  <w:tcW w:w="219" w:type="pct"/>
                  <w:vMerge w:val="continue"/>
                  <w:shd w:val="clear" w:color="auto" w:fill="FFFFFF"/>
                  <w:vAlign w:val="center"/>
                </w:tcPr>
                <w:p w14:paraId="64FFB2EF">
                  <w:pPr>
                    <w:pStyle w:val="27"/>
                    <w:jc w:val="center"/>
                    <w:rPr>
                      <w:rFonts w:ascii="Times New Roman" w:hAnsi="Times New Roman" w:eastAsia="宋体"/>
                      <w:sz w:val="18"/>
                      <w:szCs w:val="18"/>
                    </w:rPr>
                  </w:pPr>
                </w:p>
              </w:tc>
              <w:tc>
                <w:tcPr>
                  <w:tcW w:w="518" w:type="pct"/>
                  <w:shd w:val="clear" w:color="auto" w:fill="FFFFFF"/>
                  <w:vAlign w:val="center"/>
                </w:tcPr>
                <w:p w14:paraId="4B823B79">
                  <w:pPr>
                    <w:jc w:val="center"/>
                    <w:rPr>
                      <w:rFonts w:hint="default" w:ascii="Times New Roman" w:hAnsi="Times New Roman" w:cs="Times New Roman"/>
                      <w:sz w:val="18"/>
                      <w:szCs w:val="18"/>
                    </w:rPr>
                  </w:pPr>
                  <w:r>
                    <w:rPr>
                      <w:rFonts w:hint="eastAsia"/>
                      <w:sz w:val="18"/>
                      <w:szCs w:val="18"/>
                      <w:lang w:eastAsia="zh-CN"/>
                    </w:rPr>
                    <w:t>涡电流跳汰铝机</w:t>
                  </w:r>
                </w:p>
              </w:tc>
              <w:tc>
                <w:tcPr>
                  <w:tcW w:w="171" w:type="pct"/>
                  <w:shd w:val="clear" w:color="auto" w:fill="FFFFFF"/>
                  <w:vAlign w:val="center"/>
                </w:tcPr>
                <w:p w14:paraId="26FB2650">
                  <w:pPr>
                    <w:bidi w:val="0"/>
                    <w:jc w:val="center"/>
                    <w:rPr>
                      <w:rFonts w:hint="eastAsia" w:cs="Times New Roman"/>
                      <w:color w:val="000000"/>
                      <w:spacing w:val="-10"/>
                      <w:kern w:val="0"/>
                      <w:sz w:val="18"/>
                      <w:szCs w:val="18"/>
                      <w:lang w:val="en-US" w:eastAsia="zh-CN" w:bidi="ar-SA"/>
                    </w:rPr>
                  </w:pPr>
                  <w:r>
                    <w:rPr>
                      <w:rFonts w:hint="eastAsia" w:cs="Times New Roman"/>
                      <w:color w:val="auto"/>
                      <w:sz w:val="18"/>
                      <w:szCs w:val="18"/>
                      <w:lang w:val="en-US" w:eastAsia="zh-CN"/>
                    </w:rPr>
                    <w:t>4</w:t>
                  </w:r>
                </w:p>
              </w:tc>
              <w:tc>
                <w:tcPr>
                  <w:tcW w:w="443" w:type="pct"/>
                  <w:shd w:val="clear" w:color="auto" w:fill="FFFFFF"/>
                  <w:vAlign w:val="center"/>
                </w:tcPr>
                <w:p w14:paraId="2ECB37EF">
                  <w:pPr>
                    <w:jc w:val="center"/>
                    <w:rPr>
                      <w:sz w:val="18"/>
                      <w:szCs w:val="18"/>
                    </w:rPr>
                  </w:pPr>
                  <w:r>
                    <w:rPr>
                      <w:sz w:val="18"/>
                      <w:szCs w:val="18"/>
                    </w:rPr>
                    <w:t>/</w:t>
                  </w:r>
                </w:p>
              </w:tc>
              <w:tc>
                <w:tcPr>
                  <w:tcW w:w="288" w:type="pct"/>
                  <w:shd w:val="clear" w:color="auto" w:fill="FFFFFF"/>
                  <w:vAlign w:val="center"/>
                </w:tcPr>
                <w:p w14:paraId="7B85BD1D">
                  <w:pPr>
                    <w:spacing w:line="32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85</w:t>
                  </w:r>
                </w:p>
              </w:tc>
              <w:tc>
                <w:tcPr>
                  <w:tcW w:w="261" w:type="pct"/>
                  <w:vMerge w:val="continue"/>
                  <w:shd w:val="clear" w:color="auto" w:fill="FFFFFF"/>
                  <w:vAlign w:val="center"/>
                </w:tcPr>
                <w:p w14:paraId="71B5566D">
                  <w:pPr>
                    <w:pStyle w:val="27"/>
                    <w:jc w:val="center"/>
                    <w:rPr>
                      <w:rFonts w:ascii="Times New Roman" w:hAnsi="Times New Roman" w:eastAsia="宋体"/>
                      <w:sz w:val="18"/>
                      <w:szCs w:val="18"/>
                    </w:rPr>
                  </w:pPr>
                </w:p>
              </w:tc>
              <w:tc>
                <w:tcPr>
                  <w:tcW w:w="266" w:type="pct"/>
                  <w:shd w:val="clear" w:color="auto" w:fill="FFFFFF"/>
                  <w:vAlign w:val="center"/>
                </w:tcPr>
                <w:p w14:paraId="56F63F07">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15</w:t>
                  </w:r>
                </w:p>
              </w:tc>
              <w:tc>
                <w:tcPr>
                  <w:tcW w:w="271" w:type="pct"/>
                  <w:shd w:val="clear" w:color="auto" w:fill="FFFFFF"/>
                  <w:vAlign w:val="center"/>
                </w:tcPr>
                <w:p w14:paraId="3B9BDBB2">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22</w:t>
                  </w:r>
                </w:p>
              </w:tc>
              <w:tc>
                <w:tcPr>
                  <w:tcW w:w="231" w:type="pct"/>
                  <w:shd w:val="clear" w:color="auto" w:fill="FFFFFF"/>
                  <w:vAlign w:val="center"/>
                </w:tcPr>
                <w:p w14:paraId="3B564C95">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1DE991C0">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W15</w:t>
                  </w:r>
                </w:p>
              </w:tc>
              <w:tc>
                <w:tcPr>
                  <w:tcW w:w="326" w:type="pct"/>
                  <w:shd w:val="clear" w:color="auto" w:fill="FFFFFF"/>
                  <w:vAlign w:val="bottom"/>
                </w:tcPr>
                <w:p w14:paraId="6BC865DB">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67.5 </w:t>
                  </w:r>
                </w:p>
              </w:tc>
              <w:tc>
                <w:tcPr>
                  <w:tcW w:w="278" w:type="pct"/>
                  <w:shd w:val="clear" w:color="auto" w:fill="FFFFFF"/>
                  <w:vAlign w:val="center"/>
                </w:tcPr>
                <w:p w14:paraId="33B4144C">
                  <w:pPr>
                    <w:jc w:val="center"/>
                    <w:rPr>
                      <w:kern w:val="0"/>
                      <w:sz w:val="18"/>
                      <w:szCs w:val="18"/>
                    </w:rPr>
                  </w:pPr>
                  <w:r>
                    <w:rPr>
                      <w:kern w:val="0"/>
                      <w:sz w:val="18"/>
                      <w:szCs w:val="18"/>
                    </w:rPr>
                    <w:t>昼/夜</w:t>
                  </w:r>
                </w:p>
              </w:tc>
              <w:tc>
                <w:tcPr>
                  <w:tcW w:w="360" w:type="pct"/>
                  <w:shd w:val="clear" w:color="auto" w:fill="FFFFFF"/>
                  <w:vAlign w:val="center"/>
                </w:tcPr>
                <w:p w14:paraId="7F5D3E21">
                  <w:pPr>
                    <w:jc w:val="center"/>
                    <w:rPr>
                      <w:rFonts w:hint="eastAsia"/>
                      <w:kern w:val="0"/>
                      <w:sz w:val="18"/>
                      <w:szCs w:val="18"/>
                      <w:lang w:val="en-US" w:eastAsia="zh-CN"/>
                    </w:rPr>
                  </w:pPr>
                  <w:r>
                    <w:rPr>
                      <w:rFonts w:hint="eastAsia"/>
                      <w:kern w:val="0"/>
                      <w:sz w:val="18"/>
                      <w:szCs w:val="18"/>
                      <w:lang w:val="en-US" w:eastAsia="zh-CN"/>
                    </w:rPr>
                    <w:t>20</w:t>
                  </w:r>
                </w:p>
              </w:tc>
              <w:tc>
                <w:tcPr>
                  <w:tcW w:w="321" w:type="pct"/>
                  <w:shd w:val="clear" w:color="auto" w:fill="FFFFFF"/>
                  <w:vAlign w:val="bottom"/>
                </w:tcPr>
                <w:p w14:paraId="26D1E6D2">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 xml:space="preserve">7.5 </w:t>
                  </w:r>
                </w:p>
              </w:tc>
              <w:tc>
                <w:tcPr>
                  <w:tcW w:w="369" w:type="pct"/>
                  <w:shd w:val="clear" w:color="auto" w:fill="FFFFFF"/>
                  <w:vAlign w:val="center"/>
                </w:tcPr>
                <w:p w14:paraId="2C1063E5">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1371DE47">
                  <w:pPr>
                    <w:jc w:val="center"/>
                    <w:rPr>
                      <w:sz w:val="18"/>
                      <w:szCs w:val="18"/>
                    </w:rPr>
                  </w:pPr>
                </w:p>
              </w:tc>
            </w:tr>
            <w:tr w14:paraId="777455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2" w:type="pct"/>
                  <w:shd w:val="clear" w:color="auto" w:fill="FFFFFF"/>
                  <w:vAlign w:val="center"/>
                </w:tcPr>
                <w:p w14:paraId="48E8C6A0">
                  <w:pPr>
                    <w:pStyle w:val="27"/>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22</w:t>
                  </w:r>
                </w:p>
              </w:tc>
              <w:tc>
                <w:tcPr>
                  <w:tcW w:w="219" w:type="pct"/>
                  <w:vMerge w:val="continue"/>
                  <w:shd w:val="clear" w:color="auto" w:fill="FFFFFF"/>
                  <w:vAlign w:val="center"/>
                </w:tcPr>
                <w:p w14:paraId="1C732CE4">
                  <w:pPr>
                    <w:pStyle w:val="27"/>
                    <w:jc w:val="center"/>
                    <w:rPr>
                      <w:rFonts w:ascii="Times New Roman" w:hAnsi="Times New Roman" w:eastAsia="宋体"/>
                      <w:sz w:val="18"/>
                      <w:szCs w:val="18"/>
                    </w:rPr>
                  </w:pPr>
                </w:p>
              </w:tc>
              <w:tc>
                <w:tcPr>
                  <w:tcW w:w="518" w:type="pct"/>
                  <w:shd w:val="clear" w:color="auto" w:fill="FFFFFF"/>
                  <w:vAlign w:val="center"/>
                </w:tcPr>
                <w:p w14:paraId="534ED238">
                  <w:pPr>
                    <w:jc w:val="center"/>
                    <w:rPr>
                      <w:rFonts w:hint="default" w:ascii="Times New Roman" w:hAnsi="Times New Roman" w:cs="Times New Roman"/>
                      <w:sz w:val="18"/>
                      <w:szCs w:val="18"/>
                    </w:rPr>
                  </w:pPr>
                  <w:r>
                    <w:rPr>
                      <w:rFonts w:hint="eastAsia"/>
                      <w:sz w:val="18"/>
                      <w:szCs w:val="18"/>
                      <w:lang w:eastAsia="zh-CN"/>
                    </w:rPr>
                    <w:t>涡电流分选机</w:t>
                  </w:r>
                </w:p>
              </w:tc>
              <w:tc>
                <w:tcPr>
                  <w:tcW w:w="171" w:type="pct"/>
                  <w:shd w:val="clear" w:color="auto" w:fill="FFFFFF"/>
                  <w:vAlign w:val="center"/>
                </w:tcPr>
                <w:p w14:paraId="51389267">
                  <w:pPr>
                    <w:bidi w:val="0"/>
                    <w:jc w:val="center"/>
                    <w:rPr>
                      <w:rFonts w:hint="eastAsia" w:cs="Times New Roman"/>
                      <w:color w:val="000000"/>
                      <w:spacing w:val="-10"/>
                      <w:kern w:val="0"/>
                      <w:sz w:val="18"/>
                      <w:szCs w:val="18"/>
                      <w:lang w:val="en-US" w:eastAsia="zh-CN" w:bidi="ar-SA"/>
                    </w:rPr>
                  </w:pPr>
                  <w:r>
                    <w:rPr>
                      <w:rFonts w:hint="eastAsia" w:cs="Times New Roman"/>
                      <w:color w:val="auto"/>
                      <w:sz w:val="18"/>
                      <w:szCs w:val="18"/>
                      <w:lang w:val="en-US" w:eastAsia="zh-CN"/>
                    </w:rPr>
                    <w:t>2</w:t>
                  </w:r>
                </w:p>
              </w:tc>
              <w:tc>
                <w:tcPr>
                  <w:tcW w:w="443" w:type="pct"/>
                  <w:shd w:val="clear" w:color="auto" w:fill="FFFFFF"/>
                  <w:vAlign w:val="center"/>
                </w:tcPr>
                <w:p w14:paraId="34171F14">
                  <w:pPr>
                    <w:jc w:val="center"/>
                    <w:rPr>
                      <w:sz w:val="18"/>
                      <w:szCs w:val="18"/>
                    </w:rPr>
                  </w:pPr>
                  <w:r>
                    <w:rPr>
                      <w:sz w:val="18"/>
                      <w:szCs w:val="18"/>
                    </w:rPr>
                    <w:t>/</w:t>
                  </w:r>
                </w:p>
              </w:tc>
              <w:tc>
                <w:tcPr>
                  <w:tcW w:w="288" w:type="pct"/>
                  <w:shd w:val="clear" w:color="auto" w:fill="FFFFFF"/>
                  <w:vAlign w:val="center"/>
                </w:tcPr>
                <w:p w14:paraId="092CCECA">
                  <w:pPr>
                    <w:spacing w:line="32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85</w:t>
                  </w:r>
                </w:p>
              </w:tc>
              <w:tc>
                <w:tcPr>
                  <w:tcW w:w="261" w:type="pct"/>
                  <w:vMerge w:val="continue"/>
                  <w:shd w:val="clear" w:color="auto" w:fill="FFFFFF"/>
                  <w:vAlign w:val="center"/>
                </w:tcPr>
                <w:p w14:paraId="4F49776C">
                  <w:pPr>
                    <w:pStyle w:val="27"/>
                    <w:jc w:val="center"/>
                    <w:rPr>
                      <w:rFonts w:ascii="Times New Roman" w:hAnsi="Times New Roman" w:eastAsia="宋体"/>
                      <w:sz w:val="18"/>
                      <w:szCs w:val="18"/>
                    </w:rPr>
                  </w:pPr>
                </w:p>
              </w:tc>
              <w:tc>
                <w:tcPr>
                  <w:tcW w:w="266" w:type="pct"/>
                  <w:shd w:val="clear" w:color="auto" w:fill="FFFFFF"/>
                  <w:vAlign w:val="center"/>
                </w:tcPr>
                <w:p w14:paraId="7BEE17F9">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19</w:t>
                  </w:r>
                </w:p>
              </w:tc>
              <w:tc>
                <w:tcPr>
                  <w:tcW w:w="271" w:type="pct"/>
                  <w:shd w:val="clear" w:color="auto" w:fill="FFFFFF"/>
                  <w:vAlign w:val="center"/>
                </w:tcPr>
                <w:p w14:paraId="193CB721">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26</w:t>
                  </w:r>
                </w:p>
              </w:tc>
              <w:tc>
                <w:tcPr>
                  <w:tcW w:w="231" w:type="pct"/>
                  <w:shd w:val="clear" w:color="auto" w:fill="FFFFFF"/>
                  <w:vAlign w:val="center"/>
                </w:tcPr>
                <w:p w14:paraId="7B0D3D09">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204D729B">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W19</w:t>
                  </w:r>
                </w:p>
              </w:tc>
              <w:tc>
                <w:tcPr>
                  <w:tcW w:w="326" w:type="pct"/>
                  <w:shd w:val="clear" w:color="auto" w:fill="FFFFFF"/>
                  <w:vAlign w:val="bottom"/>
                </w:tcPr>
                <w:p w14:paraId="7D4122AE">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62.4 </w:t>
                  </w:r>
                </w:p>
              </w:tc>
              <w:tc>
                <w:tcPr>
                  <w:tcW w:w="278" w:type="pct"/>
                  <w:shd w:val="clear" w:color="auto" w:fill="FFFFFF"/>
                  <w:vAlign w:val="center"/>
                </w:tcPr>
                <w:p w14:paraId="651B2761">
                  <w:pPr>
                    <w:jc w:val="center"/>
                    <w:rPr>
                      <w:kern w:val="0"/>
                      <w:sz w:val="18"/>
                      <w:szCs w:val="18"/>
                    </w:rPr>
                  </w:pPr>
                  <w:r>
                    <w:rPr>
                      <w:kern w:val="0"/>
                      <w:sz w:val="18"/>
                      <w:szCs w:val="18"/>
                    </w:rPr>
                    <w:t>昼/夜</w:t>
                  </w:r>
                </w:p>
              </w:tc>
              <w:tc>
                <w:tcPr>
                  <w:tcW w:w="360" w:type="pct"/>
                  <w:shd w:val="clear" w:color="auto" w:fill="FFFFFF"/>
                  <w:vAlign w:val="center"/>
                </w:tcPr>
                <w:p w14:paraId="4D247722">
                  <w:pPr>
                    <w:jc w:val="center"/>
                    <w:rPr>
                      <w:rFonts w:hint="eastAsia"/>
                      <w:kern w:val="0"/>
                      <w:sz w:val="18"/>
                      <w:szCs w:val="18"/>
                      <w:lang w:val="en-US" w:eastAsia="zh-CN"/>
                    </w:rPr>
                  </w:pPr>
                  <w:r>
                    <w:rPr>
                      <w:rFonts w:hint="eastAsia"/>
                      <w:kern w:val="0"/>
                      <w:sz w:val="18"/>
                      <w:szCs w:val="18"/>
                      <w:lang w:val="en-US" w:eastAsia="zh-CN"/>
                    </w:rPr>
                    <w:t>20</w:t>
                  </w:r>
                </w:p>
              </w:tc>
              <w:tc>
                <w:tcPr>
                  <w:tcW w:w="321" w:type="pct"/>
                  <w:shd w:val="clear" w:color="auto" w:fill="FFFFFF"/>
                  <w:vAlign w:val="bottom"/>
                </w:tcPr>
                <w:p w14:paraId="3565CCE8">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 xml:space="preserve">2.4 </w:t>
                  </w:r>
                </w:p>
              </w:tc>
              <w:tc>
                <w:tcPr>
                  <w:tcW w:w="369" w:type="pct"/>
                  <w:shd w:val="clear" w:color="auto" w:fill="FFFFFF"/>
                  <w:vAlign w:val="center"/>
                </w:tcPr>
                <w:p w14:paraId="6AF9C557">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59347E49">
                  <w:pPr>
                    <w:jc w:val="center"/>
                    <w:rPr>
                      <w:sz w:val="18"/>
                      <w:szCs w:val="18"/>
                    </w:rPr>
                  </w:pPr>
                </w:p>
              </w:tc>
            </w:tr>
            <w:tr w14:paraId="46548E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2" w:type="pct"/>
                  <w:shd w:val="clear" w:color="auto" w:fill="FFFFFF"/>
                  <w:vAlign w:val="center"/>
                </w:tcPr>
                <w:p w14:paraId="28657CDF">
                  <w:pPr>
                    <w:pStyle w:val="27"/>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23</w:t>
                  </w:r>
                </w:p>
              </w:tc>
              <w:tc>
                <w:tcPr>
                  <w:tcW w:w="219" w:type="pct"/>
                  <w:vMerge w:val="continue"/>
                  <w:shd w:val="clear" w:color="auto" w:fill="FFFFFF"/>
                  <w:vAlign w:val="center"/>
                </w:tcPr>
                <w:p w14:paraId="1D55628D">
                  <w:pPr>
                    <w:pStyle w:val="27"/>
                    <w:jc w:val="center"/>
                    <w:rPr>
                      <w:rFonts w:ascii="Times New Roman" w:hAnsi="Times New Roman" w:eastAsia="宋体"/>
                      <w:sz w:val="18"/>
                      <w:szCs w:val="18"/>
                    </w:rPr>
                  </w:pPr>
                </w:p>
              </w:tc>
              <w:tc>
                <w:tcPr>
                  <w:tcW w:w="518" w:type="pct"/>
                  <w:shd w:val="clear" w:color="auto" w:fill="FFFFFF"/>
                  <w:vAlign w:val="center"/>
                </w:tcPr>
                <w:p w14:paraId="5A86DE26">
                  <w:pPr>
                    <w:jc w:val="center"/>
                    <w:rPr>
                      <w:rFonts w:hint="default" w:ascii="Times New Roman" w:hAnsi="Times New Roman" w:cs="Times New Roman"/>
                      <w:sz w:val="18"/>
                      <w:szCs w:val="18"/>
                    </w:rPr>
                  </w:pPr>
                  <w:r>
                    <w:rPr>
                      <w:rFonts w:hint="eastAsia"/>
                      <w:sz w:val="18"/>
                      <w:szCs w:val="18"/>
                      <w:lang w:eastAsia="zh-CN"/>
                    </w:rPr>
                    <w:t>摇床</w:t>
                  </w:r>
                </w:p>
              </w:tc>
              <w:tc>
                <w:tcPr>
                  <w:tcW w:w="171" w:type="pct"/>
                  <w:shd w:val="clear" w:color="auto" w:fill="FFFFFF"/>
                  <w:vAlign w:val="center"/>
                </w:tcPr>
                <w:p w14:paraId="73D7341F">
                  <w:pPr>
                    <w:bidi w:val="0"/>
                    <w:jc w:val="center"/>
                    <w:rPr>
                      <w:rFonts w:hint="eastAsia" w:cs="Times New Roman"/>
                      <w:color w:val="000000"/>
                      <w:spacing w:val="-10"/>
                      <w:kern w:val="0"/>
                      <w:sz w:val="18"/>
                      <w:szCs w:val="18"/>
                      <w:lang w:val="en-US" w:eastAsia="zh-CN" w:bidi="ar-SA"/>
                    </w:rPr>
                  </w:pPr>
                  <w:r>
                    <w:rPr>
                      <w:rFonts w:hint="eastAsia" w:cs="Times New Roman"/>
                      <w:color w:val="auto"/>
                      <w:sz w:val="18"/>
                      <w:szCs w:val="18"/>
                      <w:lang w:val="en-US" w:eastAsia="zh-CN"/>
                    </w:rPr>
                    <w:t>9</w:t>
                  </w:r>
                </w:p>
              </w:tc>
              <w:tc>
                <w:tcPr>
                  <w:tcW w:w="443" w:type="pct"/>
                  <w:shd w:val="clear" w:color="auto" w:fill="FFFFFF"/>
                  <w:vAlign w:val="center"/>
                </w:tcPr>
                <w:p w14:paraId="7B25E89B">
                  <w:pPr>
                    <w:jc w:val="center"/>
                    <w:rPr>
                      <w:sz w:val="18"/>
                      <w:szCs w:val="18"/>
                    </w:rPr>
                  </w:pPr>
                  <w:r>
                    <w:rPr>
                      <w:sz w:val="18"/>
                      <w:szCs w:val="18"/>
                    </w:rPr>
                    <w:t>/</w:t>
                  </w:r>
                </w:p>
              </w:tc>
              <w:tc>
                <w:tcPr>
                  <w:tcW w:w="288" w:type="pct"/>
                  <w:shd w:val="clear" w:color="auto" w:fill="FFFFFF"/>
                  <w:vAlign w:val="center"/>
                </w:tcPr>
                <w:p w14:paraId="3107DB59">
                  <w:pPr>
                    <w:spacing w:line="32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85</w:t>
                  </w:r>
                </w:p>
              </w:tc>
              <w:tc>
                <w:tcPr>
                  <w:tcW w:w="261" w:type="pct"/>
                  <w:vMerge w:val="continue"/>
                  <w:shd w:val="clear" w:color="auto" w:fill="FFFFFF"/>
                  <w:vAlign w:val="center"/>
                </w:tcPr>
                <w:p w14:paraId="1738343E">
                  <w:pPr>
                    <w:pStyle w:val="27"/>
                    <w:jc w:val="center"/>
                    <w:rPr>
                      <w:rFonts w:ascii="Times New Roman" w:hAnsi="Times New Roman" w:eastAsia="宋体"/>
                      <w:sz w:val="18"/>
                      <w:szCs w:val="18"/>
                    </w:rPr>
                  </w:pPr>
                </w:p>
              </w:tc>
              <w:tc>
                <w:tcPr>
                  <w:tcW w:w="266" w:type="pct"/>
                  <w:shd w:val="clear" w:color="auto" w:fill="FFFFFF"/>
                  <w:vAlign w:val="center"/>
                </w:tcPr>
                <w:p w14:paraId="6614A3FE">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18</w:t>
                  </w:r>
                </w:p>
              </w:tc>
              <w:tc>
                <w:tcPr>
                  <w:tcW w:w="271" w:type="pct"/>
                  <w:shd w:val="clear" w:color="auto" w:fill="FFFFFF"/>
                  <w:vAlign w:val="center"/>
                </w:tcPr>
                <w:p w14:paraId="17202162">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28</w:t>
                  </w:r>
                </w:p>
              </w:tc>
              <w:tc>
                <w:tcPr>
                  <w:tcW w:w="231" w:type="pct"/>
                  <w:shd w:val="clear" w:color="auto" w:fill="FFFFFF"/>
                  <w:vAlign w:val="center"/>
                </w:tcPr>
                <w:p w14:paraId="24312DBC">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495AADFB">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W18</w:t>
                  </w:r>
                </w:p>
              </w:tc>
              <w:tc>
                <w:tcPr>
                  <w:tcW w:w="326" w:type="pct"/>
                  <w:shd w:val="clear" w:color="auto" w:fill="FFFFFF"/>
                  <w:vAlign w:val="bottom"/>
                </w:tcPr>
                <w:p w14:paraId="6F07B54D">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69.4 </w:t>
                  </w:r>
                </w:p>
              </w:tc>
              <w:tc>
                <w:tcPr>
                  <w:tcW w:w="278" w:type="pct"/>
                  <w:shd w:val="clear" w:color="auto" w:fill="FFFFFF"/>
                  <w:vAlign w:val="center"/>
                </w:tcPr>
                <w:p w14:paraId="528F4F73">
                  <w:pPr>
                    <w:jc w:val="center"/>
                    <w:rPr>
                      <w:kern w:val="0"/>
                      <w:sz w:val="18"/>
                      <w:szCs w:val="18"/>
                    </w:rPr>
                  </w:pPr>
                  <w:r>
                    <w:rPr>
                      <w:kern w:val="0"/>
                      <w:sz w:val="18"/>
                      <w:szCs w:val="18"/>
                    </w:rPr>
                    <w:t>昼/夜</w:t>
                  </w:r>
                </w:p>
              </w:tc>
              <w:tc>
                <w:tcPr>
                  <w:tcW w:w="360" w:type="pct"/>
                  <w:shd w:val="clear" w:color="auto" w:fill="FFFFFF"/>
                  <w:vAlign w:val="center"/>
                </w:tcPr>
                <w:p w14:paraId="2EBBE49F">
                  <w:pPr>
                    <w:jc w:val="center"/>
                    <w:rPr>
                      <w:rFonts w:hint="eastAsia"/>
                      <w:kern w:val="0"/>
                      <w:sz w:val="18"/>
                      <w:szCs w:val="18"/>
                      <w:lang w:val="en-US" w:eastAsia="zh-CN"/>
                    </w:rPr>
                  </w:pPr>
                  <w:r>
                    <w:rPr>
                      <w:rFonts w:hint="eastAsia"/>
                      <w:kern w:val="0"/>
                      <w:sz w:val="18"/>
                      <w:szCs w:val="18"/>
                      <w:lang w:val="en-US" w:eastAsia="zh-CN"/>
                    </w:rPr>
                    <w:t>20</w:t>
                  </w:r>
                </w:p>
              </w:tc>
              <w:tc>
                <w:tcPr>
                  <w:tcW w:w="321" w:type="pct"/>
                  <w:shd w:val="clear" w:color="auto" w:fill="FFFFFF"/>
                  <w:vAlign w:val="bottom"/>
                </w:tcPr>
                <w:p w14:paraId="2AE92F10">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 xml:space="preserve">9.4 </w:t>
                  </w:r>
                </w:p>
              </w:tc>
              <w:tc>
                <w:tcPr>
                  <w:tcW w:w="369" w:type="pct"/>
                  <w:shd w:val="clear" w:color="auto" w:fill="FFFFFF"/>
                  <w:vAlign w:val="center"/>
                </w:tcPr>
                <w:p w14:paraId="58D3C66B">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7FF0461B">
                  <w:pPr>
                    <w:jc w:val="center"/>
                    <w:rPr>
                      <w:sz w:val="18"/>
                      <w:szCs w:val="18"/>
                    </w:rPr>
                  </w:pPr>
                </w:p>
              </w:tc>
            </w:tr>
            <w:tr w14:paraId="5781EB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2" w:type="pct"/>
                  <w:shd w:val="clear" w:color="auto" w:fill="FFFFFF"/>
                  <w:vAlign w:val="center"/>
                </w:tcPr>
                <w:p w14:paraId="1CA65626">
                  <w:pPr>
                    <w:pStyle w:val="27"/>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24</w:t>
                  </w:r>
                </w:p>
              </w:tc>
              <w:tc>
                <w:tcPr>
                  <w:tcW w:w="219" w:type="pct"/>
                  <w:vMerge w:val="continue"/>
                  <w:shd w:val="clear" w:color="auto" w:fill="FFFFFF"/>
                  <w:vAlign w:val="center"/>
                </w:tcPr>
                <w:p w14:paraId="0DDF40EC">
                  <w:pPr>
                    <w:pStyle w:val="27"/>
                    <w:jc w:val="center"/>
                    <w:rPr>
                      <w:rFonts w:ascii="Times New Roman" w:hAnsi="Times New Roman" w:eastAsia="宋体"/>
                      <w:sz w:val="18"/>
                      <w:szCs w:val="18"/>
                    </w:rPr>
                  </w:pPr>
                </w:p>
              </w:tc>
              <w:tc>
                <w:tcPr>
                  <w:tcW w:w="518" w:type="pct"/>
                  <w:shd w:val="clear" w:color="auto" w:fill="FFFFFF"/>
                  <w:vAlign w:val="center"/>
                </w:tcPr>
                <w:p w14:paraId="5CCB253E">
                  <w:pPr>
                    <w:jc w:val="center"/>
                    <w:rPr>
                      <w:rFonts w:hint="default" w:ascii="Times New Roman" w:hAnsi="Times New Roman" w:cs="Times New Roman"/>
                      <w:sz w:val="18"/>
                      <w:szCs w:val="18"/>
                    </w:rPr>
                  </w:pPr>
                  <w:r>
                    <w:rPr>
                      <w:rFonts w:hint="eastAsia"/>
                      <w:sz w:val="18"/>
                      <w:szCs w:val="18"/>
                      <w:lang w:eastAsia="zh-CN"/>
                    </w:rPr>
                    <w:t>螺旋输送机</w:t>
                  </w:r>
                </w:p>
              </w:tc>
              <w:tc>
                <w:tcPr>
                  <w:tcW w:w="171" w:type="pct"/>
                  <w:shd w:val="clear" w:color="auto" w:fill="FFFFFF"/>
                  <w:vAlign w:val="center"/>
                </w:tcPr>
                <w:p w14:paraId="21C117A6">
                  <w:pPr>
                    <w:bidi w:val="0"/>
                    <w:jc w:val="center"/>
                    <w:rPr>
                      <w:rFonts w:hint="eastAsia" w:cs="Times New Roman"/>
                      <w:color w:val="000000"/>
                      <w:spacing w:val="-10"/>
                      <w:kern w:val="0"/>
                      <w:sz w:val="18"/>
                      <w:szCs w:val="18"/>
                      <w:lang w:val="en-US" w:eastAsia="zh-CN" w:bidi="ar-SA"/>
                    </w:rPr>
                  </w:pPr>
                  <w:r>
                    <w:rPr>
                      <w:rFonts w:hint="eastAsia" w:cs="Times New Roman"/>
                      <w:color w:val="auto"/>
                      <w:sz w:val="18"/>
                      <w:szCs w:val="18"/>
                      <w:lang w:val="en-US" w:eastAsia="zh-CN"/>
                    </w:rPr>
                    <w:t>6</w:t>
                  </w:r>
                </w:p>
              </w:tc>
              <w:tc>
                <w:tcPr>
                  <w:tcW w:w="443" w:type="pct"/>
                  <w:shd w:val="clear" w:color="auto" w:fill="FFFFFF"/>
                  <w:vAlign w:val="center"/>
                </w:tcPr>
                <w:p w14:paraId="129C90E2">
                  <w:pPr>
                    <w:jc w:val="center"/>
                    <w:rPr>
                      <w:sz w:val="18"/>
                      <w:szCs w:val="18"/>
                    </w:rPr>
                  </w:pPr>
                  <w:r>
                    <w:rPr>
                      <w:sz w:val="18"/>
                      <w:szCs w:val="18"/>
                    </w:rPr>
                    <w:t>/</w:t>
                  </w:r>
                </w:p>
              </w:tc>
              <w:tc>
                <w:tcPr>
                  <w:tcW w:w="288" w:type="pct"/>
                  <w:shd w:val="clear" w:color="auto" w:fill="FFFFFF"/>
                  <w:vAlign w:val="center"/>
                </w:tcPr>
                <w:p w14:paraId="1D7AA48D">
                  <w:pPr>
                    <w:spacing w:line="32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85</w:t>
                  </w:r>
                </w:p>
              </w:tc>
              <w:tc>
                <w:tcPr>
                  <w:tcW w:w="261" w:type="pct"/>
                  <w:vMerge w:val="continue"/>
                  <w:shd w:val="clear" w:color="auto" w:fill="FFFFFF"/>
                  <w:vAlign w:val="center"/>
                </w:tcPr>
                <w:p w14:paraId="175C23C3">
                  <w:pPr>
                    <w:pStyle w:val="27"/>
                    <w:jc w:val="center"/>
                    <w:rPr>
                      <w:rFonts w:ascii="Times New Roman" w:hAnsi="Times New Roman" w:eastAsia="宋体"/>
                      <w:sz w:val="18"/>
                      <w:szCs w:val="18"/>
                    </w:rPr>
                  </w:pPr>
                </w:p>
              </w:tc>
              <w:tc>
                <w:tcPr>
                  <w:tcW w:w="266" w:type="pct"/>
                  <w:shd w:val="clear" w:color="auto" w:fill="FFFFFF"/>
                  <w:vAlign w:val="center"/>
                </w:tcPr>
                <w:p w14:paraId="61A158AA">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17</w:t>
                  </w:r>
                </w:p>
              </w:tc>
              <w:tc>
                <w:tcPr>
                  <w:tcW w:w="271" w:type="pct"/>
                  <w:shd w:val="clear" w:color="auto" w:fill="FFFFFF"/>
                  <w:vAlign w:val="center"/>
                </w:tcPr>
                <w:p w14:paraId="15689F4F">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21</w:t>
                  </w:r>
                </w:p>
              </w:tc>
              <w:tc>
                <w:tcPr>
                  <w:tcW w:w="231" w:type="pct"/>
                  <w:shd w:val="clear" w:color="auto" w:fill="FFFFFF"/>
                  <w:vAlign w:val="center"/>
                </w:tcPr>
                <w:p w14:paraId="6DA3CAAB">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34E23CE4">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W17</w:t>
                  </w:r>
                </w:p>
              </w:tc>
              <w:tc>
                <w:tcPr>
                  <w:tcW w:w="326" w:type="pct"/>
                  <w:shd w:val="clear" w:color="auto" w:fill="FFFFFF"/>
                  <w:vAlign w:val="bottom"/>
                </w:tcPr>
                <w:p w14:paraId="755015EB">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68.2 </w:t>
                  </w:r>
                </w:p>
              </w:tc>
              <w:tc>
                <w:tcPr>
                  <w:tcW w:w="278" w:type="pct"/>
                  <w:shd w:val="clear" w:color="auto" w:fill="FFFFFF"/>
                  <w:vAlign w:val="center"/>
                </w:tcPr>
                <w:p w14:paraId="2F36A3D1">
                  <w:pPr>
                    <w:jc w:val="center"/>
                    <w:rPr>
                      <w:kern w:val="0"/>
                      <w:sz w:val="18"/>
                      <w:szCs w:val="18"/>
                    </w:rPr>
                  </w:pPr>
                  <w:r>
                    <w:rPr>
                      <w:kern w:val="0"/>
                      <w:sz w:val="18"/>
                      <w:szCs w:val="18"/>
                    </w:rPr>
                    <w:t>昼/夜</w:t>
                  </w:r>
                </w:p>
              </w:tc>
              <w:tc>
                <w:tcPr>
                  <w:tcW w:w="360" w:type="pct"/>
                  <w:shd w:val="clear" w:color="auto" w:fill="FFFFFF"/>
                  <w:vAlign w:val="center"/>
                </w:tcPr>
                <w:p w14:paraId="787B4FF8">
                  <w:pPr>
                    <w:jc w:val="center"/>
                    <w:rPr>
                      <w:rFonts w:hint="eastAsia"/>
                      <w:kern w:val="0"/>
                      <w:sz w:val="18"/>
                      <w:szCs w:val="18"/>
                      <w:lang w:val="en-US" w:eastAsia="zh-CN"/>
                    </w:rPr>
                  </w:pPr>
                  <w:r>
                    <w:rPr>
                      <w:rFonts w:hint="eastAsia"/>
                      <w:kern w:val="0"/>
                      <w:sz w:val="18"/>
                      <w:szCs w:val="18"/>
                      <w:lang w:val="en-US" w:eastAsia="zh-CN"/>
                    </w:rPr>
                    <w:t>20</w:t>
                  </w:r>
                </w:p>
              </w:tc>
              <w:tc>
                <w:tcPr>
                  <w:tcW w:w="321" w:type="pct"/>
                  <w:shd w:val="clear" w:color="auto" w:fill="FFFFFF"/>
                  <w:vAlign w:val="bottom"/>
                </w:tcPr>
                <w:p w14:paraId="07E50BCE">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 xml:space="preserve">8.2 </w:t>
                  </w:r>
                </w:p>
              </w:tc>
              <w:tc>
                <w:tcPr>
                  <w:tcW w:w="369" w:type="pct"/>
                  <w:shd w:val="clear" w:color="auto" w:fill="FFFFFF"/>
                  <w:vAlign w:val="center"/>
                </w:tcPr>
                <w:p w14:paraId="0D2C88D6">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06693265">
                  <w:pPr>
                    <w:jc w:val="center"/>
                    <w:rPr>
                      <w:sz w:val="18"/>
                      <w:szCs w:val="18"/>
                    </w:rPr>
                  </w:pPr>
                </w:p>
              </w:tc>
            </w:tr>
            <w:tr w14:paraId="3A6B1D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2" w:type="pct"/>
                  <w:shd w:val="clear" w:color="auto" w:fill="FFFFFF"/>
                  <w:vAlign w:val="center"/>
                </w:tcPr>
                <w:p w14:paraId="0B34EED8">
                  <w:pPr>
                    <w:pStyle w:val="27"/>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25</w:t>
                  </w:r>
                </w:p>
              </w:tc>
              <w:tc>
                <w:tcPr>
                  <w:tcW w:w="219" w:type="pct"/>
                  <w:vMerge w:val="continue"/>
                  <w:shd w:val="clear" w:color="auto" w:fill="FFFFFF"/>
                  <w:vAlign w:val="center"/>
                </w:tcPr>
                <w:p w14:paraId="6D8A3680">
                  <w:pPr>
                    <w:pStyle w:val="27"/>
                    <w:jc w:val="center"/>
                    <w:rPr>
                      <w:rFonts w:ascii="Times New Roman" w:hAnsi="Times New Roman" w:eastAsia="宋体"/>
                      <w:sz w:val="18"/>
                      <w:szCs w:val="18"/>
                    </w:rPr>
                  </w:pPr>
                </w:p>
              </w:tc>
              <w:tc>
                <w:tcPr>
                  <w:tcW w:w="518" w:type="pct"/>
                  <w:shd w:val="clear" w:color="auto" w:fill="FFFFFF"/>
                  <w:vAlign w:val="center"/>
                </w:tcPr>
                <w:p w14:paraId="531F6519">
                  <w:pPr>
                    <w:jc w:val="center"/>
                    <w:rPr>
                      <w:rFonts w:hint="default" w:ascii="Times New Roman" w:hAnsi="Times New Roman" w:cs="Times New Roman"/>
                      <w:sz w:val="18"/>
                      <w:szCs w:val="18"/>
                    </w:rPr>
                  </w:pPr>
                  <w:r>
                    <w:rPr>
                      <w:rFonts w:hint="eastAsia"/>
                      <w:sz w:val="18"/>
                      <w:szCs w:val="18"/>
                      <w:lang w:eastAsia="zh-CN"/>
                    </w:rPr>
                    <w:t>给料机</w:t>
                  </w:r>
                </w:p>
              </w:tc>
              <w:tc>
                <w:tcPr>
                  <w:tcW w:w="171" w:type="pct"/>
                  <w:shd w:val="clear" w:color="auto" w:fill="FFFFFF"/>
                  <w:vAlign w:val="center"/>
                </w:tcPr>
                <w:p w14:paraId="5B7E1045">
                  <w:pPr>
                    <w:bidi w:val="0"/>
                    <w:jc w:val="center"/>
                    <w:rPr>
                      <w:rFonts w:hint="eastAsia" w:cs="Times New Roman"/>
                      <w:color w:val="000000"/>
                      <w:spacing w:val="-10"/>
                      <w:kern w:val="0"/>
                      <w:sz w:val="18"/>
                      <w:szCs w:val="18"/>
                      <w:lang w:val="en-US" w:eastAsia="zh-CN" w:bidi="ar-SA"/>
                    </w:rPr>
                  </w:pPr>
                  <w:r>
                    <w:rPr>
                      <w:rFonts w:hint="eastAsia" w:cs="Times New Roman"/>
                      <w:color w:val="auto"/>
                      <w:sz w:val="18"/>
                      <w:szCs w:val="18"/>
                      <w:lang w:val="en-US" w:eastAsia="zh-CN"/>
                    </w:rPr>
                    <w:t>4</w:t>
                  </w:r>
                </w:p>
              </w:tc>
              <w:tc>
                <w:tcPr>
                  <w:tcW w:w="443" w:type="pct"/>
                  <w:shd w:val="clear" w:color="auto" w:fill="FFFFFF"/>
                  <w:vAlign w:val="center"/>
                </w:tcPr>
                <w:p w14:paraId="6816297B">
                  <w:pPr>
                    <w:jc w:val="center"/>
                    <w:rPr>
                      <w:sz w:val="18"/>
                      <w:szCs w:val="18"/>
                    </w:rPr>
                  </w:pPr>
                  <w:r>
                    <w:rPr>
                      <w:sz w:val="18"/>
                      <w:szCs w:val="18"/>
                    </w:rPr>
                    <w:t>/</w:t>
                  </w:r>
                </w:p>
              </w:tc>
              <w:tc>
                <w:tcPr>
                  <w:tcW w:w="288" w:type="pct"/>
                  <w:shd w:val="clear" w:color="auto" w:fill="FFFFFF"/>
                  <w:vAlign w:val="center"/>
                </w:tcPr>
                <w:p w14:paraId="3CEFB693">
                  <w:pPr>
                    <w:spacing w:line="320" w:lineRule="exact"/>
                    <w:jc w:val="center"/>
                    <w:rPr>
                      <w:rFonts w:hint="eastAsia"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8</w:t>
                  </w:r>
                  <w:r>
                    <w:rPr>
                      <w:rFonts w:hint="eastAsia" w:cs="Times New Roman"/>
                      <w:color w:val="auto"/>
                      <w:sz w:val="18"/>
                      <w:szCs w:val="18"/>
                      <w:lang w:val="en-US" w:eastAsia="zh-CN"/>
                    </w:rPr>
                    <w:t>0</w:t>
                  </w:r>
                </w:p>
              </w:tc>
              <w:tc>
                <w:tcPr>
                  <w:tcW w:w="261" w:type="pct"/>
                  <w:vMerge w:val="continue"/>
                  <w:shd w:val="clear" w:color="auto" w:fill="FFFFFF"/>
                  <w:vAlign w:val="center"/>
                </w:tcPr>
                <w:p w14:paraId="68BD463C">
                  <w:pPr>
                    <w:pStyle w:val="27"/>
                    <w:jc w:val="center"/>
                    <w:rPr>
                      <w:rFonts w:ascii="Times New Roman" w:hAnsi="Times New Roman" w:eastAsia="宋体"/>
                      <w:sz w:val="18"/>
                      <w:szCs w:val="18"/>
                    </w:rPr>
                  </w:pPr>
                </w:p>
              </w:tc>
              <w:tc>
                <w:tcPr>
                  <w:tcW w:w="266" w:type="pct"/>
                  <w:shd w:val="clear" w:color="auto" w:fill="FFFFFF"/>
                  <w:vAlign w:val="center"/>
                </w:tcPr>
                <w:p w14:paraId="055451D5">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12</w:t>
                  </w:r>
                </w:p>
              </w:tc>
              <w:tc>
                <w:tcPr>
                  <w:tcW w:w="271" w:type="pct"/>
                  <w:shd w:val="clear" w:color="auto" w:fill="FFFFFF"/>
                  <w:vAlign w:val="center"/>
                </w:tcPr>
                <w:p w14:paraId="0CAC25C8">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23</w:t>
                  </w:r>
                </w:p>
              </w:tc>
              <w:tc>
                <w:tcPr>
                  <w:tcW w:w="231" w:type="pct"/>
                  <w:shd w:val="clear" w:color="auto" w:fill="FFFFFF"/>
                  <w:vAlign w:val="center"/>
                </w:tcPr>
                <w:p w14:paraId="2B0F9EA3">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3560768D">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W12</w:t>
                  </w:r>
                </w:p>
              </w:tc>
              <w:tc>
                <w:tcPr>
                  <w:tcW w:w="326" w:type="pct"/>
                  <w:shd w:val="clear" w:color="auto" w:fill="FFFFFF"/>
                  <w:vAlign w:val="bottom"/>
                </w:tcPr>
                <w:p w14:paraId="56767FB5">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64.4 </w:t>
                  </w:r>
                </w:p>
              </w:tc>
              <w:tc>
                <w:tcPr>
                  <w:tcW w:w="278" w:type="pct"/>
                  <w:shd w:val="clear" w:color="auto" w:fill="FFFFFF"/>
                  <w:vAlign w:val="center"/>
                </w:tcPr>
                <w:p w14:paraId="3173CB0D">
                  <w:pPr>
                    <w:jc w:val="center"/>
                    <w:rPr>
                      <w:kern w:val="0"/>
                      <w:sz w:val="18"/>
                      <w:szCs w:val="18"/>
                    </w:rPr>
                  </w:pPr>
                  <w:r>
                    <w:rPr>
                      <w:kern w:val="0"/>
                      <w:sz w:val="18"/>
                      <w:szCs w:val="18"/>
                    </w:rPr>
                    <w:t>昼/夜</w:t>
                  </w:r>
                </w:p>
              </w:tc>
              <w:tc>
                <w:tcPr>
                  <w:tcW w:w="360" w:type="pct"/>
                  <w:shd w:val="clear" w:color="auto" w:fill="FFFFFF"/>
                  <w:vAlign w:val="center"/>
                </w:tcPr>
                <w:p w14:paraId="3F06D2DB">
                  <w:pPr>
                    <w:jc w:val="center"/>
                    <w:rPr>
                      <w:rFonts w:hint="eastAsia"/>
                      <w:kern w:val="0"/>
                      <w:sz w:val="18"/>
                      <w:szCs w:val="18"/>
                      <w:lang w:val="en-US" w:eastAsia="zh-CN"/>
                    </w:rPr>
                  </w:pPr>
                  <w:r>
                    <w:rPr>
                      <w:rFonts w:hint="eastAsia"/>
                      <w:kern w:val="0"/>
                      <w:sz w:val="18"/>
                      <w:szCs w:val="18"/>
                      <w:lang w:val="en-US" w:eastAsia="zh-CN"/>
                    </w:rPr>
                    <w:t>20</w:t>
                  </w:r>
                </w:p>
              </w:tc>
              <w:tc>
                <w:tcPr>
                  <w:tcW w:w="321" w:type="pct"/>
                  <w:shd w:val="clear" w:color="auto" w:fill="FFFFFF"/>
                  <w:vAlign w:val="bottom"/>
                </w:tcPr>
                <w:p w14:paraId="2E608E21">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 xml:space="preserve">4.4 </w:t>
                  </w:r>
                </w:p>
              </w:tc>
              <w:tc>
                <w:tcPr>
                  <w:tcW w:w="369" w:type="pct"/>
                  <w:shd w:val="clear" w:color="auto" w:fill="FFFFFF"/>
                  <w:vAlign w:val="center"/>
                </w:tcPr>
                <w:p w14:paraId="05997394">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76DD06A3">
                  <w:pPr>
                    <w:jc w:val="center"/>
                    <w:rPr>
                      <w:sz w:val="18"/>
                      <w:szCs w:val="18"/>
                    </w:rPr>
                  </w:pPr>
                </w:p>
              </w:tc>
            </w:tr>
            <w:tr w14:paraId="336CA3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2" w:type="pct"/>
                  <w:shd w:val="clear" w:color="auto" w:fill="FFFFFF"/>
                  <w:vAlign w:val="center"/>
                </w:tcPr>
                <w:p w14:paraId="5042A2AD">
                  <w:pPr>
                    <w:pStyle w:val="27"/>
                    <w:jc w:val="center"/>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26</w:t>
                  </w:r>
                </w:p>
              </w:tc>
              <w:tc>
                <w:tcPr>
                  <w:tcW w:w="219" w:type="pct"/>
                  <w:vMerge w:val="continue"/>
                  <w:shd w:val="clear" w:color="auto" w:fill="FFFFFF"/>
                  <w:vAlign w:val="center"/>
                </w:tcPr>
                <w:p w14:paraId="23F7A47F">
                  <w:pPr>
                    <w:pStyle w:val="27"/>
                    <w:jc w:val="center"/>
                    <w:rPr>
                      <w:rFonts w:ascii="Times New Roman" w:hAnsi="Times New Roman" w:eastAsia="宋体"/>
                      <w:sz w:val="18"/>
                      <w:szCs w:val="18"/>
                    </w:rPr>
                  </w:pPr>
                </w:p>
              </w:tc>
              <w:tc>
                <w:tcPr>
                  <w:tcW w:w="518" w:type="pct"/>
                  <w:shd w:val="clear" w:color="auto" w:fill="FFFFFF"/>
                  <w:vAlign w:val="center"/>
                </w:tcPr>
                <w:p w14:paraId="76C8D2D5">
                  <w:pPr>
                    <w:jc w:val="center"/>
                    <w:rPr>
                      <w:rFonts w:hint="default" w:ascii="Times New Roman" w:hAnsi="Times New Roman" w:cs="Times New Roman"/>
                      <w:sz w:val="18"/>
                      <w:szCs w:val="18"/>
                    </w:rPr>
                  </w:pPr>
                  <w:r>
                    <w:rPr>
                      <w:rFonts w:hint="eastAsia"/>
                      <w:sz w:val="18"/>
                      <w:szCs w:val="18"/>
                      <w:lang w:eastAsia="zh-CN"/>
                    </w:rPr>
                    <w:t>压滤机</w:t>
                  </w:r>
                </w:p>
              </w:tc>
              <w:tc>
                <w:tcPr>
                  <w:tcW w:w="171" w:type="pct"/>
                  <w:shd w:val="clear" w:color="auto" w:fill="FFFFFF"/>
                  <w:vAlign w:val="center"/>
                </w:tcPr>
                <w:p w14:paraId="13A313B5">
                  <w:pPr>
                    <w:bidi w:val="0"/>
                    <w:jc w:val="center"/>
                    <w:rPr>
                      <w:rFonts w:hint="eastAsia" w:cs="Times New Roman"/>
                      <w:color w:val="000000"/>
                      <w:spacing w:val="-10"/>
                      <w:kern w:val="0"/>
                      <w:sz w:val="18"/>
                      <w:szCs w:val="18"/>
                      <w:lang w:val="en-US" w:eastAsia="zh-CN" w:bidi="ar-SA"/>
                    </w:rPr>
                  </w:pPr>
                  <w:r>
                    <w:rPr>
                      <w:rFonts w:hint="eastAsia" w:cs="Times New Roman"/>
                      <w:color w:val="auto"/>
                      <w:sz w:val="18"/>
                      <w:szCs w:val="18"/>
                      <w:lang w:val="en-US" w:eastAsia="zh-CN"/>
                    </w:rPr>
                    <w:t>3</w:t>
                  </w:r>
                </w:p>
              </w:tc>
              <w:tc>
                <w:tcPr>
                  <w:tcW w:w="443" w:type="pct"/>
                  <w:shd w:val="clear" w:color="auto" w:fill="FFFFFF"/>
                  <w:vAlign w:val="center"/>
                </w:tcPr>
                <w:p w14:paraId="303D07DC">
                  <w:pPr>
                    <w:jc w:val="center"/>
                    <w:rPr>
                      <w:sz w:val="18"/>
                      <w:szCs w:val="18"/>
                    </w:rPr>
                  </w:pPr>
                  <w:r>
                    <w:rPr>
                      <w:sz w:val="18"/>
                      <w:szCs w:val="18"/>
                    </w:rPr>
                    <w:t>/</w:t>
                  </w:r>
                </w:p>
              </w:tc>
              <w:tc>
                <w:tcPr>
                  <w:tcW w:w="288" w:type="pct"/>
                  <w:shd w:val="clear" w:color="auto" w:fill="FFFFFF"/>
                  <w:vAlign w:val="center"/>
                </w:tcPr>
                <w:p w14:paraId="3EF4C863">
                  <w:pPr>
                    <w:spacing w:line="320" w:lineRule="exact"/>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85</w:t>
                  </w:r>
                </w:p>
              </w:tc>
              <w:tc>
                <w:tcPr>
                  <w:tcW w:w="261" w:type="pct"/>
                  <w:vMerge w:val="continue"/>
                  <w:shd w:val="clear" w:color="auto" w:fill="FFFFFF"/>
                  <w:vAlign w:val="center"/>
                </w:tcPr>
                <w:p w14:paraId="0B6F1316">
                  <w:pPr>
                    <w:pStyle w:val="27"/>
                    <w:jc w:val="center"/>
                    <w:rPr>
                      <w:rFonts w:ascii="Times New Roman" w:hAnsi="Times New Roman" w:eastAsia="宋体"/>
                      <w:sz w:val="18"/>
                      <w:szCs w:val="18"/>
                    </w:rPr>
                  </w:pPr>
                </w:p>
              </w:tc>
              <w:tc>
                <w:tcPr>
                  <w:tcW w:w="266" w:type="pct"/>
                  <w:shd w:val="clear" w:color="auto" w:fill="FFFFFF"/>
                  <w:vAlign w:val="center"/>
                </w:tcPr>
                <w:p w14:paraId="32F51637">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11</w:t>
                  </w:r>
                </w:p>
              </w:tc>
              <w:tc>
                <w:tcPr>
                  <w:tcW w:w="271" w:type="pct"/>
                  <w:shd w:val="clear" w:color="auto" w:fill="FFFFFF"/>
                  <w:vAlign w:val="center"/>
                </w:tcPr>
                <w:p w14:paraId="6AD86E73">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18</w:t>
                  </w:r>
                </w:p>
              </w:tc>
              <w:tc>
                <w:tcPr>
                  <w:tcW w:w="231" w:type="pct"/>
                  <w:shd w:val="clear" w:color="auto" w:fill="FFFFFF"/>
                  <w:vAlign w:val="center"/>
                </w:tcPr>
                <w:p w14:paraId="1133E4E8">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251" w:type="pct"/>
                  <w:shd w:val="clear" w:color="auto" w:fill="FFFFFF"/>
                  <w:vAlign w:val="center"/>
                </w:tcPr>
                <w:p w14:paraId="0CE8FA82">
                  <w:pPr>
                    <w:pStyle w:val="27"/>
                    <w:ind w:firstLine="0" w:firstLineChars="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W11</w:t>
                  </w:r>
                </w:p>
              </w:tc>
              <w:tc>
                <w:tcPr>
                  <w:tcW w:w="326" w:type="pct"/>
                  <w:shd w:val="clear" w:color="auto" w:fill="FFFFFF"/>
                  <w:vAlign w:val="bottom"/>
                </w:tcPr>
                <w:p w14:paraId="1D48F8BB">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68.9 </w:t>
                  </w:r>
                </w:p>
              </w:tc>
              <w:tc>
                <w:tcPr>
                  <w:tcW w:w="278" w:type="pct"/>
                  <w:shd w:val="clear" w:color="auto" w:fill="FFFFFF"/>
                  <w:vAlign w:val="center"/>
                </w:tcPr>
                <w:p w14:paraId="37470C91">
                  <w:pPr>
                    <w:jc w:val="center"/>
                    <w:rPr>
                      <w:kern w:val="0"/>
                      <w:sz w:val="18"/>
                      <w:szCs w:val="18"/>
                    </w:rPr>
                  </w:pPr>
                  <w:r>
                    <w:rPr>
                      <w:kern w:val="0"/>
                      <w:sz w:val="18"/>
                      <w:szCs w:val="18"/>
                    </w:rPr>
                    <w:t>昼/夜</w:t>
                  </w:r>
                </w:p>
              </w:tc>
              <w:tc>
                <w:tcPr>
                  <w:tcW w:w="360" w:type="pct"/>
                  <w:shd w:val="clear" w:color="auto" w:fill="FFFFFF"/>
                  <w:vAlign w:val="center"/>
                </w:tcPr>
                <w:p w14:paraId="6DD15381">
                  <w:pPr>
                    <w:jc w:val="center"/>
                    <w:rPr>
                      <w:rFonts w:hint="eastAsia"/>
                      <w:kern w:val="0"/>
                      <w:sz w:val="18"/>
                      <w:szCs w:val="18"/>
                      <w:lang w:val="en-US" w:eastAsia="zh-CN"/>
                    </w:rPr>
                  </w:pPr>
                  <w:r>
                    <w:rPr>
                      <w:rFonts w:hint="eastAsia"/>
                      <w:kern w:val="0"/>
                      <w:sz w:val="18"/>
                      <w:szCs w:val="18"/>
                      <w:lang w:val="en-US" w:eastAsia="zh-CN"/>
                    </w:rPr>
                    <w:t>20</w:t>
                  </w:r>
                </w:p>
              </w:tc>
              <w:tc>
                <w:tcPr>
                  <w:tcW w:w="321" w:type="pct"/>
                  <w:shd w:val="clear" w:color="auto" w:fill="FFFFFF"/>
                  <w:vAlign w:val="bottom"/>
                </w:tcPr>
                <w:p w14:paraId="259B96DC">
                  <w:pPr>
                    <w:keepNext w:val="0"/>
                    <w:keepLines w:val="0"/>
                    <w:widowControl/>
                    <w:suppressLineNumbers w:val="0"/>
                    <w:jc w:val="center"/>
                    <w:textAlignment w:val="bottom"/>
                    <w:rPr>
                      <w:rFonts w:hint="eastAsia" w:ascii="Times New Roman" w:hAnsi="Times New Roman" w:eastAsia="黑体" w:cs="Times New Roman"/>
                      <w:color w:val="auto"/>
                      <w:spacing w:val="-10"/>
                      <w:kern w:val="0"/>
                      <w:sz w:val="18"/>
                      <w:szCs w:val="18"/>
                      <w:lang w:val="en-US" w:eastAsia="zh-CN" w:bidi="ar-SA"/>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 xml:space="preserve">8.9 </w:t>
                  </w:r>
                </w:p>
              </w:tc>
              <w:tc>
                <w:tcPr>
                  <w:tcW w:w="369" w:type="pct"/>
                  <w:shd w:val="clear" w:color="auto" w:fill="FFFFFF"/>
                  <w:vAlign w:val="center"/>
                </w:tcPr>
                <w:p w14:paraId="2B912AAB">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67" w:type="pct"/>
                  <w:vMerge w:val="continue"/>
                  <w:shd w:val="clear" w:color="auto" w:fill="FFFFFF"/>
                  <w:vAlign w:val="center"/>
                </w:tcPr>
                <w:p w14:paraId="4F693CDB">
                  <w:pPr>
                    <w:jc w:val="center"/>
                    <w:rPr>
                      <w:sz w:val="18"/>
                      <w:szCs w:val="18"/>
                    </w:rPr>
                  </w:pPr>
                </w:p>
              </w:tc>
            </w:tr>
            <w:bookmarkEnd w:id="12"/>
            <w:bookmarkEnd w:id="13"/>
          </w:tbl>
          <w:p w14:paraId="7B667F42">
            <w:pPr>
              <w:jc w:val="left"/>
              <w:outlineLvl w:val="0"/>
              <w:rPr>
                <w:b/>
                <w:bCs/>
                <w:sz w:val="15"/>
                <w:szCs w:val="18"/>
              </w:rPr>
            </w:pPr>
            <w:r>
              <w:rPr>
                <w:b/>
                <w:bCs/>
                <w:sz w:val="15"/>
                <w:szCs w:val="18"/>
              </w:rPr>
              <w:t>注：以厂界最西南侧角为（0.0）点，正东向为X轴正方向，正北向为Y轴正方向；门窗吸声系数数据来源于《环境工程手册 环境噪声控制卷》（郑长聚主编，高等教育出版社，2000年）。</w:t>
            </w:r>
          </w:p>
          <w:p w14:paraId="623EA0F2"/>
        </w:tc>
      </w:tr>
    </w:tbl>
    <w:p w14:paraId="6DB35BFB">
      <w:pPr>
        <w:spacing w:before="157" w:beforeLines="50" w:after="157" w:afterLines="50"/>
        <w:jc w:val="center"/>
        <w:outlineLvl w:val="0"/>
        <w:rPr>
          <w:rFonts w:ascii="黑体" w:hAnsi="黑体" w:eastAsia="黑体"/>
          <w:sz w:val="30"/>
          <w:szCs w:val="30"/>
        </w:rPr>
        <w:sectPr>
          <w:pgSz w:w="16838" w:h="11906" w:orient="landscape"/>
          <w:pgMar w:top="1531" w:right="1701" w:bottom="1531" w:left="1701" w:header="851" w:footer="794" w:gutter="0"/>
          <w:pgBorders>
            <w:top w:val="none" w:sz="0" w:space="0"/>
            <w:left w:val="none" w:sz="0" w:space="0"/>
            <w:bottom w:val="none" w:sz="0" w:space="0"/>
            <w:right w:val="none" w:sz="0" w:space="0"/>
          </w:pgBorders>
          <w:pgNumType w:fmt="numberInDash"/>
          <w:cols w:space="720" w:num="1"/>
          <w:docGrid w:type="lines" w:linePitch="315" w:charSpace="0"/>
        </w:sect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8286"/>
      </w:tblGrid>
      <w:tr w14:paraId="1881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0" w:hRule="atLeast"/>
        </w:trPr>
        <w:tc>
          <w:tcPr>
            <w:tcW w:w="774" w:type="dxa"/>
          </w:tcPr>
          <w:p w14:paraId="1A363E95">
            <w:pPr>
              <w:pStyle w:val="5"/>
              <w:spacing w:before="0" w:after="0" w:line="240" w:lineRule="auto"/>
            </w:pPr>
          </w:p>
        </w:tc>
        <w:tc>
          <w:tcPr>
            <w:tcW w:w="8286" w:type="dxa"/>
          </w:tcPr>
          <w:p w14:paraId="2844428D">
            <w:pPr>
              <w:numPr>
                <w:ilvl w:val="0"/>
                <w:numId w:val="6"/>
              </w:numPr>
              <w:tabs>
                <w:tab w:val="left" w:pos="2672"/>
              </w:tabs>
              <w:spacing w:line="360" w:lineRule="auto"/>
              <w:ind w:firstLine="420" w:firstLineChars="200"/>
              <w:jc w:val="left"/>
              <w:rPr>
                <w:kern w:val="0"/>
                <w:szCs w:val="21"/>
              </w:rPr>
            </w:pPr>
            <w:r>
              <w:rPr>
                <w:kern w:val="0"/>
                <w:szCs w:val="21"/>
              </w:rPr>
              <w:t>噪声预测</w:t>
            </w:r>
          </w:p>
          <w:p w14:paraId="6C3FC560">
            <w:pPr>
              <w:tabs>
                <w:tab w:val="left" w:pos="2672"/>
              </w:tabs>
              <w:spacing w:line="360" w:lineRule="auto"/>
              <w:ind w:firstLine="420" w:firstLineChars="200"/>
              <w:jc w:val="left"/>
              <w:rPr>
                <w:bCs/>
                <w:szCs w:val="21"/>
              </w:rPr>
            </w:pPr>
            <w:r>
              <w:rPr>
                <w:rFonts w:hint="eastAsia"/>
                <w:bCs/>
                <w:szCs w:val="21"/>
              </w:rPr>
              <w:t>根据项目建设内容及《环境影响评价技术导则—声环境》（HJ2.4-2021）的要求，项目环评采用的模型为《环境影响评价技术导则—声环境》（HJ2.4.2021）附录A（规范性附录）户外声传播的衰减和附录B（规范性附录）中“B.1工业噪声预测计算模型”。</w:t>
            </w:r>
          </w:p>
          <w:p w14:paraId="5B4C347A">
            <w:pPr>
              <w:adjustRightInd w:val="0"/>
              <w:snapToGrid w:val="0"/>
              <w:spacing w:line="500" w:lineRule="exact"/>
              <w:ind w:firstLine="420" w:firstLineChars="200"/>
              <w:rPr>
                <w:bCs/>
                <w:szCs w:val="21"/>
              </w:rPr>
            </w:pPr>
            <w:r>
              <w:rPr>
                <w:rFonts w:hint="eastAsia"/>
                <w:bCs/>
                <w:szCs w:val="21"/>
              </w:rPr>
              <w:t>2、降噪措施</w:t>
            </w:r>
          </w:p>
          <w:p w14:paraId="333BE3C3">
            <w:pPr>
              <w:adjustRightInd w:val="0"/>
              <w:snapToGrid w:val="0"/>
              <w:spacing w:line="500" w:lineRule="exact"/>
              <w:ind w:firstLine="420" w:firstLineChars="200"/>
              <w:rPr>
                <w:bCs/>
                <w:szCs w:val="21"/>
              </w:rPr>
            </w:pPr>
            <w:r>
              <w:rPr>
                <w:rFonts w:hint="eastAsia"/>
                <w:bCs/>
                <w:szCs w:val="21"/>
              </w:rPr>
              <w:t>为了确保项目厂界噪声值能够达到功能区标准，建设方针对不同的噪声源强拟采取相应的处理措施：</w:t>
            </w:r>
          </w:p>
          <w:p w14:paraId="013CDE2A">
            <w:pPr>
              <w:adjustRightInd w:val="0"/>
              <w:snapToGrid w:val="0"/>
              <w:spacing w:line="500" w:lineRule="exact"/>
              <w:ind w:firstLine="420" w:firstLineChars="200"/>
              <w:rPr>
                <w:bCs/>
                <w:szCs w:val="21"/>
              </w:rPr>
            </w:pPr>
            <w:r>
              <w:rPr>
                <w:rFonts w:hint="eastAsia"/>
                <w:bCs/>
                <w:szCs w:val="21"/>
              </w:rPr>
              <w:t>1）统筹规划、合理布局</w:t>
            </w:r>
          </w:p>
          <w:p w14:paraId="14429876">
            <w:pPr>
              <w:adjustRightInd w:val="0"/>
              <w:snapToGrid w:val="0"/>
              <w:spacing w:line="500" w:lineRule="exact"/>
              <w:ind w:firstLine="420" w:firstLineChars="200"/>
              <w:rPr>
                <w:bCs/>
                <w:szCs w:val="21"/>
              </w:rPr>
            </w:pPr>
            <w:r>
              <w:rPr>
                <w:rFonts w:hint="eastAsia"/>
                <w:bCs/>
                <w:szCs w:val="21"/>
              </w:rPr>
              <w:t>高噪声设备集中分布于车间中部，通过建筑物的屏蔽作用及距离衰减，使声级值降低，减少对厂界外周围环境的影响；</w:t>
            </w:r>
          </w:p>
          <w:p w14:paraId="3171E376">
            <w:pPr>
              <w:adjustRightInd w:val="0"/>
              <w:snapToGrid w:val="0"/>
              <w:spacing w:line="500" w:lineRule="exact"/>
              <w:ind w:firstLine="420" w:firstLineChars="200"/>
              <w:rPr>
                <w:bCs/>
                <w:szCs w:val="21"/>
              </w:rPr>
            </w:pPr>
            <w:r>
              <w:rPr>
                <w:rFonts w:hint="eastAsia"/>
                <w:bCs/>
                <w:szCs w:val="21"/>
              </w:rPr>
              <w:t>2）订购低噪音设备</w:t>
            </w:r>
          </w:p>
          <w:p w14:paraId="5BB47BB4">
            <w:pPr>
              <w:adjustRightInd w:val="0"/>
              <w:snapToGrid w:val="0"/>
              <w:spacing w:line="500" w:lineRule="exact"/>
              <w:ind w:firstLine="420" w:firstLineChars="200"/>
              <w:rPr>
                <w:bCs/>
                <w:szCs w:val="21"/>
              </w:rPr>
            </w:pPr>
            <w:r>
              <w:rPr>
                <w:rFonts w:hint="eastAsia"/>
                <w:bCs/>
                <w:szCs w:val="21"/>
              </w:rPr>
              <w:t>在满足工艺要求的前提下，优先选择高效低噪声设备，低噪声设备的电能损耗相比高噪声设备要低；</w:t>
            </w:r>
          </w:p>
          <w:p w14:paraId="04AA6725">
            <w:pPr>
              <w:adjustRightInd w:val="0"/>
              <w:snapToGrid w:val="0"/>
              <w:spacing w:line="500" w:lineRule="exact"/>
              <w:ind w:firstLine="420" w:firstLineChars="200"/>
              <w:rPr>
                <w:bCs/>
                <w:szCs w:val="21"/>
              </w:rPr>
            </w:pPr>
            <w:r>
              <w:rPr>
                <w:rFonts w:hint="eastAsia"/>
                <w:bCs/>
                <w:szCs w:val="21"/>
              </w:rPr>
              <w:t>3）对噪声源采取治理措施</w:t>
            </w:r>
          </w:p>
          <w:p w14:paraId="54A00381">
            <w:pPr>
              <w:adjustRightInd w:val="0"/>
              <w:snapToGrid w:val="0"/>
              <w:spacing w:line="500" w:lineRule="exact"/>
              <w:ind w:firstLine="420" w:firstLineChars="200"/>
              <w:rPr>
                <w:bCs/>
                <w:szCs w:val="21"/>
              </w:rPr>
            </w:pPr>
            <w:r>
              <w:rPr>
                <w:rFonts w:hint="eastAsia"/>
                <w:bCs/>
                <w:szCs w:val="21"/>
              </w:rPr>
              <w:t>采用隔声和吸声材料处理高噪声车间厂房；电机等设备作减振基础，对高噪声设备，应采取局部隔离，并保证与厂界有一定的距离。</w:t>
            </w:r>
          </w:p>
          <w:p w14:paraId="637E1D41">
            <w:pPr>
              <w:adjustRightInd w:val="0"/>
              <w:snapToGrid w:val="0"/>
              <w:spacing w:line="500" w:lineRule="exact"/>
              <w:ind w:firstLine="420" w:firstLineChars="200"/>
              <w:rPr>
                <w:bCs/>
                <w:szCs w:val="21"/>
              </w:rPr>
            </w:pPr>
            <w:r>
              <w:rPr>
                <w:rFonts w:hint="eastAsia"/>
                <w:bCs/>
                <w:szCs w:val="21"/>
              </w:rPr>
              <w:t>4）合理利用距离衰减，减少对厂界外环境的影响</w:t>
            </w:r>
          </w:p>
          <w:p w14:paraId="22AA7E03">
            <w:pPr>
              <w:adjustRightInd w:val="0"/>
              <w:snapToGrid w:val="0"/>
              <w:spacing w:line="500" w:lineRule="exact"/>
              <w:ind w:firstLine="420" w:firstLineChars="200"/>
              <w:rPr>
                <w:bCs/>
                <w:szCs w:val="21"/>
              </w:rPr>
            </w:pPr>
            <w:r>
              <w:rPr>
                <w:rFonts w:hint="eastAsia"/>
                <w:bCs/>
                <w:szCs w:val="21"/>
              </w:rPr>
              <w:t>上述措施均常规有效的吸声、消声、减振措施，可确保噪声源有大幅度的削弱。</w:t>
            </w:r>
          </w:p>
          <w:p w14:paraId="17D0A65C">
            <w:pPr>
              <w:adjustRightInd w:val="0"/>
              <w:snapToGrid w:val="0"/>
              <w:spacing w:line="500" w:lineRule="exact"/>
              <w:ind w:firstLine="420" w:firstLineChars="200"/>
              <w:rPr>
                <w:bCs/>
                <w:szCs w:val="21"/>
              </w:rPr>
            </w:pPr>
            <w:r>
              <w:rPr>
                <w:rFonts w:hint="eastAsia"/>
                <w:bCs/>
                <w:szCs w:val="21"/>
              </w:rPr>
              <w:t>3、预测结果</w:t>
            </w:r>
          </w:p>
          <w:p w14:paraId="2C090D22">
            <w:pPr>
              <w:autoSpaceDE w:val="0"/>
              <w:autoSpaceDN w:val="0"/>
              <w:adjustRightInd w:val="0"/>
              <w:spacing w:line="500" w:lineRule="exact"/>
              <w:jc w:val="center"/>
              <w:rPr>
                <w:b/>
                <w:bCs/>
              </w:rPr>
            </w:pPr>
            <w:r>
              <w:rPr>
                <w:b/>
                <w:bCs/>
              </w:rPr>
              <w:t>表4-</w:t>
            </w:r>
            <w:r>
              <w:rPr>
                <w:rFonts w:hint="eastAsia"/>
                <w:b/>
                <w:bCs/>
                <w:lang w:val="en-US" w:eastAsia="zh-CN"/>
              </w:rPr>
              <w:t>27</w:t>
            </w:r>
            <w:r>
              <w:rPr>
                <w:b/>
                <w:bCs/>
              </w:rPr>
              <w:t xml:space="preserve">  厂界噪声预测结果与达标分析表（单位：dB(A)）</w:t>
            </w:r>
          </w:p>
          <w:tbl>
            <w:tblPr>
              <w:tblStyle w:val="19"/>
              <w:tblW w:w="811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502"/>
              <w:gridCol w:w="1653"/>
              <w:gridCol w:w="1797"/>
              <w:gridCol w:w="1692"/>
            </w:tblGrid>
            <w:tr w14:paraId="08D5C7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907" w:type="pct"/>
                  <w:vAlign w:val="center"/>
                </w:tcPr>
                <w:p w14:paraId="4EC4A957">
                  <w:pPr>
                    <w:jc w:val="center"/>
                    <w:rPr>
                      <w:sz w:val="18"/>
                      <w:szCs w:val="18"/>
                    </w:rPr>
                  </w:pPr>
                  <w:r>
                    <w:rPr>
                      <w:sz w:val="18"/>
                      <w:szCs w:val="18"/>
                    </w:rPr>
                    <w:t>预测</w:t>
                  </w:r>
                </w:p>
                <w:p w14:paraId="75790339">
                  <w:pPr>
                    <w:jc w:val="center"/>
                    <w:rPr>
                      <w:sz w:val="18"/>
                      <w:szCs w:val="18"/>
                    </w:rPr>
                  </w:pPr>
                  <w:r>
                    <w:rPr>
                      <w:sz w:val="18"/>
                      <w:szCs w:val="18"/>
                    </w:rPr>
                    <w:t>方位</w:t>
                  </w:r>
                </w:p>
              </w:tc>
              <w:tc>
                <w:tcPr>
                  <w:tcW w:w="925" w:type="pct"/>
                  <w:vAlign w:val="center"/>
                </w:tcPr>
                <w:p w14:paraId="39A55312">
                  <w:pPr>
                    <w:jc w:val="center"/>
                    <w:rPr>
                      <w:sz w:val="18"/>
                      <w:szCs w:val="18"/>
                    </w:rPr>
                  </w:pPr>
                  <w:r>
                    <w:rPr>
                      <w:sz w:val="18"/>
                      <w:szCs w:val="18"/>
                    </w:rPr>
                    <w:t>时段</w:t>
                  </w:r>
                </w:p>
              </w:tc>
              <w:tc>
                <w:tcPr>
                  <w:tcW w:w="1018" w:type="pct"/>
                  <w:vAlign w:val="center"/>
                </w:tcPr>
                <w:p w14:paraId="2F4F3D16">
                  <w:pPr>
                    <w:jc w:val="center"/>
                    <w:rPr>
                      <w:sz w:val="18"/>
                      <w:szCs w:val="18"/>
                    </w:rPr>
                  </w:pPr>
                  <w:r>
                    <w:rPr>
                      <w:sz w:val="18"/>
                      <w:szCs w:val="18"/>
                    </w:rPr>
                    <w:t>贡献值</w:t>
                  </w:r>
                </w:p>
              </w:tc>
              <w:tc>
                <w:tcPr>
                  <w:tcW w:w="1106" w:type="pct"/>
                  <w:vAlign w:val="center"/>
                </w:tcPr>
                <w:p w14:paraId="15330FB9">
                  <w:pPr>
                    <w:jc w:val="center"/>
                    <w:rPr>
                      <w:sz w:val="18"/>
                      <w:szCs w:val="18"/>
                    </w:rPr>
                  </w:pPr>
                  <w:r>
                    <w:rPr>
                      <w:sz w:val="18"/>
                      <w:szCs w:val="18"/>
                    </w:rPr>
                    <w:t>标准限值</w:t>
                  </w:r>
                </w:p>
              </w:tc>
              <w:tc>
                <w:tcPr>
                  <w:tcW w:w="1042" w:type="pct"/>
                  <w:vAlign w:val="center"/>
                </w:tcPr>
                <w:p w14:paraId="453DE50A">
                  <w:pPr>
                    <w:jc w:val="center"/>
                    <w:rPr>
                      <w:sz w:val="18"/>
                      <w:szCs w:val="18"/>
                    </w:rPr>
                  </w:pPr>
                  <w:r>
                    <w:rPr>
                      <w:sz w:val="18"/>
                      <w:szCs w:val="18"/>
                    </w:rPr>
                    <w:t>达标情况</w:t>
                  </w:r>
                </w:p>
              </w:tc>
            </w:tr>
            <w:tr w14:paraId="2B43F2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907" w:type="pct"/>
                  <w:shd w:val="clear" w:color="auto" w:fill="FFFFFF"/>
                  <w:vAlign w:val="center"/>
                </w:tcPr>
                <w:p w14:paraId="65E9546A">
                  <w:pPr>
                    <w:adjustRightInd w:val="0"/>
                    <w:snapToGrid w:val="0"/>
                    <w:jc w:val="center"/>
                    <w:rPr>
                      <w:sz w:val="18"/>
                      <w:szCs w:val="18"/>
                    </w:rPr>
                  </w:pPr>
                  <w:r>
                    <w:rPr>
                      <w:rFonts w:hint="eastAsia"/>
                      <w:sz w:val="18"/>
                      <w:szCs w:val="18"/>
                    </w:rPr>
                    <w:t>东</w:t>
                  </w:r>
                  <w:r>
                    <w:rPr>
                      <w:sz w:val="18"/>
                      <w:szCs w:val="18"/>
                    </w:rPr>
                    <w:t>厂界</w:t>
                  </w:r>
                </w:p>
              </w:tc>
              <w:tc>
                <w:tcPr>
                  <w:tcW w:w="925" w:type="pct"/>
                  <w:shd w:val="clear" w:color="auto" w:fill="FFFFFF"/>
                  <w:vAlign w:val="center"/>
                </w:tcPr>
                <w:p w14:paraId="53EA3166">
                  <w:pPr>
                    <w:jc w:val="center"/>
                    <w:rPr>
                      <w:sz w:val="18"/>
                      <w:szCs w:val="18"/>
                    </w:rPr>
                  </w:pPr>
                  <w:r>
                    <w:rPr>
                      <w:sz w:val="18"/>
                      <w:szCs w:val="18"/>
                    </w:rPr>
                    <w:t>昼间</w:t>
                  </w:r>
                </w:p>
              </w:tc>
              <w:tc>
                <w:tcPr>
                  <w:tcW w:w="1018" w:type="pct"/>
                  <w:shd w:val="clear" w:color="auto" w:fill="FFFFFF"/>
                  <w:vAlign w:val="center"/>
                </w:tcPr>
                <w:p w14:paraId="5EAF96AC">
                  <w:pPr>
                    <w:jc w:val="center"/>
                    <w:rPr>
                      <w:rFonts w:hint="default" w:eastAsia="宋体"/>
                      <w:sz w:val="18"/>
                      <w:szCs w:val="18"/>
                      <w:lang w:val="en-US" w:eastAsia="zh-CN"/>
                    </w:rPr>
                  </w:pPr>
                  <w:r>
                    <w:rPr>
                      <w:rFonts w:hint="eastAsia"/>
                      <w:sz w:val="18"/>
                      <w:szCs w:val="18"/>
                      <w:lang w:val="en-US" w:eastAsia="zh-CN"/>
                    </w:rPr>
                    <w:t>54</w:t>
                  </w:r>
                </w:p>
              </w:tc>
              <w:tc>
                <w:tcPr>
                  <w:tcW w:w="1106" w:type="pct"/>
                  <w:shd w:val="clear" w:color="auto" w:fill="FFFFFF"/>
                  <w:vAlign w:val="center"/>
                </w:tcPr>
                <w:p w14:paraId="01A7D5A4">
                  <w:pPr>
                    <w:jc w:val="center"/>
                    <w:rPr>
                      <w:rFonts w:hint="default" w:eastAsia="宋体"/>
                      <w:sz w:val="18"/>
                      <w:szCs w:val="18"/>
                      <w:lang w:val="en-US" w:eastAsia="zh-CN"/>
                    </w:rPr>
                  </w:pPr>
                  <w:r>
                    <w:rPr>
                      <w:rFonts w:hint="eastAsia"/>
                      <w:sz w:val="18"/>
                      <w:szCs w:val="18"/>
                      <w:lang w:val="en-US" w:eastAsia="zh-CN"/>
                    </w:rPr>
                    <w:t>65</w:t>
                  </w:r>
                </w:p>
              </w:tc>
              <w:tc>
                <w:tcPr>
                  <w:tcW w:w="1042" w:type="pct"/>
                  <w:shd w:val="clear" w:color="auto" w:fill="FFFFFF"/>
                  <w:vAlign w:val="center"/>
                </w:tcPr>
                <w:p w14:paraId="7AF27D80">
                  <w:pPr>
                    <w:jc w:val="center"/>
                    <w:rPr>
                      <w:sz w:val="18"/>
                      <w:szCs w:val="18"/>
                    </w:rPr>
                  </w:pPr>
                  <w:r>
                    <w:rPr>
                      <w:rFonts w:hint="eastAsia"/>
                      <w:sz w:val="18"/>
                      <w:szCs w:val="18"/>
                    </w:rPr>
                    <w:t>达标</w:t>
                  </w:r>
                </w:p>
              </w:tc>
            </w:tr>
            <w:tr w14:paraId="678B85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907" w:type="pct"/>
                  <w:shd w:val="clear" w:color="auto" w:fill="FFFFFF"/>
                  <w:vAlign w:val="center"/>
                </w:tcPr>
                <w:p w14:paraId="1C9B3F80">
                  <w:pPr>
                    <w:adjustRightInd w:val="0"/>
                    <w:snapToGrid w:val="0"/>
                    <w:jc w:val="center"/>
                    <w:rPr>
                      <w:sz w:val="18"/>
                      <w:szCs w:val="18"/>
                    </w:rPr>
                  </w:pPr>
                  <w:r>
                    <w:rPr>
                      <w:rFonts w:hint="eastAsia"/>
                      <w:sz w:val="18"/>
                      <w:szCs w:val="18"/>
                    </w:rPr>
                    <w:t>南</w:t>
                  </w:r>
                  <w:r>
                    <w:rPr>
                      <w:sz w:val="18"/>
                      <w:szCs w:val="18"/>
                    </w:rPr>
                    <w:t>厂界</w:t>
                  </w:r>
                </w:p>
              </w:tc>
              <w:tc>
                <w:tcPr>
                  <w:tcW w:w="925" w:type="pct"/>
                  <w:shd w:val="clear" w:color="auto" w:fill="FFFFFF"/>
                  <w:vAlign w:val="center"/>
                </w:tcPr>
                <w:p w14:paraId="160653B0">
                  <w:pPr>
                    <w:jc w:val="center"/>
                    <w:rPr>
                      <w:sz w:val="18"/>
                      <w:szCs w:val="18"/>
                    </w:rPr>
                  </w:pPr>
                  <w:r>
                    <w:rPr>
                      <w:sz w:val="18"/>
                      <w:szCs w:val="18"/>
                    </w:rPr>
                    <w:t>昼间</w:t>
                  </w:r>
                </w:p>
              </w:tc>
              <w:tc>
                <w:tcPr>
                  <w:tcW w:w="1018" w:type="pct"/>
                  <w:shd w:val="clear" w:color="auto" w:fill="FFFFFF"/>
                  <w:vAlign w:val="center"/>
                </w:tcPr>
                <w:p w14:paraId="73915A38">
                  <w:pPr>
                    <w:jc w:val="center"/>
                    <w:rPr>
                      <w:rFonts w:hint="default" w:eastAsia="宋体"/>
                      <w:sz w:val="18"/>
                      <w:szCs w:val="18"/>
                      <w:lang w:val="en-US" w:eastAsia="zh-CN"/>
                    </w:rPr>
                  </w:pPr>
                  <w:r>
                    <w:rPr>
                      <w:rFonts w:hint="eastAsia"/>
                      <w:sz w:val="18"/>
                      <w:szCs w:val="18"/>
                      <w:lang w:val="en-US" w:eastAsia="zh-CN"/>
                    </w:rPr>
                    <w:t>48.9</w:t>
                  </w:r>
                </w:p>
              </w:tc>
              <w:tc>
                <w:tcPr>
                  <w:tcW w:w="1106" w:type="pct"/>
                  <w:shd w:val="clear" w:color="auto" w:fill="FFFFFF"/>
                  <w:vAlign w:val="center"/>
                </w:tcPr>
                <w:p w14:paraId="01A63FDD">
                  <w:pPr>
                    <w:jc w:val="center"/>
                    <w:rPr>
                      <w:sz w:val="18"/>
                      <w:szCs w:val="18"/>
                    </w:rPr>
                  </w:pPr>
                  <w:r>
                    <w:rPr>
                      <w:rFonts w:hint="eastAsia"/>
                      <w:sz w:val="18"/>
                      <w:szCs w:val="18"/>
                      <w:lang w:val="en-US" w:eastAsia="zh-CN"/>
                    </w:rPr>
                    <w:t>65</w:t>
                  </w:r>
                </w:p>
              </w:tc>
              <w:tc>
                <w:tcPr>
                  <w:tcW w:w="1042" w:type="pct"/>
                  <w:shd w:val="clear" w:color="auto" w:fill="FFFFFF"/>
                  <w:vAlign w:val="center"/>
                </w:tcPr>
                <w:p w14:paraId="44A44C92">
                  <w:pPr>
                    <w:jc w:val="center"/>
                    <w:rPr>
                      <w:sz w:val="18"/>
                      <w:szCs w:val="18"/>
                    </w:rPr>
                  </w:pPr>
                  <w:r>
                    <w:rPr>
                      <w:rFonts w:hint="eastAsia"/>
                      <w:sz w:val="18"/>
                      <w:szCs w:val="18"/>
                    </w:rPr>
                    <w:t>达标</w:t>
                  </w:r>
                </w:p>
              </w:tc>
            </w:tr>
            <w:tr w14:paraId="0BE3B9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8" w:hRule="exact"/>
                <w:jc w:val="center"/>
              </w:trPr>
              <w:tc>
                <w:tcPr>
                  <w:tcW w:w="907" w:type="pct"/>
                  <w:shd w:val="clear" w:color="auto" w:fill="FFFFFF"/>
                  <w:vAlign w:val="center"/>
                </w:tcPr>
                <w:p w14:paraId="0C8ABA25">
                  <w:pPr>
                    <w:adjustRightInd w:val="0"/>
                    <w:snapToGrid w:val="0"/>
                    <w:jc w:val="center"/>
                    <w:rPr>
                      <w:sz w:val="18"/>
                      <w:szCs w:val="18"/>
                    </w:rPr>
                  </w:pPr>
                  <w:r>
                    <w:rPr>
                      <w:rFonts w:hint="eastAsia"/>
                      <w:sz w:val="18"/>
                      <w:szCs w:val="18"/>
                    </w:rPr>
                    <w:t>西</w:t>
                  </w:r>
                  <w:r>
                    <w:rPr>
                      <w:sz w:val="18"/>
                      <w:szCs w:val="18"/>
                    </w:rPr>
                    <w:t>厂界</w:t>
                  </w:r>
                </w:p>
              </w:tc>
              <w:tc>
                <w:tcPr>
                  <w:tcW w:w="925" w:type="pct"/>
                  <w:shd w:val="clear" w:color="auto" w:fill="FFFFFF"/>
                  <w:vAlign w:val="center"/>
                </w:tcPr>
                <w:p w14:paraId="21008821">
                  <w:pPr>
                    <w:jc w:val="center"/>
                    <w:rPr>
                      <w:sz w:val="18"/>
                      <w:szCs w:val="18"/>
                    </w:rPr>
                  </w:pPr>
                  <w:r>
                    <w:rPr>
                      <w:sz w:val="18"/>
                      <w:szCs w:val="18"/>
                    </w:rPr>
                    <w:t>昼间</w:t>
                  </w:r>
                </w:p>
              </w:tc>
              <w:tc>
                <w:tcPr>
                  <w:tcW w:w="1018" w:type="pct"/>
                  <w:shd w:val="clear" w:color="auto" w:fill="FFFFFF"/>
                  <w:vAlign w:val="center"/>
                </w:tcPr>
                <w:p w14:paraId="4C774528">
                  <w:pPr>
                    <w:jc w:val="center"/>
                    <w:rPr>
                      <w:rFonts w:hint="default" w:eastAsia="宋体"/>
                      <w:sz w:val="18"/>
                      <w:szCs w:val="18"/>
                      <w:lang w:val="en-US" w:eastAsia="zh-CN"/>
                    </w:rPr>
                  </w:pPr>
                  <w:r>
                    <w:rPr>
                      <w:rFonts w:hint="eastAsia"/>
                      <w:sz w:val="18"/>
                      <w:szCs w:val="18"/>
                      <w:lang w:val="en-US" w:eastAsia="zh-CN"/>
                    </w:rPr>
                    <w:t>48.9</w:t>
                  </w:r>
                </w:p>
              </w:tc>
              <w:tc>
                <w:tcPr>
                  <w:tcW w:w="1106" w:type="pct"/>
                  <w:shd w:val="clear" w:color="auto" w:fill="FFFFFF"/>
                  <w:vAlign w:val="center"/>
                </w:tcPr>
                <w:p w14:paraId="726F51C5">
                  <w:pPr>
                    <w:jc w:val="center"/>
                    <w:rPr>
                      <w:sz w:val="18"/>
                      <w:szCs w:val="18"/>
                    </w:rPr>
                  </w:pPr>
                  <w:r>
                    <w:rPr>
                      <w:rFonts w:hint="eastAsia"/>
                      <w:sz w:val="18"/>
                      <w:szCs w:val="18"/>
                      <w:lang w:val="en-US" w:eastAsia="zh-CN"/>
                    </w:rPr>
                    <w:t>65</w:t>
                  </w:r>
                </w:p>
              </w:tc>
              <w:tc>
                <w:tcPr>
                  <w:tcW w:w="1042" w:type="pct"/>
                  <w:shd w:val="clear" w:color="auto" w:fill="FFFFFF"/>
                  <w:vAlign w:val="center"/>
                </w:tcPr>
                <w:p w14:paraId="10C3E63C">
                  <w:pPr>
                    <w:jc w:val="center"/>
                    <w:rPr>
                      <w:sz w:val="18"/>
                      <w:szCs w:val="18"/>
                    </w:rPr>
                  </w:pPr>
                  <w:r>
                    <w:rPr>
                      <w:rFonts w:hint="eastAsia"/>
                      <w:sz w:val="18"/>
                      <w:szCs w:val="18"/>
                    </w:rPr>
                    <w:t>达标</w:t>
                  </w:r>
                </w:p>
              </w:tc>
            </w:tr>
            <w:tr w14:paraId="376354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907" w:type="pct"/>
                  <w:shd w:val="clear" w:color="auto" w:fill="FFFFFF"/>
                  <w:vAlign w:val="center"/>
                </w:tcPr>
                <w:p w14:paraId="25FC350B">
                  <w:pPr>
                    <w:adjustRightInd w:val="0"/>
                    <w:snapToGrid w:val="0"/>
                    <w:jc w:val="center"/>
                    <w:rPr>
                      <w:sz w:val="18"/>
                      <w:szCs w:val="18"/>
                    </w:rPr>
                  </w:pPr>
                  <w:r>
                    <w:rPr>
                      <w:rFonts w:hint="eastAsia"/>
                      <w:sz w:val="18"/>
                      <w:szCs w:val="18"/>
                    </w:rPr>
                    <w:t>北</w:t>
                  </w:r>
                  <w:r>
                    <w:rPr>
                      <w:sz w:val="18"/>
                      <w:szCs w:val="18"/>
                    </w:rPr>
                    <w:t>厂界</w:t>
                  </w:r>
                </w:p>
              </w:tc>
              <w:tc>
                <w:tcPr>
                  <w:tcW w:w="925" w:type="pct"/>
                  <w:shd w:val="clear" w:color="auto" w:fill="FFFFFF"/>
                  <w:vAlign w:val="center"/>
                </w:tcPr>
                <w:p w14:paraId="1DF481C6">
                  <w:pPr>
                    <w:jc w:val="center"/>
                    <w:rPr>
                      <w:sz w:val="18"/>
                      <w:szCs w:val="18"/>
                    </w:rPr>
                  </w:pPr>
                  <w:r>
                    <w:rPr>
                      <w:sz w:val="18"/>
                      <w:szCs w:val="18"/>
                    </w:rPr>
                    <w:t>昼间</w:t>
                  </w:r>
                </w:p>
              </w:tc>
              <w:tc>
                <w:tcPr>
                  <w:tcW w:w="1018" w:type="pct"/>
                  <w:shd w:val="clear" w:color="auto" w:fill="FFFFFF"/>
                  <w:vAlign w:val="center"/>
                </w:tcPr>
                <w:p w14:paraId="1A20610A">
                  <w:pPr>
                    <w:jc w:val="center"/>
                    <w:rPr>
                      <w:rFonts w:hint="default" w:eastAsia="宋体"/>
                      <w:sz w:val="18"/>
                      <w:szCs w:val="18"/>
                      <w:lang w:val="en-US" w:eastAsia="zh-CN"/>
                    </w:rPr>
                  </w:pPr>
                  <w:r>
                    <w:rPr>
                      <w:rFonts w:hint="eastAsia"/>
                      <w:sz w:val="18"/>
                      <w:szCs w:val="18"/>
                      <w:lang w:val="en-US" w:eastAsia="zh-CN"/>
                    </w:rPr>
                    <w:t>41.2</w:t>
                  </w:r>
                </w:p>
              </w:tc>
              <w:tc>
                <w:tcPr>
                  <w:tcW w:w="1106" w:type="pct"/>
                  <w:shd w:val="clear" w:color="auto" w:fill="FFFFFF"/>
                  <w:vAlign w:val="center"/>
                </w:tcPr>
                <w:p w14:paraId="4B73ADB0">
                  <w:pPr>
                    <w:jc w:val="center"/>
                    <w:rPr>
                      <w:rFonts w:hint="default" w:eastAsia="宋体"/>
                      <w:sz w:val="18"/>
                      <w:szCs w:val="18"/>
                      <w:lang w:val="en-US" w:eastAsia="zh-CN"/>
                    </w:rPr>
                  </w:pPr>
                  <w:r>
                    <w:rPr>
                      <w:rFonts w:hint="eastAsia"/>
                      <w:sz w:val="18"/>
                      <w:szCs w:val="18"/>
                      <w:lang w:val="en-US" w:eastAsia="zh-CN"/>
                    </w:rPr>
                    <w:t>65</w:t>
                  </w:r>
                </w:p>
              </w:tc>
              <w:tc>
                <w:tcPr>
                  <w:tcW w:w="1042" w:type="pct"/>
                  <w:shd w:val="clear" w:color="auto" w:fill="FFFFFF"/>
                  <w:vAlign w:val="center"/>
                </w:tcPr>
                <w:p w14:paraId="1681E0B1">
                  <w:pPr>
                    <w:jc w:val="center"/>
                    <w:rPr>
                      <w:sz w:val="18"/>
                      <w:szCs w:val="18"/>
                    </w:rPr>
                  </w:pPr>
                  <w:r>
                    <w:rPr>
                      <w:rFonts w:hint="eastAsia"/>
                      <w:sz w:val="18"/>
                      <w:szCs w:val="18"/>
                    </w:rPr>
                    <w:t>达标</w:t>
                  </w:r>
                </w:p>
              </w:tc>
            </w:tr>
          </w:tbl>
          <w:p w14:paraId="63733CB0">
            <w:pPr>
              <w:wordWrap w:val="0"/>
              <w:adjustRightInd w:val="0"/>
              <w:snapToGrid w:val="0"/>
              <w:spacing w:line="500" w:lineRule="exact"/>
              <w:ind w:firstLine="420" w:firstLineChars="200"/>
            </w:pPr>
            <w:r>
              <w:t>由上表可见，项目噪声设备经距离衰减和厂房隔声后，四周厂界贡献值在</w:t>
            </w:r>
            <w:r>
              <w:rPr>
                <w:rFonts w:hint="eastAsia"/>
                <w:lang w:val="en-US" w:eastAsia="zh-CN"/>
              </w:rPr>
              <w:t>41.2-54</w:t>
            </w:r>
            <w:r>
              <w:t>dB</w:t>
            </w:r>
            <w:r>
              <w:rPr>
                <w:rFonts w:hint="eastAsia"/>
                <w:lang w:eastAsia="zh-CN"/>
              </w:rPr>
              <w:t>（</w:t>
            </w:r>
            <w:r>
              <w:t>A</w:t>
            </w:r>
            <w:r>
              <w:rPr>
                <w:rFonts w:hint="eastAsia"/>
                <w:lang w:eastAsia="zh-CN"/>
              </w:rPr>
              <w:t>）</w:t>
            </w:r>
            <w:r>
              <w:t>之间，</w:t>
            </w:r>
            <w:r>
              <w:rPr>
                <w:rFonts w:hint="eastAsia"/>
                <w:lang w:eastAsia="zh-CN"/>
              </w:rPr>
              <w:t>四周侧</w:t>
            </w:r>
            <w:r>
              <w:t>厂界噪声能满足《工业企业厂界环境噪声排放标准》（GB12348-2008）表1中</w:t>
            </w:r>
            <w:r>
              <w:rPr>
                <w:rFonts w:hint="eastAsia"/>
                <w:lang w:val="en-US" w:eastAsia="zh-CN"/>
              </w:rPr>
              <w:t>3</w:t>
            </w:r>
            <w:r>
              <w:t>类标准</w:t>
            </w:r>
            <w:r>
              <w:rPr>
                <w:rFonts w:hint="eastAsia"/>
                <w:kern w:val="0"/>
                <w:szCs w:val="21"/>
              </w:rPr>
              <w:t>。</w:t>
            </w:r>
          </w:p>
          <w:p w14:paraId="4338A99F">
            <w:pPr>
              <w:spacing w:line="500" w:lineRule="exact"/>
              <w:ind w:firstLine="420" w:firstLineChars="200"/>
            </w:pPr>
            <w:r>
              <w:t>3、噪声监测计划</w:t>
            </w:r>
          </w:p>
          <w:p w14:paraId="1C557DD5">
            <w:pPr>
              <w:spacing w:line="500" w:lineRule="exact"/>
              <w:ind w:firstLine="420" w:firstLineChars="200"/>
              <w:rPr>
                <w:rFonts w:hint="eastAsia" w:eastAsia="宋体"/>
                <w:lang w:eastAsia="zh-CN"/>
              </w:rPr>
            </w:pPr>
            <w:r>
              <w:t>根据</w:t>
            </w:r>
            <w:r>
              <w:rPr>
                <w:rFonts w:hint="eastAsia"/>
              </w:rPr>
              <w:t>《排污单位自行监测技术指南 总则》（HJ819-2017）</w:t>
            </w:r>
            <w:r>
              <w:t>，厂界噪声最低监测频次为季度，厂界噪声监测频次为一季度开展一次</w:t>
            </w:r>
            <w:r>
              <w:rPr>
                <w:rFonts w:hint="eastAsia"/>
                <w:lang w:eastAsia="zh-CN"/>
              </w:rPr>
              <w:t>。</w:t>
            </w:r>
          </w:p>
          <w:p w14:paraId="7700B2E3">
            <w:pPr>
              <w:spacing w:line="360" w:lineRule="auto"/>
              <w:jc w:val="center"/>
              <w:rPr>
                <w:b/>
                <w:bCs/>
              </w:rPr>
            </w:pPr>
            <w:r>
              <w:rPr>
                <w:b/>
                <w:bCs/>
              </w:rPr>
              <w:t>表4-</w:t>
            </w:r>
            <w:r>
              <w:rPr>
                <w:rFonts w:hint="eastAsia"/>
                <w:b/>
                <w:bCs/>
                <w:lang w:val="en-US" w:eastAsia="zh-CN"/>
              </w:rPr>
              <w:t>28</w:t>
            </w:r>
            <w:r>
              <w:rPr>
                <w:b/>
                <w:bCs/>
              </w:rPr>
              <w:t xml:space="preserve"> 噪声环境监测计划</w:t>
            </w:r>
          </w:p>
          <w:tbl>
            <w:tblPr>
              <w:tblStyle w:val="19"/>
              <w:tblW w:w="807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440"/>
              <w:gridCol w:w="1365"/>
              <w:gridCol w:w="1490"/>
              <w:gridCol w:w="3105"/>
            </w:tblGrid>
            <w:tr w14:paraId="6C4C76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77" w:type="dxa"/>
                  <w:vAlign w:val="center"/>
                </w:tcPr>
                <w:p w14:paraId="375BAE5A">
                  <w:pPr>
                    <w:jc w:val="center"/>
                    <w:rPr>
                      <w:sz w:val="18"/>
                      <w:szCs w:val="18"/>
                    </w:rPr>
                  </w:pPr>
                  <w:r>
                    <w:rPr>
                      <w:sz w:val="18"/>
                      <w:szCs w:val="18"/>
                    </w:rPr>
                    <w:t>类别</w:t>
                  </w:r>
                </w:p>
              </w:tc>
              <w:tc>
                <w:tcPr>
                  <w:tcW w:w="1440" w:type="dxa"/>
                  <w:vAlign w:val="center"/>
                </w:tcPr>
                <w:p w14:paraId="315141DC">
                  <w:pPr>
                    <w:jc w:val="center"/>
                    <w:rPr>
                      <w:sz w:val="18"/>
                      <w:szCs w:val="18"/>
                    </w:rPr>
                  </w:pPr>
                  <w:r>
                    <w:rPr>
                      <w:sz w:val="18"/>
                      <w:szCs w:val="18"/>
                    </w:rPr>
                    <w:t>监测位置</w:t>
                  </w:r>
                </w:p>
              </w:tc>
              <w:tc>
                <w:tcPr>
                  <w:tcW w:w="1365" w:type="dxa"/>
                  <w:vAlign w:val="center"/>
                </w:tcPr>
                <w:p w14:paraId="70F497C3">
                  <w:pPr>
                    <w:jc w:val="center"/>
                    <w:rPr>
                      <w:sz w:val="18"/>
                      <w:szCs w:val="18"/>
                    </w:rPr>
                  </w:pPr>
                  <w:r>
                    <w:rPr>
                      <w:sz w:val="18"/>
                      <w:szCs w:val="18"/>
                    </w:rPr>
                    <w:t>监测项目</w:t>
                  </w:r>
                </w:p>
              </w:tc>
              <w:tc>
                <w:tcPr>
                  <w:tcW w:w="1490" w:type="dxa"/>
                  <w:vAlign w:val="center"/>
                </w:tcPr>
                <w:p w14:paraId="481BAE2D">
                  <w:pPr>
                    <w:jc w:val="center"/>
                    <w:rPr>
                      <w:sz w:val="18"/>
                      <w:szCs w:val="18"/>
                    </w:rPr>
                  </w:pPr>
                  <w:r>
                    <w:rPr>
                      <w:sz w:val="18"/>
                      <w:szCs w:val="18"/>
                    </w:rPr>
                    <w:t>监测频次</w:t>
                  </w:r>
                </w:p>
              </w:tc>
              <w:tc>
                <w:tcPr>
                  <w:tcW w:w="3105" w:type="dxa"/>
                  <w:vAlign w:val="center"/>
                </w:tcPr>
                <w:p w14:paraId="51B300C7">
                  <w:pPr>
                    <w:jc w:val="center"/>
                    <w:rPr>
                      <w:sz w:val="18"/>
                      <w:szCs w:val="18"/>
                    </w:rPr>
                  </w:pPr>
                  <w:r>
                    <w:rPr>
                      <w:sz w:val="18"/>
                      <w:szCs w:val="18"/>
                    </w:rPr>
                    <w:t>执行标准</w:t>
                  </w:r>
                </w:p>
              </w:tc>
            </w:tr>
            <w:tr w14:paraId="464230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77" w:type="dxa"/>
                  <w:vAlign w:val="center"/>
                </w:tcPr>
                <w:p w14:paraId="40E699E4">
                  <w:pPr>
                    <w:jc w:val="center"/>
                    <w:rPr>
                      <w:sz w:val="18"/>
                      <w:szCs w:val="18"/>
                    </w:rPr>
                  </w:pPr>
                  <w:r>
                    <w:rPr>
                      <w:sz w:val="18"/>
                      <w:szCs w:val="18"/>
                    </w:rPr>
                    <w:t>噪声</w:t>
                  </w:r>
                </w:p>
              </w:tc>
              <w:tc>
                <w:tcPr>
                  <w:tcW w:w="1440" w:type="dxa"/>
                  <w:vAlign w:val="center"/>
                </w:tcPr>
                <w:p w14:paraId="76FD4487">
                  <w:pPr>
                    <w:jc w:val="center"/>
                    <w:rPr>
                      <w:sz w:val="18"/>
                      <w:szCs w:val="18"/>
                    </w:rPr>
                  </w:pPr>
                  <w:r>
                    <w:rPr>
                      <w:sz w:val="18"/>
                      <w:szCs w:val="18"/>
                    </w:rPr>
                    <w:t>厂界外1m</w:t>
                  </w:r>
                </w:p>
              </w:tc>
              <w:tc>
                <w:tcPr>
                  <w:tcW w:w="1365" w:type="dxa"/>
                  <w:vAlign w:val="center"/>
                </w:tcPr>
                <w:p w14:paraId="6EB97E3F">
                  <w:pPr>
                    <w:jc w:val="center"/>
                    <w:rPr>
                      <w:sz w:val="18"/>
                      <w:szCs w:val="18"/>
                    </w:rPr>
                  </w:pPr>
                  <w:r>
                    <w:rPr>
                      <w:sz w:val="18"/>
                      <w:szCs w:val="18"/>
                    </w:rPr>
                    <w:t>连续等效A声级</w:t>
                  </w:r>
                </w:p>
              </w:tc>
              <w:tc>
                <w:tcPr>
                  <w:tcW w:w="1490" w:type="dxa"/>
                  <w:vAlign w:val="center"/>
                </w:tcPr>
                <w:p w14:paraId="539C1A6A">
                  <w:pPr>
                    <w:jc w:val="center"/>
                    <w:rPr>
                      <w:sz w:val="18"/>
                      <w:szCs w:val="18"/>
                    </w:rPr>
                  </w:pPr>
                  <w:r>
                    <w:rPr>
                      <w:sz w:val="18"/>
                      <w:szCs w:val="18"/>
                    </w:rPr>
                    <w:t>一季度一次</w:t>
                  </w:r>
                </w:p>
              </w:tc>
              <w:tc>
                <w:tcPr>
                  <w:tcW w:w="3105" w:type="dxa"/>
                  <w:vAlign w:val="center"/>
                </w:tcPr>
                <w:p w14:paraId="0D18087C">
                  <w:pPr>
                    <w:jc w:val="center"/>
                    <w:rPr>
                      <w:rFonts w:hint="eastAsia" w:eastAsia="宋体"/>
                      <w:sz w:val="18"/>
                      <w:szCs w:val="18"/>
                      <w:lang w:eastAsia="zh-CN"/>
                    </w:rPr>
                  </w:pPr>
                  <w:r>
                    <w:rPr>
                      <w:rFonts w:hint="eastAsia" w:cs="Times New Roman"/>
                      <w:sz w:val="18"/>
                      <w:szCs w:val="18"/>
                      <w:lang w:eastAsia="zh-CN"/>
                    </w:rPr>
                    <w:t>四周</w:t>
                  </w:r>
                  <w:r>
                    <w:rPr>
                      <w:rFonts w:ascii="Times New Roman" w:hAnsi="Times New Roman" w:eastAsia="宋体" w:cs="Times New Roman"/>
                      <w:sz w:val="18"/>
                      <w:szCs w:val="18"/>
                    </w:rPr>
                    <w:t>厂界噪声</w:t>
                  </w:r>
                  <w:r>
                    <w:rPr>
                      <w:rFonts w:hint="eastAsia" w:ascii="Times New Roman" w:hAnsi="Times New Roman" w:eastAsia="宋体" w:cs="Times New Roman"/>
                      <w:sz w:val="18"/>
                      <w:szCs w:val="18"/>
                      <w:lang w:eastAsia="zh-CN"/>
                    </w:rPr>
                    <w:t>执行</w:t>
                  </w:r>
                  <w:r>
                    <w:rPr>
                      <w:rFonts w:ascii="Times New Roman" w:hAnsi="Times New Roman" w:eastAsia="宋体" w:cs="Times New Roman"/>
                      <w:sz w:val="18"/>
                      <w:szCs w:val="18"/>
                    </w:rPr>
                    <w:t>《工业企业厂界环境噪声排</w:t>
                  </w:r>
                  <w:r>
                    <w:rPr>
                      <w:sz w:val="18"/>
                      <w:szCs w:val="18"/>
                    </w:rPr>
                    <w:t>放标准》（GB12348-2008）</w:t>
                  </w:r>
                  <w:r>
                    <w:rPr>
                      <w:rFonts w:hint="eastAsia"/>
                      <w:sz w:val="18"/>
                      <w:szCs w:val="18"/>
                      <w:lang w:val="en-US" w:eastAsia="zh-CN"/>
                    </w:rPr>
                    <w:t>3</w:t>
                  </w:r>
                  <w:r>
                    <w:rPr>
                      <w:sz w:val="18"/>
                      <w:szCs w:val="18"/>
                    </w:rPr>
                    <w:t>类标准</w:t>
                  </w:r>
                  <w:r>
                    <w:rPr>
                      <w:rFonts w:hint="eastAsia"/>
                      <w:sz w:val="18"/>
                      <w:szCs w:val="18"/>
                      <w:lang w:eastAsia="zh-CN"/>
                    </w:rPr>
                    <w:t>；</w:t>
                  </w:r>
                </w:p>
              </w:tc>
            </w:tr>
          </w:tbl>
          <w:p w14:paraId="33F1E1AE">
            <w:pPr>
              <w:adjustRightInd w:val="0"/>
              <w:snapToGrid w:val="0"/>
              <w:spacing w:line="500" w:lineRule="exact"/>
              <w:ind w:firstLine="422" w:firstLineChars="200"/>
              <w:rPr>
                <w:b/>
                <w:bCs/>
                <w:szCs w:val="21"/>
              </w:rPr>
            </w:pPr>
            <w:r>
              <w:rPr>
                <w:rFonts w:hint="eastAsia"/>
                <w:b/>
                <w:bCs/>
                <w:szCs w:val="21"/>
              </w:rPr>
              <w:t>声环境影响评价结论：</w:t>
            </w:r>
          </w:p>
          <w:p w14:paraId="2E1EBACB">
            <w:pPr>
              <w:adjustRightInd w:val="0"/>
              <w:snapToGrid w:val="0"/>
              <w:spacing w:line="500" w:lineRule="exact"/>
              <w:ind w:firstLine="420" w:firstLineChars="200"/>
              <w:rPr>
                <w:bCs/>
                <w:szCs w:val="21"/>
              </w:rPr>
            </w:pPr>
            <w:r>
              <w:rPr>
                <w:rFonts w:hint="eastAsia"/>
                <w:bCs/>
                <w:szCs w:val="21"/>
              </w:rPr>
              <w:t>综上所述，在采取了降噪措施后，项目运行噪声对环境影响轻微，不会改变附近区域声环境质量。</w:t>
            </w:r>
          </w:p>
          <w:p w14:paraId="77D5EFB8">
            <w:pPr>
              <w:adjustRightInd w:val="0"/>
              <w:snapToGrid w:val="0"/>
              <w:spacing w:line="500" w:lineRule="exact"/>
              <w:rPr>
                <w:b/>
                <w:szCs w:val="21"/>
              </w:rPr>
            </w:pPr>
            <w:r>
              <w:rPr>
                <w:rFonts w:hint="eastAsia"/>
                <w:b/>
                <w:szCs w:val="21"/>
              </w:rPr>
              <w:t>四、固体废物</w:t>
            </w:r>
          </w:p>
          <w:p w14:paraId="0DCD9154">
            <w:pPr>
              <w:spacing w:line="500" w:lineRule="exact"/>
              <w:ind w:firstLine="420" w:firstLineChars="200"/>
            </w:pPr>
            <w:r>
              <w:t>（1）生活垃圾</w:t>
            </w:r>
          </w:p>
          <w:p w14:paraId="0E957A96">
            <w:pPr>
              <w:spacing w:line="500" w:lineRule="exact"/>
              <w:ind w:firstLine="420" w:firstLineChars="200"/>
            </w:pPr>
            <w:r>
              <w:t>本项目运营期生活垃圾产生量按每人每天0.</w:t>
            </w:r>
            <w:r>
              <w:rPr>
                <w:rFonts w:hint="eastAsia"/>
              </w:rPr>
              <w:t>5</w:t>
            </w:r>
            <w:r>
              <w:t>kg计，员工</w:t>
            </w:r>
            <w:r>
              <w:rPr>
                <w:rFonts w:hint="eastAsia"/>
                <w:lang w:val="en-US" w:eastAsia="zh-CN"/>
              </w:rPr>
              <w:t>30</w:t>
            </w:r>
            <w:r>
              <w:t>人，年工作日以</w:t>
            </w:r>
            <w:r>
              <w:rPr>
                <w:rFonts w:hint="eastAsia"/>
                <w:lang w:val="en-US" w:eastAsia="zh-CN"/>
              </w:rPr>
              <w:t>300</w:t>
            </w:r>
            <w:r>
              <w:t>d计算，年产生垃圾量为</w:t>
            </w:r>
            <w:r>
              <w:rPr>
                <w:rFonts w:hint="eastAsia"/>
                <w:lang w:val="en-US" w:eastAsia="zh-CN"/>
              </w:rPr>
              <w:t>4.5</w:t>
            </w:r>
            <w:r>
              <w:t>t/a，厂区收集后，统一交由环卫部门及时清理。</w:t>
            </w:r>
          </w:p>
          <w:p w14:paraId="78E4A400">
            <w:pPr>
              <w:spacing w:line="500" w:lineRule="exact"/>
              <w:ind w:firstLine="420" w:firstLineChars="200"/>
            </w:pPr>
            <w:r>
              <w:t>（2）一般生产固废</w:t>
            </w:r>
          </w:p>
          <w:p w14:paraId="247066BB">
            <w:pPr>
              <w:widowControl/>
              <w:spacing w:line="500" w:lineRule="exact"/>
              <w:ind w:firstLine="420" w:firstLineChars="200"/>
              <w:jc w:val="left"/>
              <w:rPr>
                <w:rFonts w:hint="eastAsia"/>
                <w:color w:val="auto"/>
              </w:rPr>
            </w:pPr>
            <w:r>
              <w:rPr>
                <w:color w:val="auto"/>
              </w:rPr>
              <w:t>①</w:t>
            </w:r>
            <w:r>
              <w:rPr>
                <w:rFonts w:hint="eastAsia"/>
                <w:color w:val="auto"/>
              </w:rPr>
              <w:t>未燃尽的生活垃圾</w:t>
            </w:r>
            <w:r>
              <w:rPr>
                <w:rFonts w:hint="eastAsia"/>
                <w:color w:val="auto"/>
                <w:lang w:eastAsia="zh-CN"/>
              </w:rPr>
              <w:t>：</w:t>
            </w:r>
            <w:r>
              <w:rPr>
                <w:rFonts w:hint="eastAsia"/>
                <w:color w:val="auto"/>
              </w:rPr>
              <w:t>未燃尽的生活垃圾产生量约为处理炉渣量的0.5%，项目处理炉渣量为</w:t>
            </w:r>
            <w:r>
              <w:rPr>
                <w:rFonts w:hint="eastAsia"/>
                <w:color w:val="auto"/>
                <w:lang w:val="en-US" w:eastAsia="zh-CN"/>
              </w:rPr>
              <w:t>30</w:t>
            </w:r>
            <w:r>
              <w:rPr>
                <w:rFonts w:hint="eastAsia"/>
                <w:color w:val="auto"/>
              </w:rPr>
              <w:t>万吨，则产生量为</w:t>
            </w:r>
            <w:r>
              <w:rPr>
                <w:rFonts w:hint="eastAsia"/>
                <w:color w:val="auto"/>
                <w:lang w:val="en-US" w:eastAsia="zh-CN"/>
              </w:rPr>
              <w:t>1500</w:t>
            </w:r>
            <w:r>
              <w:rPr>
                <w:rFonts w:hint="eastAsia"/>
                <w:color w:val="auto"/>
              </w:rPr>
              <w:t>吨。</w:t>
            </w:r>
          </w:p>
          <w:p w14:paraId="33587ED2">
            <w:pPr>
              <w:widowControl/>
              <w:spacing w:line="500" w:lineRule="exact"/>
              <w:ind w:firstLine="420" w:firstLineChars="200"/>
              <w:jc w:val="left"/>
              <w:rPr>
                <w:rFonts w:hint="default" w:eastAsia="宋体"/>
                <w:color w:val="auto"/>
                <w:lang w:val="en-US" w:eastAsia="zh-CN"/>
              </w:rPr>
            </w:pPr>
            <w:r>
              <w:rPr>
                <w:rFonts w:hint="eastAsia" w:ascii="宋体" w:hAnsi="宋体" w:eastAsia="宋体" w:cs="宋体"/>
                <w:color w:val="auto"/>
              </w:rPr>
              <w:t>②</w:t>
            </w:r>
            <w:r>
              <w:rPr>
                <w:rFonts w:hint="eastAsia" w:eastAsia="宋体"/>
                <w:color w:val="auto"/>
                <w:lang w:eastAsia="zh-CN"/>
              </w:rPr>
              <w:t>废金属料：主要为分选出的金属废料，年产生量约为炉渣处理量的1%，项目处理炉渣量为</w:t>
            </w:r>
            <w:r>
              <w:rPr>
                <w:rFonts w:hint="eastAsia"/>
                <w:color w:val="auto"/>
                <w:lang w:val="en-US" w:eastAsia="zh-CN"/>
              </w:rPr>
              <w:t>30</w:t>
            </w:r>
            <w:r>
              <w:rPr>
                <w:rFonts w:hint="eastAsia" w:eastAsia="宋体"/>
                <w:color w:val="auto"/>
                <w:lang w:eastAsia="zh-CN"/>
              </w:rPr>
              <w:t>万吨，产生量约</w:t>
            </w:r>
            <w:r>
              <w:rPr>
                <w:rFonts w:hint="eastAsia"/>
                <w:color w:val="auto"/>
                <w:lang w:val="en-US" w:eastAsia="zh-CN"/>
              </w:rPr>
              <w:t>30</w:t>
            </w:r>
            <w:r>
              <w:rPr>
                <w:rFonts w:hint="eastAsia" w:eastAsia="宋体"/>
                <w:color w:val="auto"/>
                <w:lang w:eastAsia="zh-CN"/>
              </w:rPr>
              <w:t>00t/a，分类收集后外售。</w:t>
            </w:r>
          </w:p>
          <w:p w14:paraId="5940A31B">
            <w:pPr>
              <w:widowControl/>
              <w:spacing w:line="500" w:lineRule="exact"/>
              <w:ind w:firstLine="420" w:firstLineChars="200"/>
              <w:jc w:val="left"/>
              <w:rPr>
                <w:rFonts w:hint="eastAsia" w:ascii="宋体" w:hAnsi="宋体" w:eastAsia="宋体" w:cs="宋体"/>
                <w:lang w:eastAsia="zh-CN"/>
              </w:rPr>
            </w:pPr>
            <w:r>
              <w:rPr>
                <w:rFonts w:hint="eastAsia" w:ascii="宋体" w:hAnsi="宋体" w:eastAsia="宋体" w:cs="宋体"/>
              </w:rPr>
              <w:t>③</w:t>
            </w:r>
            <w:r>
              <w:rPr>
                <w:rFonts w:hint="eastAsia" w:ascii="宋体" w:hAnsi="宋体" w:eastAsia="宋体" w:cs="宋体"/>
                <w:lang w:eastAsia="zh-CN"/>
              </w:rPr>
              <w:t>泥饼：</w:t>
            </w:r>
            <w:r>
              <w:rPr>
                <w:rFonts w:hint="default" w:ascii="Times New Roman" w:hAnsi="Times New Roman" w:eastAsia="宋体" w:cs="Times New Roman"/>
                <w:lang w:eastAsia="zh-CN"/>
              </w:rPr>
              <w:t>项目泥浆水池将产生泥浆，泥浆晒干后，经压滤机压滤后形成泥饼，根据企业提供资料，产生量约为3000t/a，泥饼送入炉渣库房，与炉渣一起外运。</w:t>
            </w:r>
          </w:p>
          <w:p w14:paraId="1E5E264E">
            <w:pPr>
              <w:widowControl/>
              <w:spacing w:line="500" w:lineRule="exact"/>
              <w:ind w:left="420"/>
              <w:jc w:val="left"/>
            </w:pPr>
            <w:r>
              <w:t>（3）危险废物</w:t>
            </w:r>
          </w:p>
          <w:p w14:paraId="240C6FAD">
            <w:pPr>
              <w:spacing w:line="500" w:lineRule="exact"/>
              <w:ind w:firstLine="420" w:firstLineChars="200"/>
              <w:rPr>
                <w:rFonts w:hint="default" w:ascii="Times New Roman" w:hAnsi="Times New Roman" w:eastAsia="宋体" w:cs="Times New Roman"/>
                <w:color w:val="auto"/>
                <w:lang w:eastAsia="zh-CN"/>
              </w:rPr>
            </w:pPr>
            <w:r>
              <w:rPr>
                <w:rFonts w:hint="eastAsia" w:ascii="宋体" w:hAnsi="宋体" w:eastAsia="宋体" w:cs="宋体"/>
                <w:color w:val="auto"/>
              </w:rPr>
              <w:t>①</w:t>
            </w:r>
            <w:r>
              <w:rPr>
                <w:rFonts w:hint="eastAsia" w:eastAsia="宋体"/>
                <w:color w:val="auto"/>
                <w:lang w:eastAsia="zh-CN"/>
              </w:rPr>
              <w:t>废润滑油：项目设备维修保养会产生废润滑油，产生量为</w:t>
            </w:r>
            <w:r>
              <w:rPr>
                <w:rFonts w:hint="eastAsia" w:eastAsia="宋体"/>
                <w:color w:val="auto"/>
                <w:lang w:val="en-US" w:eastAsia="zh-CN"/>
              </w:rPr>
              <w:t>1t/a，</w:t>
            </w:r>
            <w:r>
              <w:rPr>
                <w:rFonts w:hint="eastAsia" w:ascii="宋体" w:hAnsi="宋体" w:eastAsia="宋体" w:cs="宋体"/>
                <w:color w:val="auto"/>
                <w:lang w:eastAsia="zh-CN"/>
              </w:rPr>
              <w:t>收集后委托有资质单位处理。</w:t>
            </w:r>
          </w:p>
          <w:p w14:paraId="391A1362">
            <w:pPr>
              <w:spacing w:line="500" w:lineRule="exact"/>
              <w:ind w:firstLine="420" w:firstLineChars="200"/>
              <w:rPr>
                <w:rFonts w:hint="default" w:ascii="Times New Roman" w:hAnsi="Times New Roman" w:eastAsia="宋体" w:cs="Times New Roman"/>
                <w:color w:val="auto"/>
                <w:lang w:val="en-US" w:eastAsia="zh-CN"/>
              </w:rPr>
            </w:pPr>
            <w:r>
              <w:rPr>
                <w:rFonts w:hint="eastAsia" w:ascii="宋体" w:hAnsi="宋体" w:eastAsia="宋体" w:cs="宋体"/>
                <w:color w:val="auto"/>
              </w:rPr>
              <w:t>②</w:t>
            </w:r>
            <w:r>
              <w:rPr>
                <w:rFonts w:hint="default" w:ascii="Times New Roman" w:hAnsi="Times New Roman" w:cs="Times New Roman"/>
                <w:color w:val="auto"/>
                <w:lang w:eastAsia="zh-CN"/>
              </w:rPr>
              <w:t>废润滑油桶：项目设备维修保养会产生废润滑油桶，产生量为</w:t>
            </w:r>
            <w:r>
              <w:rPr>
                <w:rFonts w:hint="default" w:ascii="Times New Roman" w:hAnsi="Times New Roman" w:cs="Times New Roman"/>
                <w:color w:val="auto"/>
                <w:lang w:val="en-US" w:eastAsia="zh-CN"/>
              </w:rPr>
              <w:t>0.5t/a，收集后委托有资质单位处理。</w:t>
            </w:r>
          </w:p>
          <w:p w14:paraId="0740859F">
            <w:pPr>
              <w:spacing w:line="500" w:lineRule="exact"/>
              <w:ind w:firstLine="420" w:firstLineChars="200"/>
            </w:pPr>
            <w:r>
              <w:t>2、固体废物属性判定</w:t>
            </w:r>
          </w:p>
          <w:p w14:paraId="2B537D3A">
            <w:pPr>
              <w:spacing w:line="500" w:lineRule="exact"/>
              <w:ind w:firstLine="420" w:firstLineChars="200"/>
            </w:pPr>
            <w:r>
              <w:t>根据《中华人民共和国固体废物污染环境防治法</w:t>
            </w:r>
            <w:r>
              <w:rPr>
                <w:rFonts w:hint="eastAsia"/>
                <w:lang w:eastAsia="zh-CN"/>
              </w:rPr>
              <w:t>》《</w:t>
            </w:r>
            <w:r>
              <w:t>固体废物鉴别标准通则》（GB34330-2017）的规定，判断建设项目生产过程中产生的副产物是否属于固体废物，判定依据及结果见表 4-</w:t>
            </w:r>
            <w:r>
              <w:rPr>
                <w:rFonts w:hint="eastAsia"/>
                <w:lang w:val="en-US" w:eastAsia="zh-CN"/>
              </w:rPr>
              <w:t>29</w:t>
            </w:r>
            <w:r>
              <w:t>。</w:t>
            </w:r>
          </w:p>
          <w:p w14:paraId="18049DC5">
            <w:pPr>
              <w:widowControl/>
              <w:spacing w:line="360" w:lineRule="auto"/>
              <w:ind w:firstLine="422" w:firstLineChars="200"/>
              <w:jc w:val="center"/>
              <w:rPr>
                <w:b/>
                <w:bCs/>
              </w:rPr>
            </w:pPr>
            <w:r>
              <w:rPr>
                <w:b/>
                <w:bCs/>
              </w:rPr>
              <w:t>表 4-</w:t>
            </w:r>
            <w:r>
              <w:rPr>
                <w:rFonts w:hint="eastAsia"/>
                <w:b/>
                <w:bCs/>
                <w:lang w:val="en-US" w:eastAsia="zh-CN"/>
              </w:rPr>
              <w:t>29</w:t>
            </w:r>
            <w:r>
              <w:rPr>
                <w:b/>
                <w:bCs/>
              </w:rPr>
              <w:t xml:space="preserve"> 本项目固</w:t>
            </w:r>
            <w:r>
              <w:rPr>
                <w:rFonts w:hint="eastAsia"/>
                <w:b/>
                <w:bCs/>
                <w:lang w:eastAsia="zh-CN"/>
              </w:rPr>
              <w:t>体</w:t>
            </w:r>
            <w:r>
              <w:rPr>
                <w:b/>
                <w:bCs/>
              </w:rPr>
              <w:t>废物产生情况汇总表</w:t>
            </w:r>
          </w:p>
          <w:tbl>
            <w:tblPr>
              <w:tblStyle w:val="19"/>
              <w:tblW w:w="805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515"/>
              <w:gridCol w:w="1133"/>
              <w:gridCol w:w="645"/>
              <w:gridCol w:w="1012"/>
              <w:gridCol w:w="908"/>
              <w:gridCol w:w="750"/>
              <w:gridCol w:w="840"/>
              <w:gridCol w:w="797"/>
            </w:tblGrid>
            <w:tr w14:paraId="3A7032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56" w:type="dxa"/>
                  <w:vMerge w:val="restart"/>
                  <w:vAlign w:val="center"/>
                </w:tcPr>
                <w:p w14:paraId="3B8770D9">
                  <w:pPr>
                    <w:jc w:val="center"/>
                    <w:rPr>
                      <w:sz w:val="18"/>
                      <w:szCs w:val="18"/>
                    </w:rPr>
                  </w:pPr>
                  <w:r>
                    <w:rPr>
                      <w:sz w:val="18"/>
                      <w:szCs w:val="18"/>
                    </w:rPr>
                    <w:t>序号</w:t>
                  </w:r>
                </w:p>
              </w:tc>
              <w:tc>
                <w:tcPr>
                  <w:tcW w:w="1515" w:type="dxa"/>
                  <w:vMerge w:val="restart"/>
                  <w:vAlign w:val="center"/>
                </w:tcPr>
                <w:p w14:paraId="6E8F8ED1">
                  <w:pPr>
                    <w:jc w:val="center"/>
                    <w:rPr>
                      <w:sz w:val="18"/>
                      <w:szCs w:val="18"/>
                    </w:rPr>
                  </w:pPr>
                  <w:r>
                    <w:rPr>
                      <w:sz w:val="18"/>
                      <w:szCs w:val="18"/>
                    </w:rPr>
                    <w:t>名称</w:t>
                  </w:r>
                </w:p>
              </w:tc>
              <w:tc>
                <w:tcPr>
                  <w:tcW w:w="1133" w:type="dxa"/>
                  <w:vMerge w:val="restart"/>
                  <w:vAlign w:val="center"/>
                </w:tcPr>
                <w:p w14:paraId="4CA275D5">
                  <w:pPr>
                    <w:jc w:val="center"/>
                    <w:rPr>
                      <w:sz w:val="18"/>
                      <w:szCs w:val="18"/>
                    </w:rPr>
                  </w:pPr>
                  <w:r>
                    <w:rPr>
                      <w:sz w:val="18"/>
                      <w:szCs w:val="18"/>
                    </w:rPr>
                    <w:t>产生工序</w:t>
                  </w:r>
                </w:p>
              </w:tc>
              <w:tc>
                <w:tcPr>
                  <w:tcW w:w="645" w:type="dxa"/>
                  <w:vMerge w:val="restart"/>
                  <w:vAlign w:val="center"/>
                </w:tcPr>
                <w:p w14:paraId="11DB15FA">
                  <w:pPr>
                    <w:jc w:val="center"/>
                    <w:rPr>
                      <w:sz w:val="18"/>
                      <w:szCs w:val="18"/>
                    </w:rPr>
                  </w:pPr>
                  <w:r>
                    <w:rPr>
                      <w:sz w:val="18"/>
                      <w:szCs w:val="18"/>
                    </w:rPr>
                    <w:t>形态</w:t>
                  </w:r>
                </w:p>
              </w:tc>
              <w:tc>
                <w:tcPr>
                  <w:tcW w:w="1012" w:type="dxa"/>
                  <w:vMerge w:val="restart"/>
                  <w:vAlign w:val="center"/>
                </w:tcPr>
                <w:p w14:paraId="2C14DD73">
                  <w:pPr>
                    <w:jc w:val="center"/>
                    <w:rPr>
                      <w:sz w:val="18"/>
                      <w:szCs w:val="18"/>
                    </w:rPr>
                  </w:pPr>
                  <w:r>
                    <w:rPr>
                      <w:sz w:val="18"/>
                      <w:szCs w:val="18"/>
                    </w:rPr>
                    <w:t>主要成分</w:t>
                  </w:r>
                </w:p>
              </w:tc>
              <w:tc>
                <w:tcPr>
                  <w:tcW w:w="908" w:type="dxa"/>
                  <w:vMerge w:val="restart"/>
                  <w:vAlign w:val="center"/>
                </w:tcPr>
                <w:p w14:paraId="39B6211F">
                  <w:pPr>
                    <w:jc w:val="center"/>
                    <w:rPr>
                      <w:sz w:val="18"/>
                      <w:szCs w:val="18"/>
                    </w:rPr>
                  </w:pPr>
                  <w:r>
                    <w:rPr>
                      <w:sz w:val="18"/>
                      <w:szCs w:val="18"/>
                    </w:rPr>
                    <w:t>预测产生量（t/a）</w:t>
                  </w:r>
                </w:p>
              </w:tc>
              <w:tc>
                <w:tcPr>
                  <w:tcW w:w="2387" w:type="dxa"/>
                  <w:gridSpan w:val="3"/>
                  <w:vAlign w:val="center"/>
                </w:tcPr>
                <w:p w14:paraId="5E2B2769">
                  <w:pPr>
                    <w:jc w:val="center"/>
                    <w:rPr>
                      <w:sz w:val="18"/>
                      <w:szCs w:val="18"/>
                    </w:rPr>
                  </w:pPr>
                  <w:r>
                    <w:rPr>
                      <w:sz w:val="18"/>
                      <w:szCs w:val="18"/>
                    </w:rPr>
                    <w:t>种类判断</w:t>
                  </w:r>
                </w:p>
              </w:tc>
            </w:tr>
            <w:tr w14:paraId="6EC98B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56" w:type="dxa"/>
                  <w:vMerge w:val="continue"/>
                  <w:vAlign w:val="center"/>
                </w:tcPr>
                <w:p w14:paraId="7F644292">
                  <w:pPr>
                    <w:jc w:val="center"/>
                  </w:pPr>
                </w:p>
              </w:tc>
              <w:tc>
                <w:tcPr>
                  <w:tcW w:w="1515" w:type="dxa"/>
                  <w:vMerge w:val="continue"/>
                  <w:vAlign w:val="center"/>
                </w:tcPr>
                <w:p w14:paraId="11629EEA">
                  <w:pPr>
                    <w:jc w:val="center"/>
                  </w:pPr>
                </w:p>
              </w:tc>
              <w:tc>
                <w:tcPr>
                  <w:tcW w:w="1133" w:type="dxa"/>
                  <w:vMerge w:val="continue"/>
                  <w:vAlign w:val="center"/>
                </w:tcPr>
                <w:p w14:paraId="5A978804">
                  <w:pPr>
                    <w:jc w:val="center"/>
                  </w:pPr>
                </w:p>
              </w:tc>
              <w:tc>
                <w:tcPr>
                  <w:tcW w:w="645" w:type="dxa"/>
                  <w:vMerge w:val="continue"/>
                  <w:vAlign w:val="center"/>
                </w:tcPr>
                <w:p w14:paraId="45BC4F4A">
                  <w:pPr>
                    <w:jc w:val="center"/>
                  </w:pPr>
                </w:p>
              </w:tc>
              <w:tc>
                <w:tcPr>
                  <w:tcW w:w="1012" w:type="dxa"/>
                  <w:vMerge w:val="continue"/>
                  <w:vAlign w:val="center"/>
                </w:tcPr>
                <w:p w14:paraId="7DC64417">
                  <w:pPr>
                    <w:jc w:val="center"/>
                  </w:pPr>
                </w:p>
              </w:tc>
              <w:tc>
                <w:tcPr>
                  <w:tcW w:w="908" w:type="dxa"/>
                  <w:vMerge w:val="continue"/>
                  <w:vAlign w:val="center"/>
                </w:tcPr>
                <w:p w14:paraId="0A0071E3">
                  <w:pPr>
                    <w:jc w:val="center"/>
                  </w:pPr>
                </w:p>
              </w:tc>
              <w:tc>
                <w:tcPr>
                  <w:tcW w:w="750" w:type="dxa"/>
                  <w:vAlign w:val="center"/>
                </w:tcPr>
                <w:p w14:paraId="0AF1369C">
                  <w:pPr>
                    <w:jc w:val="center"/>
                  </w:pPr>
                  <w:r>
                    <w:rPr>
                      <w:sz w:val="18"/>
                      <w:szCs w:val="18"/>
                    </w:rPr>
                    <w:t>固体废物</w:t>
                  </w:r>
                </w:p>
              </w:tc>
              <w:tc>
                <w:tcPr>
                  <w:tcW w:w="840" w:type="dxa"/>
                  <w:vAlign w:val="center"/>
                </w:tcPr>
                <w:p w14:paraId="5E746D4C">
                  <w:pPr>
                    <w:jc w:val="center"/>
                  </w:pPr>
                  <w:r>
                    <w:rPr>
                      <w:sz w:val="18"/>
                      <w:szCs w:val="18"/>
                    </w:rPr>
                    <w:t>副产品</w:t>
                  </w:r>
                </w:p>
              </w:tc>
              <w:tc>
                <w:tcPr>
                  <w:tcW w:w="797" w:type="dxa"/>
                  <w:vAlign w:val="center"/>
                </w:tcPr>
                <w:p w14:paraId="184103C7">
                  <w:pPr>
                    <w:jc w:val="center"/>
                  </w:pPr>
                  <w:r>
                    <w:rPr>
                      <w:sz w:val="18"/>
                      <w:szCs w:val="18"/>
                    </w:rPr>
                    <w:t>判定依据</w:t>
                  </w:r>
                </w:p>
              </w:tc>
            </w:tr>
            <w:tr w14:paraId="292B5E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57BC50B">
                  <w:pPr>
                    <w:jc w:val="center"/>
                    <w:rPr>
                      <w:sz w:val="18"/>
                      <w:szCs w:val="18"/>
                    </w:rPr>
                  </w:pPr>
                  <w:r>
                    <w:rPr>
                      <w:sz w:val="18"/>
                      <w:szCs w:val="18"/>
                    </w:rPr>
                    <w:t>1</w:t>
                  </w:r>
                </w:p>
              </w:tc>
              <w:tc>
                <w:tcPr>
                  <w:tcW w:w="1515" w:type="dxa"/>
                  <w:vAlign w:val="center"/>
                </w:tcPr>
                <w:p w14:paraId="584B8720">
                  <w:pPr>
                    <w:jc w:val="center"/>
                    <w:rPr>
                      <w:sz w:val="18"/>
                      <w:szCs w:val="18"/>
                    </w:rPr>
                  </w:pPr>
                  <w:r>
                    <w:rPr>
                      <w:rFonts w:hint="eastAsia"/>
                      <w:sz w:val="18"/>
                      <w:szCs w:val="18"/>
                    </w:rPr>
                    <w:t>未燃尽的生活垃圾</w:t>
                  </w:r>
                </w:p>
              </w:tc>
              <w:tc>
                <w:tcPr>
                  <w:tcW w:w="1133" w:type="dxa"/>
                  <w:vAlign w:val="center"/>
                </w:tcPr>
                <w:p w14:paraId="7FBB66BB">
                  <w:pPr>
                    <w:jc w:val="both"/>
                    <w:rPr>
                      <w:rFonts w:hint="eastAsia" w:eastAsia="宋体"/>
                      <w:sz w:val="18"/>
                      <w:szCs w:val="18"/>
                      <w:lang w:eastAsia="zh-CN"/>
                    </w:rPr>
                  </w:pPr>
                  <w:r>
                    <w:rPr>
                      <w:rFonts w:hint="eastAsia"/>
                      <w:sz w:val="18"/>
                      <w:szCs w:val="18"/>
                      <w:lang w:eastAsia="zh-CN"/>
                    </w:rPr>
                    <w:t>转载车入料斗</w:t>
                  </w:r>
                </w:p>
              </w:tc>
              <w:tc>
                <w:tcPr>
                  <w:tcW w:w="645" w:type="dxa"/>
                  <w:vAlign w:val="center"/>
                </w:tcPr>
                <w:p w14:paraId="5105E3F2">
                  <w:pPr>
                    <w:jc w:val="center"/>
                    <w:rPr>
                      <w:sz w:val="18"/>
                      <w:szCs w:val="18"/>
                    </w:rPr>
                  </w:pPr>
                  <w:r>
                    <w:rPr>
                      <w:sz w:val="18"/>
                      <w:szCs w:val="18"/>
                    </w:rPr>
                    <w:t>固态</w:t>
                  </w:r>
                </w:p>
              </w:tc>
              <w:tc>
                <w:tcPr>
                  <w:tcW w:w="1012" w:type="dxa"/>
                  <w:vAlign w:val="center"/>
                </w:tcPr>
                <w:p w14:paraId="17B880A5">
                  <w:pPr>
                    <w:jc w:val="center"/>
                    <w:rPr>
                      <w:rFonts w:hint="default" w:eastAsia="宋体"/>
                      <w:sz w:val="18"/>
                      <w:szCs w:val="18"/>
                      <w:lang w:val="en-US" w:eastAsia="zh-CN"/>
                    </w:rPr>
                  </w:pPr>
                  <w:r>
                    <w:rPr>
                      <w:rFonts w:hint="eastAsia"/>
                      <w:sz w:val="18"/>
                      <w:szCs w:val="18"/>
                      <w:lang w:val="en-US" w:eastAsia="zh-CN"/>
                    </w:rPr>
                    <w:t>垃圾</w:t>
                  </w:r>
                </w:p>
              </w:tc>
              <w:tc>
                <w:tcPr>
                  <w:tcW w:w="908" w:type="dxa"/>
                  <w:vAlign w:val="center"/>
                </w:tcPr>
                <w:p w14:paraId="277103E1">
                  <w:pPr>
                    <w:jc w:val="center"/>
                    <w:rPr>
                      <w:rFonts w:hint="default" w:eastAsia="宋体"/>
                      <w:sz w:val="18"/>
                      <w:szCs w:val="18"/>
                      <w:lang w:val="en-US" w:eastAsia="zh-CN"/>
                    </w:rPr>
                  </w:pPr>
                  <w:r>
                    <w:rPr>
                      <w:rFonts w:hint="eastAsia"/>
                      <w:sz w:val="18"/>
                      <w:szCs w:val="18"/>
                      <w:lang w:val="en-US" w:eastAsia="zh-CN"/>
                    </w:rPr>
                    <w:t>1500</w:t>
                  </w:r>
                </w:p>
              </w:tc>
              <w:tc>
                <w:tcPr>
                  <w:tcW w:w="750" w:type="dxa"/>
                  <w:vAlign w:val="center"/>
                </w:tcPr>
                <w:p w14:paraId="5F7F0B3D">
                  <w:pPr>
                    <w:jc w:val="center"/>
                    <w:rPr>
                      <w:sz w:val="18"/>
                      <w:szCs w:val="18"/>
                    </w:rPr>
                  </w:pPr>
                  <w:r>
                    <w:rPr>
                      <w:sz w:val="18"/>
                      <w:szCs w:val="18"/>
                    </w:rPr>
                    <w:t>√</w:t>
                  </w:r>
                </w:p>
              </w:tc>
              <w:tc>
                <w:tcPr>
                  <w:tcW w:w="840" w:type="dxa"/>
                  <w:vAlign w:val="center"/>
                </w:tcPr>
                <w:p w14:paraId="4D5C9D66">
                  <w:pPr>
                    <w:jc w:val="center"/>
                    <w:rPr>
                      <w:sz w:val="18"/>
                      <w:szCs w:val="18"/>
                    </w:rPr>
                  </w:pPr>
                  <w:r>
                    <w:rPr>
                      <w:sz w:val="18"/>
                      <w:szCs w:val="18"/>
                    </w:rPr>
                    <w:t>/</w:t>
                  </w:r>
                </w:p>
              </w:tc>
              <w:tc>
                <w:tcPr>
                  <w:tcW w:w="797" w:type="dxa"/>
                  <w:vMerge w:val="restart"/>
                  <w:vAlign w:val="center"/>
                </w:tcPr>
                <w:p w14:paraId="1F3781E7">
                  <w:pPr>
                    <w:jc w:val="center"/>
                    <w:rPr>
                      <w:sz w:val="18"/>
                      <w:szCs w:val="18"/>
                    </w:rPr>
                  </w:pPr>
                  <w:r>
                    <w:rPr>
                      <w:rFonts w:hint="eastAsia"/>
                      <w:sz w:val="18"/>
                      <w:szCs w:val="18"/>
                    </w:rPr>
                    <w:t>《固体废物鉴别标准 通则》（GB34330-2017）</w:t>
                  </w:r>
                </w:p>
              </w:tc>
            </w:tr>
            <w:tr w14:paraId="0D2BC1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56" w:type="dxa"/>
                  <w:vAlign w:val="center"/>
                </w:tcPr>
                <w:p w14:paraId="5E7E5ADD">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2</w:t>
                  </w:r>
                </w:p>
              </w:tc>
              <w:tc>
                <w:tcPr>
                  <w:tcW w:w="1515" w:type="dxa"/>
                  <w:vAlign w:val="center"/>
                </w:tcPr>
                <w:p w14:paraId="0B42EC53">
                  <w:pPr>
                    <w:jc w:val="center"/>
                    <w:rPr>
                      <w:rFonts w:hint="eastAsia" w:eastAsia="宋体"/>
                      <w:color w:val="auto"/>
                      <w:sz w:val="18"/>
                      <w:szCs w:val="18"/>
                      <w:lang w:eastAsia="zh-CN"/>
                    </w:rPr>
                  </w:pPr>
                  <w:r>
                    <w:rPr>
                      <w:rFonts w:hint="eastAsia"/>
                      <w:color w:val="auto"/>
                      <w:sz w:val="18"/>
                      <w:szCs w:val="18"/>
                      <w:lang w:eastAsia="zh-CN"/>
                    </w:rPr>
                    <w:t>废金属料</w:t>
                  </w:r>
                </w:p>
              </w:tc>
              <w:tc>
                <w:tcPr>
                  <w:tcW w:w="1133" w:type="dxa"/>
                  <w:vAlign w:val="center"/>
                </w:tcPr>
                <w:p w14:paraId="697E75F9">
                  <w:pPr>
                    <w:jc w:val="center"/>
                    <w:rPr>
                      <w:rFonts w:hint="eastAsia"/>
                      <w:color w:val="auto"/>
                      <w:sz w:val="18"/>
                      <w:szCs w:val="18"/>
                      <w:lang w:eastAsia="zh-CN"/>
                    </w:rPr>
                  </w:pPr>
                  <w:r>
                    <w:rPr>
                      <w:rFonts w:hint="eastAsia"/>
                      <w:color w:val="auto"/>
                      <w:sz w:val="18"/>
                      <w:szCs w:val="18"/>
                      <w:lang w:eastAsia="zh-CN"/>
                    </w:rPr>
                    <w:t>磁选、精选、摇床等</w:t>
                  </w:r>
                </w:p>
              </w:tc>
              <w:tc>
                <w:tcPr>
                  <w:tcW w:w="645" w:type="dxa"/>
                  <w:vAlign w:val="center"/>
                </w:tcPr>
                <w:p w14:paraId="02E111C8">
                  <w:pPr>
                    <w:jc w:val="center"/>
                    <w:rPr>
                      <w:color w:val="auto"/>
                      <w:sz w:val="18"/>
                      <w:szCs w:val="18"/>
                    </w:rPr>
                  </w:pPr>
                  <w:r>
                    <w:rPr>
                      <w:color w:val="auto"/>
                      <w:sz w:val="18"/>
                      <w:szCs w:val="18"/>
                    </w:rPr>
                    <w:t>固态</w:t>
                  </w:r>
                </w:p>
              </w:tc>
              <w:tc>
                <w:tcPr>
                  <w:tcW w:w="1012" w:type="dxa"/>
                  <w:vAlign w:val="center"/>
                </w:tcPr>
                <w:p w14:paraId="55980563">
                  <w:pPr>
                    <w:jc w:val="center"/>
                    <w:rPr>
                      <w:rFonts w:hint="eastAsia"/>
                      <w:color w:val="auto"/>
                      <w:sz w:val="18"/>
                      <w:szCs w:val="18"/>
                      <w:lang w:val="en-US" w:eastAsia="zh-CN"/>
                    </w:rPr>
                  </w:pPr>
                  <w:r>
                    <w:rPr>
                      <w:rFonts w:hint="eastAsia"/>
                      <w:color w:val="auto"/>
                      <w:sz w:val="18"/>
                      <w:szCs w:val="18"/>
                      <w:lang w:val="en-US" w:eastAsia="zh-CN"/>
                    </w:rPr>
                    <w:t>金属</w:t>
                  </w:r>
                </w:p>
              </w:tc>
              <w:tc>
                <w:tcPr>
                  <w:tcW w:w="908" w:type="dxa"/>
                  <w:vAlign w:val="center"/>
                </w:tcPr>
                <w:p w14:paraId="3F3CB625">
                  <w:pPr>
                    <w:jc w:val="center"/>
                    <w:rPr>
                      <w:rFonts w:hint="default"/>
                      <w:color w:val="auto"/>
                      <w:sz w:val="18"/>
                      <w:szCs w:val="18"/>
                      <w:lang w:val="en-US" w:eastAsia="zh-CN"/>
                    </w:rPr>
                  </w:pPr>
                  <w:r>
                    <w:rPr>
                      <w:rFonts w:hint="eastAsia"/>
                      <w:color w:val="auto"/>
                      <w:sz w:val="18"/>
                      <w:szCs w:val="18"/>
                      <w:lang w:val="en-US" w:eastAsia="zh-CN"/>
                    </w:rPr>
                    <w:t>3000</w:t>
                  </w:r>
                </w:p>
              </w:tc>
              <w:tc>
                <w:tcPr>
                  <w:tcW w:w="750" w:type="dxa"/>
                  <w:vAlign w:val="center"/>
                </w:tcPr>
                <w:p w14:paraId="32DE4110">
                  <w:pPr>
                    <w:jc w:val="center"/>
                    <w:rPr>
                      <w:color w:val="auto"/>
                      <w:sz w:val="18"/>
                      <w:szCs w:val="18"/>
                    </w:rPr>
                  </w:pPr>
                  <w:r>
                    <w:rPr>
                      <w:color w:val="auto"/>
                      <w:sz w:val="18"/>
                      <w:szCs w:val="18"/>
                    </w:rPr>
                    <w:t>√</w:t>
                  </w:r>
                </w:p>
              </w:tc>
              <w:tc>
                <w:tcPr>
                  <w:tcW w:w="840" w:type="dxa"/>
                  <w:vAlign w:val="center"/>
                </w:tcPr>
                <w:p w14:paraId="1886256C">
                  <w:pPr>
                    <w:jc w:val="center"/>
                    <w:rPr>
                      <w:color w:val="auto"/>
                      <w:sz w:val="18"/>
                      <w:szCs w:val="18"/>
                    </w:rPr>
                  </w:pPr>
                  <w:r>
                    <w:rPr>
                      <w:color w:val="auto"/>
                      <w:sz w:val="18"/>
                      <w:szCs w:val="18"/>
                    </w:rPr>
                    <w:t>/</w:t>
                  </w:r>
                </w:p>
              </w:tc>
              <w:tc>
                <w:tcPr>
                  <w:tcW w:w="797" w:type="dxa"/>
                  <w:vMerge w:val="continue"/>
                  <w:vAlign w:val="center"/>
                </w:tcPr>
                <w:p w14:paraId="662703C9">
                  <w:pPr>
                    <w:jc w:val="center"/>
                    <w:rPr>
                      <w:rFonts w:hint="eastAsia"/>
                      <w:sz w:val="18"/>
                      <w:szCs w:val="18"/>
                    </w:rPr>
                  </w:pPr>
                </w:p>
              </w:tc>
            </w:tr>
            <w:tr w14:paraId="59B12C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AAFBFA4">
                  <w:pPr>
                    <w:jc w:val="center"/>
                    <w:rPr>
                      <w:rFonts w:hint="default"/>
                      <w:sz w:val="18"/>
                      <w:szCs w:val="18"/>
                      <w:lang w:val="en-US" w:eastAsia="zh-CN"/>
                    </w:rPr>
                  </w:pPr>
                  <w:r>
                    <w:rPr>
                      <w:rFonts w:hint="eastAsia"/>
                      <w:sz w:val="18"/>
                      <w:szCs w:val="18"/>
                      <w:lang w:val="en-US" w:eastAsia="zh-CN"/>
                    </w:rPr>
                    <w:t>3</w:t>
                  </w:r>
                </w:p>
              </w:tc>
              <w:tc>
                <w:tcPr>
                  <w:tcW w:w="1515" w:type="dxa"/>
                  <w:vAlign w:val="center"/>
                </w:tcPr>
                <w:p w14:paraId="42267D92">
                  <w:pPr>
                    <w:jc w:val="center"/>
                    <w:rPr>
                      <w:rFonts w:hint="eastAsia"/>
                      <w:color w:val="auto"/>
                      <w:sz w:val="18"/>
                      <w:szCs w:val="18"/>
                      <w:lang w:eastAsia="zh-CN"/>
                    </w:rPr>
                  </w:pPr>
                  <w:r>
                    <w:rPr>
                      <w:rFonts w:hint="eastAsia"/>
                      <w:color w:val="auto"/>
                      <w:sz w:val="18"/>
                      <w:szCs w:val="18"/>
                      <w:lang w:eastAsia="zh-CN"/>
                    </w:rPr>
                    <w:t>泥饼</w:t>
                  </w:r>
                </w:p>
              </w:tc>
              <w:tc>
                <w:tcPr>
                  <w:tcW w:w="1133" w:type="dxa"/>
                  <w:vAlign w:val="center"/>
                </w:tcPr>
                <w:p w14:paraId="7B8CE7F7">
                  <w:pPr>
                    <w:jc w:val="center"/>
                    <w:rPr>
                      <w:rFonts w:hint="eastAsia"/>
                      <w:color w:val="auto"/>
                      <w:sz w:val="18"/>
                      <w:szCs w:val="18"/>
                      <w:lang w:eastAsia="zh-CN"/>
                    </w:rPr>
                  </w:pPr>
                  <w:r>
                    <w:rPr>
                      <w:rFonts w:hint="eastAsia"/>
                      <w:color w:val="auto"/>
                      <w:sz w:val="18"/>
                      <w:szCs w:val="18"/>
                      <w:lang w:eastAsia="zh-CN"/>
                    </w:rPr>
                    <w:t>泥浆晒干</w:t>
                  </w:r>
                </w:p>
              </w:tc>
              <w:tc>
                <w:tcPr>
                  <w:tcW w:w="645" w:type="dxa"/>
                  <w:vAlign w:val="center"/>
                </w:tcPr>
                <w:p w14:paraId="22B3C7A7">
                  <w:pPr>
                    <w:jc w:val="center"/>
                    <w:rPr>
                      <w:rFonts w:hint="eastAsia" w:eastAsia="宋体"/>
                      <w:color w:val="auto"/>
                      <w:sz w:val="18"/>
                      <w:szCs w:val="18"/>
                      <w:lang w:eastAsia="zh-CN"/>
                    </w:rPr>
                  </w:pPr>
                  <w:r>
                    <w:rPr>
                      <w:rFonts w:hint="eastAsia"/>
                      <w:color w:val="auto"/>
                      <w:sz w:val="18"/>
                      <w:szCs w:val="18"/>
                      <w:lang w:eastAsia="zh-CN"/>
                    </w:rPr>
                    <w:t>固态</w:t>
                  </w:r>
                </w:p>
              </w:tc>
              <w:tc>
                <w:tcPr>
                  <w:tcW w:w="1012" w:type="dxa"/>
                  <w:vAlign w:val="center"/>
                </w:tcPr>
                <w:p w14:paraId="48C1DA5A">
                  <w:pPr>
                    <w:jc w:val="center"/>
                    <w:rPr>
                      <w:rFonts w:hint="eastAsia"/>
                      <w:color w:val="auto"/>
                      <w:sz w:val="18"/>
                      <w:szCs w:val="18"/>
                      <w:lang w:val="en-US" w:eastAsia="zh-CN"/>
                    </w:rPr>
                  </w:pPr>
                  <w:r>
                    <w:rPr>
                      <w:rFonts w:hint="eastAsia"/>
                      <w:color w:val="auto"/>
                      <w:sz w:val="18"/>
                      <w:szCs w:val="18"/>
                      <w:lang w:val="en-US" w:eastAsia="zh-CN"/>
                    </w:rPr>
                    <w:t>沉渣</w:t>
                  </w:r>
                </w:p>
              </w:tc>
              <w:tc>
                <w:tcPr>
                  <w:tcW w:w="908" w:type="dxa"/>
                  <w:vAlign w:val="center"/>
                </w:tcPr>
                <w:p w14:paraId="6301C266">
                  <w:pPr>
                    <w:jc w:val="center"/>
                    <w:rPr>
                      <w:rFonts w:hint="default"/>
                      <w:color w:val="auto"/>
                      <w:sz w:val="18"/>
                      <w:szCs w:val="18"/>
                      <w:lang w:val="en-US" w:eastAsia="zh-CN"/>
                    </w:rPr>
                  </w:pPr>
                  <w:r>
                    <w:rPr>
                      <w:rFonts w:hint="eastAsia"/>
                      <w:color w:val="auto"/>
                      <w:sz w:val="18"/>
                      <w:szCs w:val="18"/>
                      <w:lang w:val="en-US" w:eastAsia="zh-CN"/>
                    </w:rPr>
                    <w:t>3000</w:t>
                  </w:r>
                </w:p>
              </w:tc>
              <w:tc>
                <w:tcPr>
                  <w:tcW w:w="750" w:type="dxa"/>
                  <w:vAlign w:val="center"/>
                </w:tcPr>
                <w:p w14:paraId="4C34482D">
                  <w:pPr>
                    <w:jc w:val="center"/>
                    <w:rPr>
                      <w:color w:val="auto"/>
                      <w:sz w:val="18"/>
                      <w:szCs w:val="18"/>
                    </w:rPr>
                  </w:pPr>
                  <w:r>
                    <w:rPr>
                      <w:sz w:val="18"/>
                      <w:szCs w:val="18"/>
                    </w:rPr>
                    <w:t>√</w:t>
                  </w:r>
                </w:p>
              </w:tc>
              <w:tc>
                <w:tcPr>
                  <w:tcW w:w="840" w:type="dxa"/>
                  <w:vAlign w:val="center"/>
                </w:tcPr>
                <w:p w14:paraId="0572AD0E">
                  <w:pPr>
                    <w:jc w:val="center"/>
                    <w:rPr>
                      <w:color w:val="auto"/>
                      <w:sz w:val="18"/>
                      <w:szCs w:val="18"/>
                    </w:rPr>
                  </w:pPr>
                  <w:r>
                    <w:rPr>
                      <w:sz w:val="18"/>
                      <w:szCs w:val="18"/>
                    </w:rPr>
                    <w:t>/</w:t>
                  </w:r>
                </w:p>
              </w:tc>
              <w:tc>
                <w:tcPr>
                  <w:tcW w:w="797" w:type="dxa"/>
                  <w:vMerge w:val="continue"/>
                  <w:vAlign w:val="center"/>
                </w:tcPr>
                <w:p w14:paraId="430FC532">
                  <w:pPr>
                    <w:jc w:val="center"/>
                    <w:rPr>
                      <w:rFonts w:hint="eastAsia"/>
                      <w:sz w:val="18"/>
                      <w:szCs w:val="18"/>
                    </w:rPr>
                  </w:pPr>
                </w:p>
              </w:tc>
            </w:tr>
            <w:tr w14:paraId="207F69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456" w:type="dxa"/>
                  <w:vAlign w:val="center"/>
                </w:tcPr>
                <w:p w14:paraId="7BEAFA9C">
                  <w:pPr>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4</w:t>
                  </w:r>
                </w:p>
              </w:tc>
              <w:tc>
                <w:tcPr>
                  <w:tcW w:w="1515" w:type="dxa"/>
                  <w:vAlign w:val="center"/>
                </w:tcPr>
                <w:p w14:paraId="5BF42244">
                  <w:pPr>
                    <w:jc w:val="center"/>
                    <w:rPr>
                      <w:rFonts w:hint="eastAsia"/>
                      <w:color w:val="auto"/>
                      <w:sz w:val="18"/>
                      <w:szCs w:val="18"/>
                      <w:lang w:eastAsia="zh-CN"/>
                    </w:rPr>
                  </w:pPr>
                  <w:r>
                    <w:rPr>
                      <w:rFonts w:hint="eastAsia"/>
                      <w:color w:val="auto"/>
                      <w:sz w:val="18"/>
                      <w:szCs w:val="18"/>
                      <w:lang w:eastAsia="zh-CN"/>
                    </w:rPr>
                    <w:t>废润滑油</w:t>
                  </w:r>
                </w:p>
              </w:tc>
              <w:tc>
                <w:tcPr>
                  <w:tcW w:w="1133" w:type="dxa"/>
                  <w:vAlign w:val="center"/>
                </w:tcPr>
                <w:p w14:paraId="5BC6C198">
                  <w:pPr>
                    <w:pStyle w:val="27"/>
                    <w:ind w:firstLine="0" w:firstLineChars="0"/>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设备保养</w:t>
                  </w:r>
                </w:p>
              </w:tc>
              <w:tc>
                <w:tcPr>
                  <w:tcW w:w="645" w:type="dxa"/>
                  <w:vAlign w:val="center"/>
                </w:tcPr>
                <w:p w14:paraId="14F1E9F8">
                  <w:pPr>
                    <w:pStyle w:val="27"/>
                    <w:ind w:firstLine="0" w:firstLineChars="0"/>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液态</w:t>
                  </w:r>
                </w:p>
              </w:tc>
              <w:tc>
                <w:tcPr>
                  <w:tcW w:w="1012" w:type="dxa"/>
                  <w:vAlign w:val="center"/>
                </w:tcPr>
                <w:p w14:paraId="6695263A">
                  <w:pPr>
                    <w:jc w:val="center"/>
                    <w:rPr>
                      <w:rFonts w:hint="eastAsia"/>
                      <w:color w:val="auto"/>
                      <w:sz w:val="18"/>
                      <w:szCs w:val="18"/>
                      <w:lang w:eastAsia="zh-CN"/>
                    </w:rPr>
                  </w:pPr>
                  <w:r>
                    <w:rPr>
                      <w:rFonts w:hint="eastAsia"/>
                      <w:color w:val="auto"/>
                      <w:sz w:val="18"/>
                      <w:szCs w:val="18"/>
                      <w:lang w:eastAsia="zh-CN"/>
                    </w:rPr>
                    <w:t>矿物油</w:t>
                  </w:r>
                </w:p>
              </w:tc>
              <w:tc>
                <w:tcPr>
                  <w:tcW w:w="908" w:type="dxa"/>
                  <w:vAlign w:val="center"/>
                </w:tcPr>
                <w:p w14:paraId="5DA5DA5D">
                  <w:pPr>
                    <w:jc w:val="center"/>
                    <w:rPr>
                      <w:rFonts w:hint="default"/>
                      <w:color w:val="auto"/>
                      <w:sz w:val="18"/>
                      <w:szCs w:val="18"/>
                      <w:lang w:val="en-US" w:eastAsia="zh-CN"/>
                    </w:rPr>
                  </w:pPr>
                  <w:r>
                    <w:rPr>
                      <w:rFonts w:hint="eastAsia"/>
                      <w:color w:val="auto"/>
                      <w:sz w:val="18"/>
                      <w:szCs w:val="18"/>
                      <w:lang w:val="en-US" w:eastAsia="zh-CN"/>
                    </w:rPr>
                    <w:t>1</w:t>
                  </w:r>
                </w:p>
              </w:tc>
              <w:tc>
                <w:tcPr>
                  <w:tcW w:w="750" w:type="dxa"/>
                  <w:vAlign w:val="center"/>
                </w:tcPr>
                <w:p w14:paraId="40530824">
                  <w:pPr>
                    <w:jc w:val="center"/>
                    <w:rPr>
                      <w:color w:val="auto"/>
                      <w:sz w:val="18"/>
                      <w:szCs w:val="18"/>
                    </w:rPr>
                  </w:pPr>
                  <w:r>
                    <w:rPr>
                      <w:color w:val="auto"/>
                      <w:sz w:val="18"/>
                      <w:szCs w:val="18"/>
                    </w:rPr>
                    <w:t>√</w:t>
                  </w:r>
                </w:p>
              </w:tc>
              <w:tc>
                <w:tcPr>
                  <w:tcW w:w="840" w:type="dxa"/>
                  <w:vAlign w:val="center"/>
                </w:tcPr>
                <w:p w14:paraId="03427DCB">
                  <w:pPr>
                    <w:jc w:val="center"/>
                    <w:rPr>
                      <w:color w:val="auto"/>
                      <w:sz w:val="18"/>
                      <w:szCs w:val="18"/>
                    </w:rPr>
                  </w:pPr>
                  <w:r>
                    <w:rPr>
                      <w:color w:val="auto"/>
                      <w:sz w:val="18"/>
                      <w:szCs w:val="18"/>
                    </w:rPr>
                    <w:t>/</w:t>
                  </w:r>
                </w:p>
              </w:tc>
              <w:tc>
                <w:tcPr>
                  <w:tcW w:w="797" w:type="dxa"/>
                  <w:vMerge w:val="continue"/>
                  <w:vAlign w:val="center"/>
                </w:tcPr>
                <w:p w14:paraId="3F6C7F9F">
                  <w:pPr>
                    <w:jc w:val="center"/>
                    <w:rPr>
                      <w:sz w:val="18"/>
                      <w:szCs w:val="18"/>
                    </w:rPr>
                  </w:pPr>
                </w:p>
              </w:tc>
            </w:tr>
            <w:tr w14:paraId="4D94DB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56" w:type="dxa"/>
                  <w:vAlign w:val="center"/>
                </w:tcPr>
                <w:p w14:paraId="6A23B38F">
                  <w:pPr>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5</w:t>
                  </w:r>
                </w:p>
              </w:tc>
              <w:tc>
                <w:tcPr>
                  <w:tcW w:w="1515" w:type="dxa"/>
                  <w:vAlign w:val="center"/>
                </w:tcPr>
                <w:p w14:paraId="3B129C63">
                  <w:pPr>
                    <w:jc w:val="center"/>
                    <w:rPr>
                      <w:rFonts w:hint="eastAsia"/>
                      <w:color w:val="auto"/>
                      <w:sz w:val="18"/>
                      <w:szCs w:val="18"/>
                      <w:lang w:eastAsia="zh-CN"/>
                    </w:rPr>
                  </w:pPr>
                  <w:r>
                    <w:rPr>
                      <w:rFonts w:hint="eastAsia"/>
                      <w:color w:val="auto"/>
                      <w:sz w:val="18"/>
                      <w:szCs w:val="18"/>
                      <w:lang w:eastAsia="zh-CN"/>
                    </w:rPr>
                    <w:t>废润滑油桶</w:t>
                  </w:r>
                </w:p>
              </w:tc>
              <w:tc>
                <w:tcPr>
                  <w:tcW w:w="1133" w:type="dxa"/>
                  <w:vAlign w:val="center"/>
                </w:tcPr>
                <w:p w14:paraId="75D3DE2E">
                  <w:pPr>
                    <w:pStyle w:val="27"/>
                    <w:ind w:firstLine="0" w:firstLineChars="0"/>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设备保养</w:t>
                  </w:r>
                </w:p>
              </w:tc>
              <w:tc>
                <w:tcPr>
                  <w:tcW w:w="645" w:type="dxa"/>
                  <w:vAlign w:val="center"/>
                </w:tcPr>
                <w:p w14:paraId="5BC9EDE6">
                  <w:pPr>
                    <w:pStyle w:val="27"/>
                    <w:ind w:firstLine="0" w:firstLineChars="0"/>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固态</w:t>
                  </w:r>
                </w:p>
              </w:tc>
              <w:tc>
                <w:tcPr>
                  <w:tcW w:w="1012" w:type="dxa"/>
                  <w:vAlign w:val="center"/>
                </w:tcPr>
                <w:p w14:paraId="59055CFE">
                  <w:pPr>
                    <w:jc w:val="center"/>
                    <w:rPr>
                      <w:rFonts w:hint="eastAsia"/>
                      <w:color w:val="auto"/>
                      <w:sz w:val="18"/>
                      <w:szCs w:val="18"/>
                      <w:lang w:eastAsia="zh-CN"/>
                    </w:rPr>
                  </w:pPr>
                  <w:r>
                    <w:rPr>
                      <w:rFonts w:hint="eastAsia"/>
                      <w:color w:val="auto"/>
                      <w:sz w:val="18"/>
                      <w:szCs w:val="18"/>
                      <w:lang w:eastAsia="zh-CN"/>
                    </w:rPr>
                    <w:t>矿物油</w:t>
                  </w:r>
                </w:p>
              </w:tc>
              <w:tc>
                <w:tcPr>
                  <w:tcW w:w="908" w:type="dxa"/>
                  <w:vAlign w:val="center"/>
                </w:tcPr>
                <w:p w14:paraId="382CE75D">
                  <w:pPr>
                    <w:jc w:val="center"/>
                    <w:rPr>
                      <w:rFonts w:hint="default"/>
                      <w:color w:val="auto"/>
                      <w:sz w:val="18"/>
                      <w:szCs w:val="18"/>
                      <w:lang w:val="en-US" w:eastAsia="zh-CN"/>
                    </w:rPr>
                  </w:pPr>
                  <w:r>
                    <w:rPr>
                      <w:rFonts w:hint="eastAsia"/>
                      <w:color w:val="auto"/>
                      <w:sz w:val="18"/>
                      <w:szCs w:val="18"/>
                      <w:lang w:val="en-US" w:eastAsia="zh-CN"/>
                    </w:rPr>
                    <w:t>0.5</w:t>
                  </w:r>
                </w:p>
              </w:tc>
              <w:tc>
                <w:tcPr>
                  <w:tcW w:w="750" w:type="dxa"/>
                  <w:vAlign w:val="center"/>
                </w:tcPr>
                <w:p w14:paraId="01B6EEC7">
                  <w:pPr>
                    <w:jc w:val="center"/>
                    <w:rPr>
                      <w:color w:val="auto"/>
                      <w:sz w:val="18"/>
                      <w:szCs w:val="18"/>
                    </w:rPr>
                  </w:pPr>
                  <w:r>
                    <w:rPr>
                      <w:color w:val="auto"/>
                      <w:sz w:val="18"/>
                      <w:szCs w:val="18"/>
                    </w:rPr>
                    <w:t>√</w:t>
                  </w:r>
                </w:p>
              </w:tc>
              <w:tc>
                <w:tcPr>
                  <w:tcW w:w="840" w:type="dxa"/>
                  <w:vAlign w:val="center"/>
                </w:tcPr>
                <w:p w14:paraId="3E262D23">
                  <w:pPr>
                    <w:jc w:val="center"/>
                    <w:rPr>
                      <w:color w:val="auto"/>
                      <w:sz w:val="18"/>
                      <w:szCs w:val="18"/>
                    </w:rPr>
                  </w:pPr>
                  <w:r>
                    <w:rPr>
                      <w:color w:val="auto"/>
                      <w:sz w:val="18"/>
                      <w:szCs w:val="18"/>
                    </w:rPr>
                    <w:t>/</w:t>
                  </w:r>
                </w:p>
              </w:tc>
              <w:tc>
                <w:tcPr>
                  <w:tcW w:w="797" w:type="dxa"/>
                  <w:vMerge w:val="continue"/>
                  <w:vAlign w:val="center"/>
                </w:tcPr>
                <w:p w14:paraId="2BDF1141">
                  <w:pPr>
                    <w:jc w:val="center"/>
                    <w:rPr>
                      <w:sz w:val="18"/>
                      <w:szCs w:val="18"/>
                    </w:rPr>
                  </w:pPr>
                </w:p>
              </w:tc>
            </w:tr>
            <w:tr w14:paraId="308BB8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56" w:type="dxa"/>
                  <w:vAlign w:val="center"/>
                </w:tcPr>
                <w:p w14:paraId="42E36306">
                  <w:pPr>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6</w:t>
                  </w:r>
                </w:p>
              </w:tc>
              <w:tc>
                <w:tcPr>
                  <w:tcW w:w="1515" w:type="dxa"/>
                  <w:vAlign w:val="center"/>
                </w:tcPr>
                <w:p w14:paraId="14CAEFC4">
                  <w:pPr>
                    <w:jc w:val="center"/>
                    <w:rPr>
                      <w:color w:val="auto"/>
                      <w:sz w:val="18"/>
                      <w:szCs w:val="18"/>
                    </w:rPr>
                  </w:pPr>
                  <w:r>
                    <w:rPr>
                      <w:rFonts w:hint="eastAsia"/>
                      <w:color w:val="auto"/>
                      <w:sz w:val="18"/>
                      <w:szCs w:val="18"/>
                    </w:rPr>
                    <w:t>生活垃圾</w:t>
                  </w:r>
                </w:p>
              </w:tc>
              <w:tc>
                <w:tcPr>
                  <w:tcW w:w="1133" w:type="dxa"/>
                  <w:vAlign w:val="center"/>
                </w:tcPr>
                <w:p w14:paraId="21877F8E">
                  <w:pPr>
                    <w:jc w:val="center"/>
                    <w:rPr>
                      <w:color w:val="auto"/>
                      <w:sz w:val="18"/>
                      <w:szCs w:val="18"/>
                    </w:rPr>
                  </w:pPr>
                  <w:r>
                    <w:rPr>
                      <w:rFonts w:hint="eastAsia"/>
                      <w:color w:val="auto"/>
                      <w:sz w:val="18"/>
                      <w:szCs w:val="18"/>
                    </w:rPr>
                    <w:t>员工生活</w:t>
                  </w:r>
                </w:p>
              </w:tc>
              <w:tc>
                <w:tcPr>
                  <w:tcW w:w="645" w:type="dxa"/>
                  <w:vAlign w:val="center"/>
                </w:tcPr>
                <w:p w14:paraId="3F58C87E">
                  <w:pPr>
                    <w:jc w:val="center"/>
                    <w:rPr>
                      <w:color w:val="auto"/>
                      <w:sz w:val="18"/>
                      <w:szCs w:val="18"/>
                    </w:rPr>
                  </w:pPr>
                  <w:r>
                    <w:rPr>
                      <w:color w:val="auto"/>
                      <w:sz w:val="18"/>
                      <w:szCs w:val="18"/>
                    </w:rPr>
                    <w:t>固态</w:t>
                  </w:r>
                </w:p>
              </w:tc>
              <w:tc>
                <w:tcPr>
                  <w:tcW w:w="1012" w:type="dxa"/>
                  <w:vAlign w:val="center"/>
                </w:tcPr>
                <w:p w14:paraId="0F408FA7">
                  <w:pPr>
                    <w:jc w:val="center"/>
                    <w:rPr>
                      <w:color w:val="auto"/>
                      <w:sz w:val="18"/>
                      <w:szCs w:val="18"/>
                    </w:rPr>
                  </w:pPr>
                  <w:r>
                    <w:rPr>
                      <w:rFonts w:hint="eastAsia"/>
                      <w:color w:val="auto"/>
                      <w:sz w:val="18"/>
                      <w:szCs w:val="18"/>
                    </w:rPr>
                    <w:t>/</w:t>
                  </w:r>
                </w:p>
              </w:tc>
              <w:tc>
                <w:tcPr>
                  <w:tcW w:w="908" w:type="dxa"/>
                  <w:vAlign w:val="center"/>
                </w:tcPr>
                <w:p w14:paraId="6C0E7174">
                  <w:pPr>
                    <w:jc w:val="center"/>
                    <w:rPr>
                      <w:rFonts w:hint="default" w:eastAsia="宋体"/>
                      <w:color w:val="auto"/>
                      <w:sz w:val="18"/>
                      <w:szCs w:val="18"/>
                      <w:lang w:val="en-US" w:eastAsia="zh-CN"/>
                    </w:rPr>
                  </w:pPr>
                  <w:r>
                    <w:rPr>
                      <w:rFonts w:hint="eastAsia"/>
                      <w:color w:val="auto"/>
                      <w:sz w:val="18"/>
                      <w:szCs w:val="18"/>
                      <w:lang w:val="en-US" w:eastAsia="zh-CN"/>
                    </w:rPr>
                    <w:t>4.5</w:t>
                  </w:r>
                </w:p>
              </w:tc>
              <w:tc>
                <w:tcPr>
                  <w:tcW w:w="750" w:type="dxa"/>
                  <w:vAlign w:val="center"/>
                </w:tcPr>
                <w:p w14:paraId="12BB1658">
                  <w:pPr>
                    <w:jc w:val="center"/>
                    <w:rPr>
                      <w:color w:val="auto"/>
                      <w:sz w:val="18"/>
                      <w:szCs w:val="18"/>
                    </w:rPr>
                  </w:pPr>
                  <w:r>
                    <w:rPr>
                      <w:color w:val="auto"/>
                      <w:sz w:val="18"/>
                      <w:szCs w:val="18"/>
                    </w:rPr>
                    <w:t>√</w:t>
                  </w:r>
                </w:p>
              </w:tc>
              <w:tc>
                <w:tcPr>
                  <w:tcW w:w="840" w:type="dxa"/>
                  <w:vAlign w:val="center"/>
                </w:tcPr>
                <w:p w14:paraId="69835C79">
                  <w:pPr>
                    <w:jc w:val="center"/>
                    <w:rPr>
                      <w:color w:val="auto"/>
                      <w:sz w:val="18"/>
                      <w:szCs w:val="18"/>
                    </w:rPr>
                  </w:pPr>
                  <w:r>
                    <w:rPr>
                      <w:color w:val="auto"/>
                      <w:sz w:val="18"/>
                      <w:szCs w:val="18"/>
                    </w:rPr>
                    <w:t>/</w:t>
                  </w:r>
                </w:p>
              </w:tc>
              <w:tc>
                <w:tcPr>
                  <w:tcW w:w="797" w:type="dxa"/>
                  <w:vMerge w:val="continue"/>
                  <w:vAlign w:val="center"/>
                </w:tcPr>
                <w:p w14:paraId="7B1BC463">
                  <w:pPr>
                    <w:jc w:val="center"/>
                    <w:rPr>
                      <w:sz w:val="18"/>
                      <w:szCs w:val="18"/>
                    </w:rPr>
                  </w:pPr>
                </w:p>
              </w:tc>
            </w:tr>
          </w:tbl>
          <w:p w14:paraId="01D0A7AB">
            <w:pPr>
              <w:widowControl/>
              <w:spacing w:line="500" w:lineRule="exact"/>
              <w:ind w:firstLine="420" w:firstLineChars="200"/>
              <w:jc w:val="left"/>
            </w:pPr>
            <w:r>
              <w:t xml:space="preserve">3、固体废物产生情况汇总 </w:t>
            </w:r>
          </w:p>
          <w:p w14:paraId="02AE4AFC">
            <w:pPr>
              <w:widowControl/>
              <w:spacing w:line="500" w:lineRule="exact"/>
              <w:ind w:firstLine="420" w:firstLineChars="200"/>
              <w:jc w:val="left"/>
            </w:pPr>
            <w:r>
              <w:t>本项目运营期固体废物产生情况汇总见表 4-</w:t>
            </w:r>
            <w:r>
              <w:rPr>
                <w:rFonts w:hint="eastAsia"/>
                <w:lang w:val="en-US" w:eastAsia="zh-CN"/>
              </w:rPr>
              <w:t>30</w:t>
            </w:r>
            <w:r>
              <w:t>。</w:t>
            </w:r>
          </w:p>
          <w:p w14:paraId="187AAA19">
            <w:pPr>
              <w:spacing w:line="500" w:lineRule="exact"/>
              <w:jc w:val="center"/>
              <w:rPr>
                <w:b/>
                <w:bCs/>
              </w:rPr>
            </w:pPr>
            <w:r>
              <w:rPr>
                <w:b/>
                <w:bCs/>
              </w:rPr>
              <w:t>表 4-</w:t>
            </w:r>
            <w:r>
              <w:rPr>
                <w:rFonts w:hint="eastAsia"/>
                <w:b/>
                <w:bCs/>
                <w:lang w:val="en-US" w:eastAsia="zh-CN"/>
              </w:rPr>
              <w:t>30</w:t>
            </w:r>
            <w:r>
              <w:rPr>
                <w:b/>
                <w:bCs/>
              </w:rPr>
              <w:t xml:space="preserve"> 固体废物产生与处置情况汇总表</w:t>
            </w:r>
          </w:p>
          <w:tbl>
            <w:tblPr>
              <w:tblStyle w:val="19"/>
              <w:tblW w:w="8035"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8"/>
              <w:gridCol w:w="980"/>
              <w:gridCol w:w="607"/>
              <w:gridCol w:w="899"/>
              <w:gridCol w:w="602"/>
              <w:gridCol w:w="732"/>
              <w:gridCol w:w="704"/>
              <w:gridCol w:w="789"/>
              <w:gridCol w:w="781"/>
              <w:gridCol w:w="796"/>
              <w:gridCol w:w="747"/>
            </w:tblGrid>
            <w:tr w14:paraId="67A82D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398" w:type="dxa"/>
                  <w:vAlign w:val="center"/>
                </w:tcPr>
                <w:p w14:paraId="4F63C20E">
                  <w:pPr>
                    <w:jc w:val="center"/>
                    <w:rPr>
                      <w:color w:val="auto"/>
                      <w:sz w:val="18"/>
                      <w:szCs w:val="18"/>
                    </w:rPr>
                  </w:pPr>
                  <w:r>
                    <w:rPr>
                      <w:color w:val="auto"/>
                      <w:sz w:val="18"/>
                      <w:szCs w:val="18"/>
                    </w:rPr>
                    <w:t>序号</w:t>
                  </w:r>
                </w:p>
              </w:tc>
              <w:tc>
                <w:tcPr>
                  <w:tcW w:w="980" w:type="dxa"/>
                  <w:vAlign w:val="center"/>
                </w:tcPr>
                <w:p w14:paraId="29D689D5">
                  <w:pPr>
                    <w:jc w:val="center"/>
                    <w:rPr>
                      <w:color w:val="auto"/>
                      <w:sz w:val="18"/>
                      <w:szCs w:val="18"/>
                    </w:rPr>
                  </w:pPr>
                  <w:r>
                    <w:rPr>
                      <w:color w:val="auto"/>
                      <w:sz w:val="18"/>
                      <w:szCs w:val="18"/>
                    </w:rPr>
                    <w:t>固废名称</w:t>
                  </w:r>
                </w:p>
              </w:tc>
              <w:tc>
                <w:tcPr>
                  <w:tcW w:w="607" w:type="dxa"/>
                  <w:vAlign w:val="center"/>
                </w:tcPr>
                <w:p w14:paraId="17F959F6">
                  <w:pPr>
                    <w:jc w:val="center"/>
                    <w:rPr>
                      <w:color w:val="auto"/>
                      <w:sz w:val="18"/>
                      <w:szCs w:val="18"/>
                    </w:rPr>
                  </w:pPr>
                  <w:r>
                    <w:rPr>
                      <w:color w:val="auto"/>
                      <w:sz w:val="18"/>
                      <w:szCs w:val="18"/>
                    </w:rPr>
                    <w:t>属性</w:t>
                  </w:r>
                </w:p>
              </w:tc>
              <w:tc>
                <w:tcPr>
                  <w:tcW w:w="899" w:type="dxa"/>
                  <w:vAlign w:val="center"/>
                </w:tcPr>
                <w:p w14:paraId="336832D9">
                  <w:pPr>
                    <w:jc w:val="center"/>
                    <w:rPr>
                      <w:color w:val="auto"/>
                      <w:sz w:val="18"/>
                      <w:szCs w:val="18"/>
                    </w:rPr>
                  </w:pPr>
                  <w:r>
                    <w:rPr>
                      <w:color w:val="auto"/>
                      <w:sz w:val="18"/>
                      <w:szCs w:val="18"/>
                    </w:rPr>
                    <w:t>产生工序</w:t>
                  </w:r>
                </w:p>
              </w:tc>
              <w:tc>
                <w:tcPr>
                  <w:tcW w:w="602" w:type="dxa"/>
                  <w:vAlign w:val="center"/>
                </w:tcPr>
                <w:p w14:paraId="3CED4505">
                  <w:pPr>
                    <w:jc w:val="center"/>
                    <w:rPr>
                      <w:color w:val="auto"/>
                      <w:sz w:val="18"/>
                      <w:szCs w:val="18"/>
                    </w:rPr>
                  </w:pPr>
                  <w:r>
                    <w:rPr>
                      <w:color w:val="auto"/>
                      <w:sz w:val="18"/>
                      <w:szCs w:val="18"/>
                    </w:rPr>
                    <w:t>形态</w:t>
                  </w:r>
                </w:p>
              </w:tc>
              <w:tc>
                <w:tcPr>
                  <w:tcW w:w="732" w:type="dxa"/>
                  <w:vAlign w:val="center"/>
                </w:tcPr>
                <w:p w14:paraId="662AB014">
                  <w:pPr>
                    <w:jc w:val="center"/>
                    <w:rPr>
                      <w:color w:val="auto"/>
                      <w:sz w:val="18"/>
                      <w:szCs w:val="18"/>
                    </w:rPr>
                  </w:pPr>
                  <w:r>
                    <w:rPr>
                      <w:color w:val="auto"/>
                      <w:sz w:val="18"/>
                      <w:szCs w:val="18"/>
                    </w:rPr>
                    <w:t>主要成分</w:t>
                  </w:r>
                </w:p>
              </w:tc>
              <w:tc>
                <w:tcPr>
                  <w:tcW w:w="704" w:type="dxa"/>
                  <w:vAlign w:val="center"/>
                </w:tcPr>
                <w:p w14:paraId="4FB2C1B0">
                  <w:pPr>
                    <w:jc w:val="center"/>
                    <w:rPr>
                      <w:color w:val="auto"/>
                      <w:sz w:val="18"/>
                      <w:szCs w:val="18"/>
                    </w:rPr>
                  </w:pPr>
                  <w:r>
                    <w:rPr>
                      <w:color w:val="auto"/>
                      <w:sz w:val="18"/>
                      <w:szCs w:val="18"/>
                    </w:rPr>
                    <w:t>危险特性</w:t>
                  </w:r>
                </w:p>
              </w:tc>
              <w:tc>
                <w:tcPr>
                  <w:tcW w:w="789" w:type="dxa"/>
                  <w:vAlign w:val="center"/>
                </w:tcPr>
                <w:p w14:paraId="5F4AAE9B">
                  <w:pPr>
                    <w:jc w:val="center"/>
                    <w:rPr>
                      <w:color w:val="auto"/>
                      <w:sz w:val="18"/>
                      <w:szCs w:val="18"/>
                    </w:rPr>
                  </w:pPr>
                  <w:r>
                    <w:rPr>
                      <w:color w:val="auto"/>
                      <w:sz w:val="18"/>
                      <w:szCs w:val="18"/>
                    </w:rPr>
                    <w:t>废物类别</w:t>
                  </w:r>
                </w:p>
              </w:tc>
              <w:tc>
                <w:tcPr>
                  <w:tcW w:w="781" w:type="dxa"/>
                  <w:vAlign w:val="center"/>
                </w:tcPr>
                <w:p w14:paraId="4FC54593">
                  <w:pPr>
                    <w:jc w:val="center"/>
                    <w:rPr>
                      <w:color w:val="auto"/>
                      <w:sz w:val="18"/>
                      <w:szCs w:val="18"/>
                    </w:rPr>
                  </w:pPr>
                  <w:r>
                    <w:rPr>
                      <w:color w:val="auto"/>
                      <w:sz w:val="18"/>
                      <w:szCs w:val="18"/>
                    </w:rPr>
                    <w:t>废物代码</w:t>
                  </w:r>
                </w:p>
              </w:tc>
              <w:tc>
                <w:tcPr>
                  <w:tcW w:w="796" w:type="dxa"/>
                  <w:vAlign w:val="center"/>
                </w:tcPr>
                <w:p w14:paraId="438A301E">
                  <w:pPr>
                    <w:jc w:val="center"/>
                    <w:rPr>
                      <w:color w:val="auto"/>
                      <w:sz w:val="18"/>
                      <w:szCs w:val="18"/>
                    </w:rPr>
                  </w:pPr>
                  <w:r>
                    <w:rPr>
                      <w:color w:val="auto"/>
                      <w:sz w:val="18"/>
                      <w:szCs w:val="18"/>
                    </w:rPr>
                    <w:t>产生量（t/a）</w:t>
                  </w:r>
                </w:p>
              </w:tc>
              <w:tc>
                <w:tcPr>
                  <w:tcW w:w="747" w:type="dxa"/>
                  <w:vAlign w:val="center"/>
                </w:tcPr>
                <w:p w14:paraId="404014E9">
                  <w:pPr>
                    <w:jc w:val="center"/>
                    <w:rPr>
                      <w:color w:val="auto"/>
                      <w:sz w:val="18"/>
                      <w:szCs w:val="18"/>
                    </w:rPr>
                  </w:pPr>
                  <w:r>
                    <w:rPr>
                      <w:color w:val="auto"/>
                      <w:sz w:val="18"/>
                      <w:szCs w:val="18"/>
                    </w:rPr>
                    <w:t>处置方法</w:t>
                  </w:r>
                </w:p>
              </w:tc>
            </w:tr>
            <w:tr w14:paraId="52C7FA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98" w:type="dxa"/>
                  <w:vAlign w:val="center"/>
                </w:tcPr>
                <w:p w14:paraId="7941A9DD">
                  <w:pPr>
                    <w:jc w:val="center"/>
                    <w:rPr>
                      <w:color w:val="auto"/>
                      <w:sz w:val="18"/>
                      <w:szCs w:val="18"/>
                    </w:rPr>
                  </w:pPr>
                  <w:r>
                    <w:rPr>
                      <w:sz w:val="18"/>
                      <w:szCs w:val="18"/>
                    </w:rPr>
                    <w:t>1</w:t>
                  </w:r>
                </w:p>
              </w:tc>
              <w:tc>
                <w:tcPr>
                  <w:tcW w:w="980" w:type="dxa"/>
                  <w:vAlign w:val="center"/>
                </w:tcPr>
                <w:p w14:paraId="0B46DE4D">
                  <w:pPr>
                    <w:jc w:val="center"/>
                    <w:rPr>
                      <w:color w:val="auto"/>
                      <w:sz w:val="18"/>
                      <w:szCs w:val="18"/>
                    </w:rPr>
                  </w:pPr>
                  <w:r>
                    <w:rPr>
                      <w:rFonts w:hint="eastAsia"/>
                      <w:sz w:val="18"/>
                      <w:szCs w:val="18"/>
                    </w:rPr>
                    <w:t>未燃尽的生活垃圾</w:t>
                  </w:r>
                </w:p>
              </w:tc>
              <w:tc>
                <w:tcPr>
                  <w:tcW w:w="607" w:type="dxa"/>
                  <w:vMerge w:val="restart"/>
                  <w:vAlign w:val="center"/>
                </w:tcPr>
                <w:p w14:paraId="035A2BE2">
                  <w:pPr>
                    <w:jc w:val="center"/>
                    <w:rPr>
                      <w:rFonts w:hint="eastAsia" w:eastAsia="宋体"/>
                      <w:color w:val="auto"/>
                      <w:sz w:val="18"/>
                      <w:szCs w:val="18"/>
                      <w:lang w:eastAsia="zh-CN"/>
                    </w:rPr>
                  </w:pPr>
                  <w:r>
                    <w:rPr>
                      <w:rFonts w:hint="eastAsia"/>
                      <w:color w:val="auto"/>
                      <w:sz w:val="18"/>
                      <w:szCs w:val="18"/>
                      <w:lang w:eastAsia="zh-CN"/>
                    </w:rPr>
                    <w:t>一般固废</w:t>
                  </w:r>
                </w:p>
              </w:tc>
              <w:tc>
                <w:tcPr>
                  <w:tcW w:w="899" w:type="dxa"/>
                  <w:vAlign w:val="center"/>
                </w:tcPr>
                <w:p w14:paraId="7B3AF2BD">
                  <w:pPr>
                    <w:jc w:val="both"/>
                    <w:rPr>
                      <w:rFonts w:hint="eastAsia"/>
                      <w:color w:val="auto"/>
                      <w:sz w:val="18"/>
                      <w:szCs w:val="18"/>
                      <w:lang w:eastAsia="zh-CN"/>
                    </w:rPr>
                  </w:pPr>
                  <w:r>
                    <w:rPr>
                      <w:rFonts w:hint="eastAsia"/>
                      <w:sz w:val="18"/>
                      <w:szCs w:val="18"/>
                      <w:lang w:eastAsia="zh-CN"/>
                    </w:rPr>
                    <w:t>转载车入料斗</w:t>
                  </w:r>
                </w:p>
              </w:tc>
              <w:tc>
                <w:tcPr>
                  <w:tcW w:w="602" w:type="dxa"/>
                  <w:vAlign w:val="center"/>
                </w:tcPr>
                <w:p w14:paraId="7B5BB3F0">
                  <w:pPr>
                    <w:jc w:val="center"/>
                    <w:rPr>
                      <w:color w:val="auto"/>
                      <w:sz w:val="18"/>
                      <w:szCs w:val="18"/>
                    </w:rPr>
                  </w:pPr>
                  <w:r>
                    <w:rPr>
                      <w:sz w:val="18"/>
                      <w:szCs w:val="18"/>
                    </w:rPr>
                    <w:t>固态</w:t>
                  </w:r>
                </w:p>
              </w:tc>
              <w:tc>
                <w:tcPr>
                  <w:tcW w:w="732" w:type="dxa"/>
                  <w:vAlign w:val="center"/>
                </w:tcPr>
                <w:p w14:paraId="36C9A95A">
                  <w:pPr>
                    <w:jc w:val="center"/>
                    <w:rPr>
                      <w:rFonts w:hint="eastAsia"/>
                      <w:color w:val="auto"/>
                      <w:sz w:val="18"/>
                      <w:szCs w:val="18"/>
                      <w:lang w:val="en-US" w:eastAsia="zh-CN"/>
                    </w:rPr>
                  </w:pPr>
                  <w:r>
                    <w:rPr>
                      <w:rFonts w:hint="eastAsia"/>
                      <w:sz w:val="18"/>
                      <w:szCs w:val="18"/>
                      <w:lang w:val="en-US" w:eastAsia="zh-CN"/>
                    </w:rPr>
                    <w:t>垃圾</w:t>
                  </w:r>
                </w:p>
              </w:tc>
              <w:tc>
                <w:tcPr>
                  <w:tcW w:w="704" w:type="dxa"/>
                  <w:vMerge w:val="restart"/>
                  <w:vAlign w:val="center"/>
                </w:tcPr>
                <w:p w14:paraId="6F0488AB">
                  <w:pPr>
                    <w:jc w:val="center"/>
                    <w:rPr>
                      <w:rFonts w:hint="eastAsia" w:eastAsia="宋体"/>
                      <w:color w:val="auto"/>
                      <w:sz w:val="18"/>
                      <w:szCs w:val="18"/>
                      <w:lang w:eastAsia="zh-CN"/>
                    </w:rPr>
                  </w:pPr>
                  <w:r>
                    <w:rPr>
                      <w:rFonts w:hint="eastAsia"/>
                      <w:color w:val="auto"/>
                      <w:sz w:val="18"/>
                      <w:szCs w:val="18"/>
                      <w:lang w:val="en-US" w:eastAsia="zh-CN"/>
                    </w:rPr>
                    <w:t>/</w:t>
                  </w:r>
                </w:p>
              </w:tc>
              <w:tc>
                <w:tcPr>
                  <w:tcW w:w="789" w:type="dxa"/>
                  <w:vAlign w:val="center"/>
                </w:tcPr>
                <w:p w14:paraId="1B40023C">
                  <w:pPr>
                    <w:jc w:val="center"/>
                    <w:rPr>
                      <w:rFonts w:hint="default"/>
                      <w:color w:val="auto"/>
                      <w:sz w:val="18"/>
                      <w:szCs w:val="18"/>
                      <w:lang w:val="en-US" w:eastAsia="zh-CN"/>
                    </w:rPr>
                  </w:pPr>
                  <w:r>
                    <w:rPr>
                      <w:rFonts w:hint="eastAsia" w:ascii="Times New Roman" w:hAnsi="Times New Roman" w:eastAsia="宋体" w:cs="Times New Roman"/>
                      <w:color w:val="auto"/>
                      <w:kern w:val="2"/>
                      <w:sz w:val="18"/>
                      <w:szCs w:val="18"/>
                      <w:lang w:val="en-US" w:eastAsia="zh-CN" w:bidi="ar-SA"/>
                    </w:rPr>
                    <w:t>SW</w:t>
                  </w:r>
                  <w:r>
                    <w:rPr>
                      <w:rFonts w:hint="eastAsia" w:cs="Times New Roman"/>
                      <w:color w:val="auto"/>
                      <w:kern w:val="2"/>
                      <w:sz w:val="18"/>
                      <w:szCs w:val="18"/>
                      <w:lang w:val="en-US" w:eastAsia="zh-CN" w:bidi="ar-SA"/>
                    </w:rPr>
                    <w:t>60</w:t>
                  </w:r>
                </w:p>
              </w:tc>
              <w:tc>
                <w:tcPr>
                  <w:tcW w:w="781" w:type="dxa"/>
                  <w:vAlign w:val="center"/>
                </w:tcPr>
                <w:p w14:paraId="1778B226">
                  <w:pPr>
                    <w:autoSpaceDE w:val="0"/>
                    <w:autoSpaceDN w:val="0"/>
                    <w:snapToGrid w:val="0"/>
                    <w:jc w:val="center"/>
                    <w:rPr>
                      <w:rFonts w:hint="eastAsia"/>
                      <w:color w:val="auto"/>
                      <w:sz w:val="18"/>
                      <w:szCs w:val="18"/>
                    </w:rPr>
                  </w:pPr>
                  <w:r>
                    <w:rPr>
                      <w:rFonts w:hint="default" w:ascii="Times New Roman" w:hAnsi="Times New Roman" w:eastAsia="宋体" w:cs="Times New Roman"/>
                      <w:snapToGrid w:val="0"/>
                      <w:color w:val="auto"/>
                      <w:kern w:val="0"/>
                      <w:sz w:val="18"/>
                      <w:szCs w:val="18"/>
                      <w:lang w:val="en-US" w:eastAsia="zh-CN"/>
                    </w:rPr>
                    <w:t>900-001-S</w:t>
                  </w:r>
                  <w:r>
                    <w:rPr>
                      <w:rFonts w:hint="eastAsia" w:cs="Times New Roman"/>
                      <w:snapToGrid w:val="0"/>
                      <w:color w:val="auto"/>
                      <w:kern w:val="0"/>
                      <w:sz w:val="18"/>
                      <w:szCs w:val="18"/>
                      <w:lang w:val="en-US" w:eastAsia="zh-CN"/>
                    </w:rPr>
                    <w:t>60</w:t>
                  </w:r>
                  <w:r>
                    <w:rPr>
                      <w:rFonts w:hint="default" w:ascii="Times New Roman" w:hAnsi="Times New Roman" w:eastAsia="宋体" w:cs="Times New Roman"/>
                      <w:snapToGrid w:val="0"/>
                      <w:color w:val="auto"/>
                      <w:kern w:val="0"/>
                      <w:sz w:val="18"/>
                      <w:szCs w:val="18"/>
                      <w:lang w:val="en-US" w:eastAsia="zh-CN"/>
                    </w:rPr>
                    <w:t xml:space="preserve"> </w:t>
                  </w:r>
                </w:p>
              </w:tc>
              <w:tc>
                <w:tcPr>
                  <w:tcW w:w="796" w:type="dxa"/>
                  <w:vAlign w:val="center"/>
                </w:tcPr>
                <w:p w14:paraId="118AF353">
                  <w:pPr>
                    <w:jc w:val="center"/>
                    <w:rPr>
                      <w:rFonts w:hint="eastAsia"/>
                      <w:color w:val="auto"/>
                      <w:sz w:val="18"/>
                      <w:szCs w:val="18"/>
                      <w:lang w:val="en-US" w:eastAsia="zh-CN"/>
                    </w:rPr>
                  </w:pPr>
                  <w:r>
                    <w:rPr>
                      <w:rFonts w:hint="eastAsia"/>
                      <w:sz w:val="18"/>
                      <w:szCs w:val="18"/>
                      <w:lang w:val="en-US" w:eastAsia="zh-CN"/>
                    </w:rPr>
                    <w:t>1500</w:t>
                  </w:r>
                </w:p>
              </w:tc>
              <w:tc>
                <w:tcPr>
                  <w:tcW w:w="747" w:type="dxa"/>
                  <w:vMerge w:val="restart"/>
                  <w:vAlign w:val="center"/>
                </w:tcPr>
                <w:p w14:paraId="3EDB8AB9">
                  <w:pPr>
                    <w:jc w:val="center"/>
                    <w:rPr>
                      <w:rFonts w:hint="eastAsia" w:eastAsia="宋体"/>
                      <w:color w:val="auto"/>
                      <w:sz w:val="18"/>
                      <w:szCs w:val="18"/>
                      <w:lang w:eastAsia="zh-CN"/>
                    </w:rPr>
                  </w:pPr>
                  <w:r>
                    <w:rPr>
                      <w:rFonts w:hint="eastAsia"/>
                      <w:color w:val="auto"/>
                      <w:sz w:val="18"/>
                      <w:szCs w:val="18"/>
                      <w:lang w:eastAsia="zh-CN"/>
                    </w:rPr>
                    <w:t>收集后外售</w:t>
                  </w:r>
                </w:p>
              </w:tc>
            </w:tr>
            <w:tr w14:paraId="3E2781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98" w:type="dxa"/>
                  <w:vAlign w:val="center"/>
                </w:tcPr>
                <w:p w14:paraId="167FBD8C">
                  <w:pPr>
                    <w:jc w:val="center"/>
                    <w:rPr>
                      <w:color w:val="auto"/>
                      <w:sz w:val="18"/>
                      <w:szCs w:val="18"/>
                    </w:rPr>
                  </w:pPr>
                  <w:r>
                    <w:rPr>
                      <w:rFonts w:hint="eastAsia"/>
                      <w:sz w:val="18"/>
                      <w:szCs w:val="18"/>
                      <w:lang w:val="en-US" w:eastAsia="zh-CN"/>
                    </w:rPr>
                    <w:t>2</w:t>
                  </w:r>
                </w:p>
              </w:tc>
              <w:tc>
                <w:tcPr>
                  <w:tcW w:w="980" w:type="dxa"/>
                  <w:vAlign w:val="center"/>
                </w:tcPr>
                <w:p w14:paraId="11E9A204">
                  <w:pPr>
                    <w:jc w:val="center"/>
                    <w:rPr>
                      <w:color w:val="auto"/>
                      <w:sz w:val="18"/>
                      <w:szCs w:val="18"/>
                    </w:rPr>
                  </w:pPr>
                  <w:r>
                    <w:rPr>
                      <w:rFonts w:hint="eastAsia"/>
                      <w:color w:val="auto"/>
                      <w:sz w:val="18"/>
                      <w:szCs w:val="18"/>
                      <w:lang w:eastAsia="zh-CN"/>
                    </w:rPr>
                    <w:t>废金属料</w:t>
                  </w:r>
                </w:p>
              </w:tc>
              <w:tc>
                <w:tcPr>
                  <w:tcW w:w="607" w:type="dxa"/>
                  <w:vMerge w:val="continue"/>
                  <w:vAlign w:val="center"/>
                </w:tcPr>
                <w:p w14:paraId="74313EE2">
                  <w:pPr>
                    <w:jc w:val="center"/>
                    <w:rPr>
                      <w:color w:val="auto"/>
                      <w:sz w:val="18"/>
                      <w:szCs w:val="18"/>
                    </w:rPr>
                  </w:pPr>
                </w:p>
              </w:tc>
              <w:tc>
                <w:tcPr>
                  <w:tcW w:w="899" w:type="dxa"/>
                  <w:vAlign w:val="center"/>
                </w:tcPr>
                <w:p w14:paraId="40CF1720">
                  <w:pPr>
                    <w:jc w:val="center"/>
                    <w:rPr>
                      <w:rFonts w:hint="eastAsia"/>
                      <w:color w:val="auto"/>
                      <w:sz w:val="18"/>
                      <w:szCs w:val="18"/>
                      <w:lang w:eastAsia="zh-CN"/>
                    </w:rPr>
                  </w:pPr>
                  <w:r>
                    <w:rPr>
                      <w:rFonts w:hint="eastAsia"/>
                      <w:color w:val="auto"/>
                      <w:sz w:val="18"/>
                      <w:szCs w:val="18"/>
                      <w:lang w:eastAsia="zh-CN"/>
                    </w:rPr>
                    <w:t>磁选、精选、摇床等</w:t>
                  </w:r>
                </w:p>
              </w:tc>
              <w:tc>
                <w:tcPr>
                  <w:tcW w:w="602" w:type="dxa"/>
                  <w:vAlign w:val="center"/>
                </w:tcPr>
                <w:p w14:paraId="771D8E5F">
                  <w:pPr>
                    <w:jc w:val="center"/>
                    <w:rPr>
                      <w:color w:val="auto"/>
                      <w:sz w:val="18"/>
                      <w:szCs w:val="18"/>
                    </w:rPr>
                  </w:pPr>
                  <w:r>
                    <w:rPr>
                      <w:color w:val="auto"/>
                      <w:sz w:val="18"/>
                      <w:szCs w:val="18"/>
                    </w:rPr>
                    <w:t>固态</w:t>
                  </w:r>
                </w:p>
              </w:tc>
              <w:tc>
                <w:tcPr>
                  <w:tcW w:w="732" w:type="dxa"/>
                  <w:vAlign w:val="center"/>
                </w:tcPr>
                <w:p w14:paraId="4E7ED0AB">
                  <w:pPr>
                    <w:jc w:val="center"/>
                    <w:rPr>
                      <w:rFonts w:hint="eastAsia"/>
                      <w:color w:val="auto"/>
                      <w:sz w:val="18"/>
                      <w:szCs w:val="18"/>
                      <w:lang w:val="en-US" w:eastAsia="zh-CN"/>
                    </w:rPr>
                  </w:pPr>
                  <w:r>
                    <w:rPr>
                      <w:rFonts w:hint="eastAsia"/>
                      <w:color w:val="auto"/>
                      <w:sz w:val="18"/>
                      <w:szCs w:val="18"/>
                      <w:lang w:val="en-US" w:eastAsia="zh-CN"/>
                    </w:rPr>
                    <w:t>金属</w:t>
                  </w:r>
                </w:p>
              </w:tc>
              <w:tc>
                <w:tcPr>
                  <w:tcW w:w="704" w:type="dxa"/>
                  <w:vMerge w:val="continue"/>
                  <w:vAlign w:val="center"/>
                </w:tcPr>
                <w:p w14:paraId="4A1E47C9">
                  <w:pPr>
                    <w:jc w:val="center"/>
                    <w:rPr>
                      <w:color w:val="auto"/>
                      <w:sz w:val="18"/>
                      <w:szCs w:val="18"/>
                    </w:rPr>
                  </w:pPr>
                </w:p>
              </w:tc>
              <w:tc>
                <w:tcPr>
                  <w:tcW w:w="789" w:type="dxa"/>
                  <w:vAlign w:val="center"/>
                </w:tcPr>
                <w:p w14:paraId="1784DA9A">
                  <w:pPr>
                    <w:jc w:val="center"/>
                    <w:rPr>
                      <w:rFonts w:hint="eastAsia"/>
                      <w:color w:val="auto"/>
                      <w:sz w:val="18"/>
                      <w:szCs w:val="18"/>
                      <w:lang w:val="en-US" w:eastAsia="zh-CN"/>
                    </w:rPr>
                  </w:pPr>
                  <w:r>
                    <w:rPr>
                      <w:rFonts w:hint="eastAsia" w:ascii="Times New Roman" w:hAnsi="Times New Roman" w:eastAsia="宋体" w:cs="Times New Roman"/>
                      <w:color w:val="auto"/>
                      <w:kern w:val="2"/>
                      <w:sz w:val="18"/>
                      <w:szCs w:val="18"/>
                      <w:lang w:val="en-US" w:eastAsia="zh-CN" w:bidi="ar-SA"/>
                    </w:rPr>
                    <w:t>SW17</w:t>
                  </w:r>
                </w:p>
              </w:tc>
              <w:tc>
                <w:tcPr>
                  <w:tcW w:w="781" w:type="dxa"/>
                  <w:vAlign w:val="center"/>
                </w:tcPr>
                <w:p w14:paraId="5DC1F4D2">
                  <w:pPr>
                    <w:autoSpaceDE w:val="0"/>
                    <w:autoSpaceDN w:val="0"/>
                    <w:snapToGrid w:val="0"/>
                    <w:jc w:val="center"/>
                    <w:rPr>
                      <w:rFonts w:hint="eastAsia"/>
                      <w:color w:val="auto"/>
                      <w:sz w:val="18"/>
                      <w:szCs w:val="18"/>
                    </w:rPr>
                  </w:pPr>
                  <w:r>
                    <w:rPr>
                      <w:rFonts w:hint="default" w:ascii="Times New Roman" w:hAnsi="Times New Roman" w:eastAsia="宋体" w:cs="Times New Roman"/>
                      <w:snapToGrid w:val="0"/>
                      <w:color w:val="auto"/>
                      <w:kern w:val="0"/>
                      <w:sz w:val="18"/>
                      <w:szCs w:val="18"/>
                      <w:lang w:val="en-US" w:eastAsia="zh-CN" w:bidi="ar-SA"/>
                    </w:rPr>
                    <w:t>900-00</w:t>
                  </w:r>
                  <w:r>
                    <w:rPr>
                      <w:rFonts w:hint="eastAsia" w:cs="Times New Roman"/>
                      <w:snapToGrid w:val="0"/>
                      <w:color w:val="auto"/>
                      <w:kern w:val="0"/>
                      <w:sz w:val="18"/>
                      <w:szCs w:val="18"/>
                      <w:lang w:val="en-US" w:eastAsia="zh-CN" w:bidi="ar-SA"/>
                    </w:rPr>
                    <w:t>2</w:t>
                  </w:r>
                  <w:r>
                    <w:rPr>
                      <w:rFonts w:hint="default" w:ascii="Times New Roman" w:hAnsi="Times New Roman" w:eastAsia="宋体" w:cs="Times New Roman"/>
                      <w:snapToGrid w:val="0"/>
                      <w:color w:val="auto"/>
                      <w:kern w:val="0"/>
                      <w:sz w:val="18"/>
                      <w:szCs w:val="18"/>
                      <w:lang w:val="en-US" w:eastAsia="zh-CN" w:bidi="ar-SA"/>
                    </w:rPr>
                    <w:t>-S17</w:t>
                  </w:r>
                </w:p>
              </w:tc>
              <w:tc>
                <w:tcPr>
                  <w:tcW w:w="796" w:type="dxa"/>
                  <w:vAlign w:val="center"/>
                </w:tcPr>
                <w:p w14:paraId="2CD2EC86">
                  <w:pPr>
                    <w:jc w:val="center"/>
                    <w:rPr>
                      <w:rFonts w:hint="eastAsia"/>
                      <w:color w:val="auto"/>
                      <w:sz w:val="18"/>
                      <w:szCs w:val="18"/>
                      <w:lang w:val="en-US" w:eastAsia="zh-CN"/>
                    </w:rPr>
                  </w:pPr>
                  <w:r>
                    <w:rPr>
                      <w:rFonts w:hint="eastAsia"/>
                      <w:color w:val="auto"/>
                      <w:sz w:val="18"/>
                      <w:szCs w:val="18"/>
                      <w:lang w:val="en-US" w:eastAsia="zh-CN"/>
                    </w:rPr>
                    <w:t>3000</w:t>
                  </w:r>
                </w:p>
              </w:tc>
              <w:tc>
                <w:tcPr>
                  <w:tcW w:w="747" w:type="dxa"/>
                  <w:vMerge w:val="continue"/>
                  <w:vAlign w:val="center"/>
                </w:tcPr>
                <w:p w14:paraId="048B0F5B">
                  <w:pPr>
                    <w:jc w:val="center"/>
                    <w:rPr>
                      <w:color w:val="auto"/>
                      <w:sz w:val="18"/>
                      <w:szCs w:val="18"/>
                    </w:rPr>
                  </w:pPr>
                </w:p>
              </w:tc>
            </w:tr>
            <w:tr w14:paraId="2094BE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98" w:type="dxa"/>
                  <w:vAlign w:val="center"/>
                </w:tcPr>
                <w:p w14:paraId="72EAA21F">
                  <w:pPr>
                    <w:jc w:val="center"/>
                    <w:rPr>
                      <w:color w:val="auto"/>
                      <w:sz w:val="18"/>
                      <w:szCs w:val="18"/>
                    </w:rPr>
                  </w:pPr>
                  <w:r>
                    <w:rPr>
                      <w:rFonts w:hint="eastAsia"/>
                      <w:sz w:val="18"/>
                      <w:szCs w:val="18"/>
                      <w:lang w:val="en-US" w:eastAsia="zh-CN"/>
                    </w:rPr>
                    <w:t>3</w:t>
                  </w:r>
                </w:p>
              </w:tc>
              <w:tc>
                <w:tcPr>
                  <w:tcW w:w="980" w:type="dxa"/>
                  <w:vAlign w:val="center"/>
                </w:tcPr>
                <w:p w14:paraId="7F965731">
                  <w:pPr>
                    <w:jc w:val="center"/>
                    <w:rPr>
                      <w:color w:val="auto"/>
                      <w:sz w:val="18"/>
                      <w:szCs w:val="18"/>
                    </w:rPr>
                  </w:pPr>
                  <w:r>
                    <w:rPr>
                      <w:rFonts w:hint="eastAsia"/>
                      <w:color w:val="auto"/>
                      <w:sz w:val="18"/>
                      <w:szCs w:val="18"/>
                      <w:lang w:eastAsia="zh-CN"/>
                    </w:rPr>
                    <w:t>泥饼</w:t>
                  </w:r>
                </w:p>
              </w:tc>
              <w:tc>
                <w:tcPr>
                  <w:tcW w:w="607" w:type="dxa"/>
                  <w:vMerge w:val="continue"/>
                  <w:vAlign w:val="center"/>
                </w:tcPr>
                <w:p w14:paraId="5CB0B628">
                  <w:pPr>
                    <w:jc w:val="center"/>
                    <w:rPr>
                      <w:color w:val="auto"/>
                      <w:sz w:val="18"/>
                      <w:szCs w:val="18"/>
                    </w:rPr>
                  </w:pPr>
                </w:p>
              </w:tc>
              <w:tc>
                <w:tcPr>
                  <w:tcW w:w="899" w:type="dxa"/>
                  <w:vAlign w:val="center"/>
                </w:tcPr>
                <w:p w14:paraId="2F990BF8">
                  <w:pPr>
                    <w:jc w:val="center"/>
                    <w:rPr>
                      <w:rFonts w:hint="eastAsia"/>
                      <w:color w:val="auto"/>
                      <w:sz w:val="18"/>
                      <w:szCs w:val="18"/>
                      <w:lang w:eastAsia="zh-CN"/>
                    </w:rPr>
                  </w:pPr>
                  <w:r>
                    <w:rPr>
                      <w:rFonts w:hint="eastAsia"/>
                      <w:color w:val="auto"/>
                      <w:sz w:val="18"/>
                      <w:szCs w:val="18"/>
                      <w:lang w:eastAsia="zh-CN"/>
                    </w:rPr>
                    <w:t>泥浆晒干</w:t>
                  </w:r>
                </w:p>
              </w:tc>
              <w:tc>
                <w:tcPr>
                  <w:tcW w:w="602" w:type="dxa"/>
                  <w:vAlign w:val="center"/>
                </w:tcPr>
                <w:p w14:paraId="7BC06407">
                  <w:pPr>
                    <w:jc w:val="center"/>
                    <w:rPr>
                      <w:color w:val="auto"/>
                      <w:sz w:val="18"/>
                      <w:szCs w:val="18"/>
                    </w:rPr>
                  </w:pPr>
                  <w:r>
                    <w:rPr>
                      <w:rFonts w:hint="eastAsia"/>
                      <w:color w:val="auto"/>
                      <w:sz w:val="18"/>
                      <w:szCs w:val="18"/>
                      <w:lang w:eastAsia="zh-CN"/>
                    </w:rPr>
                    <w:t>固态</w:t>
                  </w:r>
                </w:p>
              </w:tc>
              <w:tc>
                <w:tcPr>
                  <w:tcW w:w="732" w:type="dxa"/>
                  <w:vAlign w:val="center"/>
                </w:tcPr>
                <w:p w14:paraId="7B195FB5">
                  <w:pPr>
                    <w:jc w:val="center"/>
                    <w:rPr>
                      <w:rFonts w:hint="eastAsia"/>
                      <w:color w:val="auto"/>
                      <w:sz w:val="18"/>
                      <w:szCs w:val="18"/>
                      <w:lang w:val="en-US" w:eastAsia="zh-CN"/>
                    </w:rPr>
                  </w:pPr>
                  <w:r>
                    <w:rPr>
                      <w:rFonts w:hint="eastAsia"/>
                      <w:color w:val="auto"/>
                      <w:sz w:val="18"/>
                      <w:szCs w:val="18"/>
                      <w:lang w:val="en-US" w:eastAsia="zh-CN"/>
                    </w:rPr>
                    <w:t>沉渣</w:t>
                  </w:r>
                </w:p>
              </w:tc>
              <w:tc>
                <w:tcPr>
                  <w:tcW w:w="704" w:type="dxa"/>
                  <w:vMerge w:val="continue"/>
                  <w:vAlign w:val="center"/>
                </w:tcPr>
                <w:p w14:paraId="721E2D1E">
                  <w:pPr>
                    <w:jc w:val="center"/>
                    <w:rPr>
                      <w:color w:val="auto"/>
                      <w:sz w:val="18"/>
                      <w:szCs w:val="18"/>
                    </w:rPr>
                  </w:pPr>
                </w:p>
              </w:tc>
              <w:tc>
                <w:tcPr>
                  <w:tcW w:w="789" w:type="dxa"/>
                  <w:vAlign w:val="center"/>
                </w:tcPr>
                <w:p w14:paraId="44B801B3">
                  <w:pPr>
                    <w:jc w:val="center"/>
                    <w:rPr>
                      <w:rFonts w:hint="eastAsia"/>
                      <w:color w:val="auto"/>
                      <w:sz w:val="18"/>
                      <w:szCs w:val="18"/>
                      <w:lang w:val="en-US" w:eastAsia="zh-CN"/>
                    </w:rPr>
                  </w:pPr>
                  <w:r>
                    <w:rPr>
                      <w:rFonts w:hint="eastAsia" w:ascii="Times New Roman" w:hAnsi="Times New Roman" w:eastAsia="宋体" w:cs="Times New Roman"/>
                      <w:color w:val="auto"/>
                      <w:kern w:val="2"/>
                      <w:sz w:val="18"/>
                      <w:szCs w:val="18"/>
                      <w:lang w:val="en-US" w:eastAsia="zh-CN" w:bidi="ar-SA"/>
                    </w:rPr>
                    <w:t>SW</w:t>
                  </w:r>
                  <w:r>
                    <w:rPr>
                      <w:rFonts w:hint="eastAsia" w:cs="Times New Roman"/>
                      <w:color w:val="auto"/>
                      <w:kern w:val="2"/>
                      <w:sz w:val="18"/>
                      <w:szCs w:val="18"/>
                      <w:lang w:val="en-US" w:eastAsia="zh-CN" w:bidi="ar-SA"/>
                    </w:rPr>
                    <w:t>0</w:t>
                  </w:r>
                  <w:r>
                    <w:rPr>
                      <w:rFonts w:hint="eastAsia" w:ascii="Times New Roman" w:hAnsi="Times New Roman" w:eastAsia="宋体" w:cs="Times New Roman"/>
                      <w:color w:val="auto"/>
                      <w:kern w:val="2"/>
                      <w:sz w:val="18"/>
                      <w:szCs w:val="18"/>
                      <w:lang w:val="en-US" w:eastAsia="zh-CN" w:bidi="ar-SA"/>
                    </w:rPr>
                    <w:t>7</w:t>
                  </w:r>
                </w:p>
              </w:tc>
              <w:tc>
                <w:tcPr>
                  <w:tcW w:w="781" w:type="dxa"/>
                  <w:vAlign w:val="center"/>
                </w:tcPr>
                <w:p w14:paraId="7D8F4D86">
                  <w:pPr>
                    <w:autoSpaceDE w:val="0"/>
                    <w:autoSpaceDN w:val="0"/>
                    <w:snapToGrid w:val="0"/>
                    <w:jc w:val="center"/>
                    <w:rPr>
                      <w:rFonts w:hint="eastAsia"/>
                      <w:color w:val="auto"/>
                      <w:sz w:val="18"/>
                      <w:szCs w:val="18"/>
                    </w:rPr>
                  </w:pPr>
                  <w:r>
                    <w:rPr>
                      <w:rFonts w:hint="default" w:ascii="Times New Roman" w:hAnsi="Times New Roman" w:eastAsia="宋体" w:cs="Times New Roman"/>
                      <w:snapToGrid w:val="0"/>
                      <w:color w:val="auto"/>
                      <w:kern w:val="0"/>
                      <w:sz w:val="18"/>
                      <w:szCs w:val="18"/>
                      <w:lang w:val="en-US" w:eastAsia="zh-CN" w:bidi="ar-SA"/>
                    </w:rPr>
                    <w:t>900-0</w:t>
                  </w:r>
                  <w:r>
                    <w:rPr>
                      <w:rFonts w:hint="eastAsia" w:cs="Times New Roman"/>
                      <w:snapToGrid w:val="0"/>
                      <w:color w:val="auto"/>
                      <w:kern w:val="0"/>
                      <w:sz w:val="18"/>
                      <w:szCs w:val="18"/>
                      <w:lang w:val="en-US" w:eastAsia="zh-CN" w:bidi="ar-SA"/>
                    </w:rPr>
                    <w:t>99</w:t>
                  </w:r>
                  <w:r>
                    <w:rPr>
                      <w:rFonts w:hint="default" w:ascii="Times New Roman" w:hAnsi="Times New Roman" w:eastAsia="宋体" w:cs="Times New Roman"/>
                      <w:snapToGrid w:val="0"/>
                      <w:color w:val="auto"/>
                      <w:kern w:val="0"/>
                      <w:sz w:val="18"/>
                      <w:szCs w:val="18"/>
                      <w:lang w:val="en-US" w:eastAsia="zh-CN" w:bidi="ar-SA"/>
                    </w:rPr>
                    <w:t>-S</w:t>
                  </w:r>
                  <w:r>
                    <w:rPr>
                      <w:rFonts w:hint="eastAsia" w:cs="Times New Roman"/>
                      <w:snapToGrid w:val="0"/>
                      <w:color w:val="auto"/>
                      <w:kern w:val="0"/>
                      <w:sz w:val="18"/>
                      <w:szCs w:val="18"/>
                      <w:lang w:val="en-US" w:eastAsia="zh-CN" w:bidi="ar-SA"/>
                    </w:rPr>
                    <w:t>0</w:t>
                  </w:r>
                  <w:r>
                    <w:rPr>
                      <w:rFonts w:hint="default" w:ascii="Times New Roman" w:hAnsi="Times New Roman" w:eastAsia="宋体" w:cs="Times New Roman"/>
                      <w:snapToGrid w:val="0"/>
                      <w:color w:val="auto"/>
                      <w:kern w:val="0"/>
                      <w:sz w:val="18"/>
                      <w:szCs w:val="18"/>
                      <w:lang w:val="en-US" w:eastAsia="zh-CN" w:bidi="ar-SA"/>
                    </w:rPr>
                    <w:t>7</w:t>
                  </w:r>
                </w:p>
              </w:tc>
              <w:tc>
                <w:tcPr>
                  <w:tcW w:w="796" w:type="dxa"/>
                  <w:vAlign w:val="center"/>
                </w:tcPr>
                <w:p w14:paraId="7280AFC1">
                  <w:pPr>
                    <w:jc w:val="center"/>
                    <w:rPr>
                      <w:rFonts w:hint="eastAsia"/>
                      <w:color w:val="auto"/>
                      <w:sz w:val="18"/>
                      <w:szCs w:val="18"/>
                      <w:lang w:val="en-US" w:eastAsia="zh-CN"/>
                    </w:rPr>
                  </w:pPr>
                  <w:r>
                    <w:rPr>
                      <w:rFonts w:hint="eastAsia"/>
                      <w:color w:val="auto"/>
                      <w:sz w:val="18"/>
                      <w:szCs w:val="18"/>
                      <w:lang w:val="en-US" w:eastAsia="zh-CN"/>
                    </w:rPr>
                    <w:t>3000</w:t>
                  </w:r>
                </w:p>
              </w:tc>
              <w:tc>
                <w:tcPr>
                  <w:tcW w:w="747" w:type="dxa"/>
                  <w:vMerge w:val="continue"/>
                  <w:vAlign w:val="center"/>
                </w:tcPr>
                <w:p w14:paraId="48031B01">
                  <w:pPr>
                    <w:jc w:val="center"/>
                    <w:rPr>
                      <w:color w:val="auto"/>
                      <w:sz w:val="18"/>
                      <w:szCs w:val="18"/>
                    </w:rPr>
                  </w:pPr>
                </w:p>
              </w:tc>
            </w:tr>
            <w:tr w14:paraId="24DE14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98" w:type="dxa"/>
                  <w:vAlign w:val="center"/>
                </w:tcPr>
                <w:p w14:paraId="44165267">
                  <w:pPr>
                    <w:jc w:val="center"/>
                    <w:rPr>
                      <w:color w:val="auto"/>
                      <w:sz w:val="18"/>
                      <w:szCs w:val="18"/>
                    </w:rPr>
                  </w:pPr>
                  <w:r>
                    <w:rPr>
                      <w:rFonts w:hint="eastAsia"/>
                      <w:sz w:val="18"/>
                      <w:szCs w:val="18"/>
                      <w:lang w:val="en-US" w:eastAsia="zh-CN"/>
                    </w:rPr>
                    <w:t>8</w:t>
                  </w:r>
                </w:p>
              </w:tc>
              <w:tc>
                <w:tcPr>
                  <w:tcW w:w="980" w:type="dxa"/>
                  <w:vAlign w:val="center"/>
                </w:tcPr>
                <w:p w14:paraId="4EB93683">
                  <w:pPr>
                    <w:jc w:val="center"/>
                    <w:rPr>
                      <w:color w:val="auto"/>
                      <w:sz w:val="18"/>
                      <w:szCs w:val="18"/>
                    </w:rPr>
                  </w:pPr>
                  <w:r>
                    <w:rPr>
                      <w:rFonts w:hint="eastAsia"/>
                      <w:color w:val="auto"/>
                      <w:sz w:val="18"/>
                      <w:szCs w:val="18"/>
                      <w:lang w:eastAsia="zh-CN"/>
                    </w:rPr>
                    <w:t>废润滑油</w:t>
                  </w:r>
                </w:p>
              </w:tc>
              <w:tc>
                <w:tcPr>
                  <w:tcW w:w="607" w:type="dxa"/>
                  <w:vMerge w:val="restart"/>
                  <w:vAlign w:val="center"/>
                </w:tcPr>
                <w:p w14:paraId="2FEF2608">
                  <w:pPr>
                    <w:jc w:val="center"/>
                    <w:rPr>
                      <w:rFonts w:hint="eastAsia" w:eastAsia="宋体"/>
                      <w:color w:val="auto"/>
                      <w:sz w:val="18"/>
                      <w:szCs w:val="18"/>
                      <w:lang w:eastAsia="zh-CN"/>
                    </w:rPr>
                  </w:pPr>
                  <w:r>
                    <w:rPr>
                      <w:rFonts w:hint="eastAsia"/>
                      <w:color w:val="auto"/>
                      <w:sz w:val="18"/>
                      <w:szCs w:val="18"/>
                      <w:lang w:eastAsia="zh-CN"/>
                    </w:rPr>
                    <w:t>危险废物</w:t>
                  </w:r>
                </w:p>
              </w:tc>
              <w:tc>
                <w:tcPr>
                  <w:tcW w:w="899" w:type="dxa"/>
                  <w:vAlign w:val="center"/>
                </w:tcPr>
                <w:p w14:paraId="0E8B3216">
                  <w:pPr>
                    <w:pStyle w:val="27"/>
                    <w:ind w:firstLine="0" w:firstLineChars="0"/>
                    <w:rPr>
                      <w:rFonts w:hint="eastAsia"/>
                      <w:color w:val="auto"/>
                      <w:sz w:val="18"/>
                      <w:szCs w:val="18"/>
                      <w:lang w:eastAsia="zh-CN"/>
                    </w:rPr>
                  </w:pPr>
                  <w:r>
                    <w:rPr>
                      <w:rFonts w:hint="eastAsia" w:ascii="Times New Roman" w:hAnsi="Times New Roman" w:eastAsia="宋体" w:cs="Times New Roman"/>
                      <w:color w:val="auto"/>
                      <w:sz w:val="18"/>
                      <w:szCs w:val="18"/>
                      <w:lang w:eastAsia="zh-CN"/>
                    </w:rPr>
                    <w:t>设备保养</w:t>
                  </w:r>
                </w:p>
              </w:tc>
              <w:tc>
                <w:tcPr>
                  <w:tcW w:w="602" w:type="dxa"/>
                  <w:vAlign w:val="center"/>
                </w:tcPr>
                <w:p w14:paraId="5921C874">
                  <w:pPr>
                    <w:pStyle w:val="27"/>
                    <w:ind w:firstLine="0" w:firstLineChars="0"/>
                    <w:rPr>
                      <w:color w:val="auto"/>
                      <w:sz w:val="18"/>
                      <w:szCs w:val="18"/>
                    </w:rPr>
                  </w:pPr>
                  <w:r>
                    <w:rPr>
                      <w:rFonts w:hint="eastAsia" w:ascii="Times New Roman" w:hAnsi="Times New Roman" w:eastAsia="宋体" w:cs="Times New Roman"/>
                      <w:color w:val="auto"/>
                      <w:sz w:val="18"/>
                      <w:szCs w:val="18"/>
                      <w:lang w:eastAsia="zh-CN"/>
                    </w:rPr>
                    <w:t>液态</w:t>
                  </w:r>
                </w:p>
              </w:tc>
              <w:tc>
                <w:tcPr>
                  <w:tcW w:w="732" w:type="dxa"/>
                  <w:vAlign w:val="center"/>
                </w:tcPr>
                <w:p w14:paraId="617AB552">
                  <w:pPr>
                    <w:jc w:val="center"/>
                    <w:rPr>
                      <w:rFonts w:hint="eastAsia"/>
                      <w:color w:val="auto"/>
                      <w:sz w:val="18"/>
                      <w:szCs w:val="18"/>
                      <w:lang w:val="en-US" w:eastAsia="zh-CN"/>
                    </w:rPr>
                  </w:pPr>
                  <w:r>
                    <w:rPr>
                      <w:rFonts w:hint="eastAsia"/>
                      <w:color w:val="auto"/>
                      <w:sz w:val="18"/>
                      <w:szCs w:val="18"/>
                      <w:lang w:eastAsia="zh-CN"/>
                    </w:rPr>
                    <w:t>矿物油</w:t>
                  </w:r>
                </w:p>
              </w:tc>
              <w:tc>
                <w:tcPr>
                  <w:tcW w:w="704" w:type="dxa"/>
                  <w:vAlign w:val="center"/>
                </w:tcPr>
                <w:p w14:paraId="1CEE3315">
                  <w:pPr>
                    <w:jc w:val="center"/>
                    <w:rPr>
                      <w:rFonts w:hint="eastAsia" w:eastAsia="宋体"/>
                      <w:color w:val="auto"/>
                      <w:sz w:val="18"/>
                      <w:szCs w:val="18"/>
                      <w:lang w:eastAsia="zh-CN"/>
                    </w:rPr>
                  </w:pPr>
                  <w:r>
                    <w:rPr>
                      <w:color w:val="auto"/>
                      <w:sz w:val="18"/>
                      <w:szCs w:val="18"/>
                    </w:rPr>
                    <w:t>T、I</w:t>
                  </w:r>
                </w:p>
              </w:tc>
              <w:tc>
                <w:tcPr>
                  <w:tcW w:w="789" w:type="dxa"/>
                  <w:vAlign w:val="center"/>
                </w:tcPr>
                <w:p w14:paraId="591BF117">
                  <w:pPr>
                    <w:jc w:val="center"/>
                    <w:rPr>
                      <w:rFonts w:hint="eastAsia"/>
                      <w:color w:val="auto"/>
                      <w:sz w:val="18"/>
                      <w:szCs w:val="18"/>
                      <w:lang w:val="en-US" w:eastAsia="zh-CN"/>
                    </w:rPr>
                  </w:pPr>
                  <w:r>
                    <w:rPr>
                      <w:rFonts w:hint="eastAsia"/>
                      <w:color w:val="auto"/>
                      <w:sz w:val="18"/>
                      <w:szCs w:val="18"/>
                      <w:lang w:val="en-US" w:eastAsia="zh-CN"/>
                    </w:rPr>
                    <w:t>HW08</w:t>
                  </w:r>
                </w:p>
              </w:tc>
              <w:tc>
                <w:tcPr>
                  <w:tcW w:w="781" w:type="dxa"/>
                  <w:vAlign w:val="center"/>
                </w:tcPr>
                <w:p w14:paraId="624E2AED">
                  <w:pPr>
                    <w:jc w:val="center"/>
                    <w:rPr>
                      <w:rFonts w:hint="eastAsia"/>
                      <w:color w:val="auto"/>
                      <w:sz w:val="18"/>
                      <w:szCs w:val="18"/>
                    </w:rPr>
                  </w:pPr>
                  <w:r>
                    <w:rPr>
                      <w:rFonts w:hint="eastAsia"/>
                      <w:color w:val="auto"/>
                      <w:sz w:val="18"/>
                      <w:szCs w:val="18"/>
                    </w:rPr>
                    <w:t>900-249-08</w:t>
                  </w:r>
                </w:p>
              </w:tc>
              <w:tc>
                <w:tcPr>
                  <w:tcW w:w="796" w:type="dxa"/>
                  <w:vAlign w:val="center"/>
                </w:tcPr>
                <w:p w14:paraId="43BD3527">
                  <w:pPr>
                    <w:jc w:val="center"/>
                    <w:rPr>
                      <w:rFonts w:hint="eastAsia"/>
                      <w:color w:val="auto"/>
                      <w:sz w:val="18"/>
                      <w:szCs w:val="18"/>
                      <w:lang w:val="en-US" w:eastAsia="zh-CN"/>
                    </w:rPr>
                  </w:pPr>
                  <w:r>
                    <w:rPr>
                      <w:rFonts w:hint="eastAsia"/>
                      <w:color w:val="auto"/>
                      <w:sz w:val="18"/>
                      <w:szCs w:val="18"/>
                      <w:lang w:val="en-US" w:eastAsia="zh-CN"/>
                    </w:rPr>
                    <w:t>1</w:t>
                  </w:r>
                </w:p>
              </w:tc>
              <w:tc>
                <w:tcPr>
                  <w:tcW w:w="747" w:type="dxa"/>
                  <w:vMerge w:val="restart"/>
                  <w:vAlign w:val="center"/>
                </w:tcPr>
                <w:p w14:paraId="41F63A57">
                  <w:pPr>
                    <w:jc w:val="center"/>
                    <w:rPr>
                      <w:rFonts w:hint="eastAsia" w:eastAsia="宋体"/>
                      <w:color w:val="auto"/>
                      <w:sz w:val="18"/>
                      <w:szCs w:val="18"/>
                      <w:lang w:eastAsia="zh-CN"/>
                    </w:rPr>
                  </w:pPr>
                  <w:r>
                    <w:rPr>
                      <w:rFonts w:hint="eastAsia"/>
                      <w:color w:val="auto"/>
                      <w:sz w:val="18"/>
                      <w:szCs w:val="18"/>
                      <w:lang w:eastAsia="zh-CN"/>
                    </w:rPr>
                    <w:t>交由有资质单位处置</w:t>
                  </w:r>
                </w:p>
              </w:tc>
            </w:tr>
            <w:tr w14:paraId="7E5716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98" w:type="dxa"/>
                  <w:vAlign w:val="center"/>
                </w:tcPr>
                <w:p w14:paraId="3D08CBF9">
                  <w:pPr>
                    <w:jc w:val="center"/>
                    <w:rPr>
                      <w:color w:val="auto"/>
                      <w:sz w:val="18"/>
                      <w:szCs w:val="18"/>
                    </w:rPr>
                  </w:pPr>
                  <w:r>
                    <w:rPr>
                      <w:rFonts w:hint="eastAsia"/>
                      <w:sz w:val="18"/>
                      <w:szCs w:val="18"/>
                      <w:lang w:val="en-US" w:eastAsia="zh-CN"/>
                    </w:rPr>
                    <w:t>9</w:t>
                  </w:r>
                </w:p>
              </w:tc>
              <w:tc>
                <w:tcPr>
                  <w:tcW w:w="980" w:type="dxa"/>
                  <w:vAlign w:val="center"/>
                </w:tcPr>
                <w:p w14:paraId="2535F64F">
                  <w:pPr>
                    <w:jc w:val="center"/>
                    <w:rPr>
                      <w:color w:val="auto"/>
                      <w:sz w:val="18"/>
                      <w:szCs w:val="18"/>
                    </w:rPr>
                  </w:pPr>
                  <w:r>
                    <w:rPr>
                      <w:rFonts w:hint="eastAsia"/>
                      <w:color w:val="auto"/>
                      <w:sz w:val="18"/>
                      <w:szCs w:val="18"/>
                      <w:lang w:eastAsia="zh-CN"/>
                    </w:rPr>
                    <w:t>废润滑油桶</w:t>
                  </w:r>
                </w:p>
              </w:tc>
              <w:tc>
                <w:tcPr>
                  <w:tcW w:w="607" w:type="dxa"/>
                  <w:vMerge w:val="continue"/>
                  <w:vAlign w:val="center"/>
                </w:tcPr>
                <w:p w14:paraId="3C191DF9">
                  <w:pPr>
                    <w:jc w:val="center"/>
                    <w:rPr>
                      <w:color w:val="auto"/>
                      <w:sz w:val="18"/>
                      <w:szCs w:val="18"/>
                    </w:rPr>
                  </w:pPr>
                </w:p>
              </w:tc>
              <w:tc>
                <w:tcPr>
                  <w:tcW w:w="899" w:type="dxa"/>
                  <w:vAlign w:val="center"/>
                </w:tcPr>
                <w:p w14:paraId="6F54A554">
                  <w:pPr>
                    <w:pStyle w:val="27"/>
                    <w:ind w:firstLine="0" w:firstLineChars="0"/>
                    <w:rPr>
                      <w:rFonts w:hint="eastAsia"/>
                      <w:color w:val="auto"/>
                      <w:sz w:val="18"/>
                      <w:szCs w:val="18"/>
                      <w:lang w:eastAsia="zh-CN"/>
                    </w:rPr>
                  </w:pPr>
                  <w:r>
                    <w:rPr>
                      <w:rFonts w:hint="eastAsia" w:ascii="Times New Roman" w:hAnsi="Times New Roman" w:eastAsia="宋体" w:cs="Times New Roman"/>
                      <w:color w:val="auto"/>
                      <w:sz w:val="18"/>
                      <w:szCs w:val="18"/>
                      <w:lang w:eastAsia="zh-CN"/>
                    </w:rPr>
                    <w:t>设备保养</w:t>
                  </w:r>
                </w:p>
              </w:tc>
              <w:tc>
                <w:tcPr>
                  <w:tcW w:w="602" w:type="dxa"/>
                  <w:vAlign w:val="center"/>
                </w:tcPr>
                <w:p w14:paraId="7F5BA215">
                  <w:pPr>
                    <w:pStyle w:val="27"/>
                    <w:ind w:firstLine="0" w:firstLineChars="0"/>
                    <w:rPr>
                      <w:color w:val="auto"/>
                      <w:sz w:val="18"/>
                      <w:szCs w:val="18"/>
                    </w:rPr>
                  </w:pPr>
                  <w:r>
                    <w:rPr>
                      <w:rFonts w:hint="eastAsia" w:ascii="Times New Roman" w:hAnsi="Times New Roman" w:eastAsia="宋体" w:cs="Times New Roman"/>
                      <w:color w:val="auto"/>
                      <w:sz w:val="18"/>
                      <w:szCs w:val="18"/>
                      <w:lang w:eastAsia="zh-CN"/>
                    </w:rPr>
                    <w:t>固态</w:t>
                  </w:r>
                </w:p>
              </w:tc>
              <w:tc>
                <w:tcPr>
                  <w:tcW w:w="732" w:type="dxa"/>
                  <w:vAlign w:val="center"/>
                </w:tcPr>
                <w:p w14:paraId="40E76B7F">
                  <w:pPr>
                    <w:jc w:val="center"/>
                    <w:rPr>
                      <w:rFonts w:hint="eastAsia"/>
                      <w:color w:val="auto"/>
                      <w:sz w:val="18"/>
                      <w:szCs w:val="18"/>
                      <w:lang w:val="en-US" w:eastAsia="zh-CN"/>
                    </w:rPr>
                  </w:pPr>
                  <w:r>
                    <w:rPr>
                      <w:rFonts w:hint="eastAsia"/>
                      <w:color w:val="auto"/>
                      <w:sz w:val="18"/>
                      <w:szCs w:val="18"/>
                      <w:lang w:eastAsia="zh-CN"/>
                    </w:rPr>
                    <w:t>矿物油</w:t>
                  </w:r>
                </w:p>
              </w:tc>
              <w:tc>
                <w:tcPr>
                  <w:tcW w:w="704" w:type="dxa"/>
                  <w:vAlign w:val="center"/>
                </w:tcPr>
                <w:p w14:paraId="7690B0B0">
                  <w:pPr>
                    <w:jc w:val="center"/>
                    <w:rPr>
                      <w:color w:val="auto"/>
                      <w:sz w:val="18"/>
                      <w:szCs w:val="18"/>
                    </w:rPr>
                  </w:pPr>
                  <w:r>
                    <w:rPr>
                      <w:color w:val="auto"/>
                      <w:sz w:val="18"/>
                      <w:szCs w:val="18"/>
                    </w:rPr>
                    <w:t>T、I</w:t>
                  </w:r>
                </w:p>
              </w:tc>
              <w:tc>
                <w:tcPr>
                  <w:tcW w:w="789" w:type="dxa"/>
                  <w:vAlign w:val="center"/>
                </w:tcPr>
                <w:p w14:paraId="37CB961C">
                  <w:pPr>
                    <w:jc w:val="center"/>
                    <w:rPr>
                      <w:rFonts w:hint="eastAsia"/>
                      <w:color w:val="auto"/>
                      <w:sz w:val="18"/>
                      <w:szCs w:val="18"/>
                      <w:lang w:val="en-US" w:eastAsia="zh-CN"/>
                    </w:rPr>
                  </w:pPr>
                  <w:r>
                    <w:rPr>
                      <w:rFonts w:hint="eastAsia"/>
                      <w:color w:val="auto"/>
                      <w:sz w:val="18"/>
                      <w:szCs w:val="18"/>
                      <w:lang w:val="en-US" w:eastAsia="zh-CN"/>
                    </w:rPr>
                    <w:t>HW08</w:t>
                  </w:r>
                </w:p>
              </w:tc>
              <w:tc>
                <w:tcPr>
                  <w:tcW w:w="781" w:type="dxa"/>
                  <w:vAlign w:val="center"/>
                </w:tcPr>
                <w:p w14:paraId="13349A36">
                  <w:pPr>
                    <w:jc w:val="center"/>
                    <w:rPr>
                      <w:rFonts w:hint="eastAsia"/>
                      <w:color w:val="auto"/>
                      <w:sz w:val="18"/>
                      <w:szCs w:val="18"/>
                    </w:rPr>
                  </w:pPr>
                  <w:r>
                    <w:rPr>
                      <w:rFonts w:hint="eastAsia"/>
                      <w:color w:val="auto"/>
                      <w:sz w:val="18"/>
                      <w:szCs w:val="18"/>
                    </w:rPr>
                    <w:t>900-249-08</w:t>
                  </w:r>
                </w:p>
              </w:tc>
              <w:tc>
                <w:tcPr>
                  <w:tcW w:w="796" w:type="dxa"/>
                  <w:vAlign w:val="center"/>
                </w:tcPr>
                <w:p w14:paraId="7121515A">
                  <w:pPr>
                    <w:jc w:val="center"/>
                    <w:rPr>
                      <w:rFonts w:hint="eastAsia"/>
                      <w:color w:val="auto"/>
                      <w:sz w:val="18"/>
                      <w:szCs w:val="18"/>
                      <w:lang w:val="en-US" w:eastAsia="zh-CN"/>
                    </w:rPr>
                  </w:pPr>
                  <w:r>
                    <w:rPr>
                      <w:rFonts w:hint="eastAsia"/>
                      <w:color w:val="auto"/>
                      <w:sz w:val="18"/>
                      <w:szCs w:val="18"/>
                      <w:lang w:val="en-US" w:eastAsia="zh-CN"/>
                    </w:rPr>
                    <w:t>0.5</w:t>
                  </w:r>
                </w:p>
              </w:tc>
              <w:tc>
                <w:tcPr>
                  <w:tcW w:w="747" w:type="dxa"/>
                  <w:vMerge w:val="continue"/>
                  <w:vAlign w:val="center"/>
                </w:tcPr>
                <w:p w14:paraId="61126C75">
                  <w:pPr>
                    <w:jc w:val="center"/>
                    <w:rPr>
                      <w:color w:val="auto"/>
                      <w:sz w:val="18"/>
                      <w:szCs w:val="18"/>
                    </w:rPr>
                  </w:pPr>
                </w:p>
              </w:tc>
            </w:tr>
            <w:tr w14:paraId="61960D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98" w:type="dxa"/>
                  <w:vAlign w:val="center"/>
                </w:tcPr>
                <w:p w14:paraId="4A47E76A">
                  <w:pPr>
                    <w:jc w:val="center"/>
                    <w:rPr>
                      <w:rFonts w:hint="default" w:eastAsia="宋体"/>
                      <w:color w:val="auto"/>
                      <w:sz w:val="18"/>
                      <w:szCs w:val="18"/>
                      <w:lang w:val="en-US" w:eastAsia="zh-CN"/>
                    </w:rPr>
                  </w:pPr>
                  <w:r>
                    <w:rPr>
                      <w:rFonts w:hint="eastAsia"/>
                      <w:color w:val="auto"/>
                      <w:sz w:val="18"/>
                      <w:szCs w:val="18"/>
                      <w:lang w:val="en-US" w:eastAsia="zh-CN"/>
                    </w:rPr>
                    <w:t>23</w:t>
                  </w:r>
                </w:p>
              </w:tc>
              <w:tc>
                <w:tcPr>
                  <w:tcW w:w="980" w:type="dxa"/>
                  <w:vAlign w:val="center"/>
                </w:tcPr>
                <w:p w14:paraId="58465E96">
                  <w:pPr>
                    <w:jc w:val="center"/>
                    <w:rPr>
                      <w:color w:val="auto"/>
                      <w:sz w:val="18"/>
                      <w:szCs w:val="18"/>
                    </w:rPr>
                  </w:pPr>
                  <w:r>
                    <w:rPr>
                      <w:rFonts w:hint="eastAsia"/>
                      <w:color w:val="auto"/>
                      <w:sz w:val="18"/>
                      <w:szCs w:val="18"/>
                    </w:rPr>
                    <w:t>生活垃圾</w:t>
                  </w:r>
                </w:p>
              </w:tc>
              <w:tc>
                <w:tcPr>
                  <w:tcW w:w="607" w:type="dxa"/>
                  <w:vAlign w:val="center"/>
                </w:tcPr>
                <w:p w14:paraId="2F22D1E8">
                  <w:pPr>
                    <w:jc w:val="center"/>
                    <w:rPr>
                      <w:color w:val="auto"/>
                      <w:sz w:val="18"/>
                      <w:szCs w:val="18"/>
                    </w:rPr>
                  </w:pPr>
                  <w:r>
                    <w:rPr>
                      <w:rFonts w:hint="eastAsia"/>
                      <w:color w:val="auto"/>
                      <w:sz w:val="18"/>
                      <w:szCs w:val="18"/>
                    </w:rPr>
                    <w:t>生活垃圾</w:t>
                  </w:r>
                </w:p>
              </w:tc>
              <w:tc>
                <w:tcPr>
                  <w:tcW w:w="899" w:type="dxa"/>
                  <w:vAlign w:val="center"/>
                </w:tcPr>
                <w:p w14:paraId="65915E7D">
                  <w:pPr>
                    <w:jc w:val="center"/>
                    <w:rPr>
                      <w:color w:val="auto"/>
                      <w:sz w:val="18"/>
                      <w:szCs w:val="18"/>
                    </w:rPr>
                  </w:pPr>
                  <w:r>
                    <w:rPr>
                      <w:rFonts w:hint="eastAsia"/>
                      <w:color w:val="auto"/>
                      <w:sz w:val="18"/>
                      <w:szCs w:val="18"/>
                    </w:rPr>
                    <w:t>员工生活</w:t>
                  </w:r>
                </w:p>
              </w:tc>
              <w:tc>
                <w:tcPr>
                  <w:tcW w:w="602" w:type="dxa"/>
                  <w:vAlign w:val="center"/>
                </w:tcPr>
                <w:p w14:paraId="11CDE443">
                  <w:pPr>
                    <w:jc w:val="center"/>
                    <w:rPr>
                      <w:color w:val="auto"/>
                      <w:sz w:val="18"/>
                      <w:szCs w:val="18"/>
                    </w:rPr>
                  </w:pPr>
                  <w:r>
                    <w:rPr>
                      <w:color w:val="auto"/>
                      <w:sz w:val="18"/>
                      <w:szCs w:val="18"/>
                    </w:rPr>
                    <w:t>固态</w:t>
                  </w:r>
                </w:p>
              </w:tc>
              <w:tc>
                <w:tcPr>
                  <w:tcW w:w="732" w:type="dxa"/>
                  <w:vAlign w:val="center"/>
                </w:tcPr>
                <w:p w14:paraId="3A18B629">
                  <w:pPr>
                    <w:jc w:val="center"/>
                    <w:rPr>
                      <w:color w:val="auto"/>
                      <w:sz w:val="18"/>
                      <w:szCs w:val="18"/>
                    </w:rPr>
                  </w:pPr>
                  <w:r>
                    <w:rPr>
                      <w:rFonts w:hint="eastAsia"/>
                      <w:color w:val="auto"/>
                      <w:sz w:val="18"/>
                      <w:szCs w:val="18"/>
                    </w:rPr>
                    <w:t>/</w:t>
                  </w:r>
                </w:p>
              </w:tc>
              <w:tc>
                <w:tcPr>
                  <w:tcW w:w="704" w:type="dxa"/>
                  <w:vAlign w:val="center"/>
                </w:tcPr>
                <w:p w14:paraId="43BE5BE7">
                  <w:pPr>
                    <w:jc w:val="center"/>
                    <w:rPr>
                      <w:color w:val="auto"/>
                      <w:sz w:val="18"/>
                      <w:szCs w:val="18"/>
                    </w:rPr>
                  </w:pPr>
                  <w:r>
                    <w:rPr>
                      <w:rFonts w:hint="eastAsia"/>
                      <w:color w:val="auto"/>
                      <w:sz w:val="18"/>
                      <w:szCs w:val="18"/>
                    </w:rPr>
                    <w:t>/</w:t>
                  </w:r>
                </w:p>
              </w:tc>
              <w:tc>
                <w:tcPr>
                  <w:tcW w:w="789" w:type="dxa"/>
                  <w:vAlign w:val="center"/>
                </w:tcPr>
                <w:p w14:paraId="7459024C">
                  <w:pPr>
                    <w:jc w:val="center"/>
                    <w:rPr>
                      <w:color w:val="auto"/>
                      <w:sz w:val="18"/>
                      <w:szCs w:val="18"/>
                    </w:rPr>
                  </w:pPr>
                  <w:r>
                    <w:rPr>
                      <w:rFonts w:hint="eastAsia"/>
                      <w:color w:val="auto"/>
                      <w:sz w:val="18"/>
                      <w:szCs w:val="18"/>
                    </w:rPr>
                    <w:t>/</w:t>
                  </w:r>
                </w:p>
              </w:tc>
              <w:tc>
                <w:tcPr>
                  <w:tcW w:w="781" w:type="dxa"/>
                  <w:vAlign w:val="center"/>
                </w:tcPr>
                <w:p w14:paraId="4FE8A52F">
                  <w:pPr>
                    <w:jc w:val="center"/>
                    <w:rPr>
                      <w:color w:val="auto"/>
                      <w:sz w:val="18"/>
                      <w:szCs w:val="18"/>
                    </w:rPr>
                  </w:pPr>
                  <w:r>
                    <w:rPr>
                      <w:rFonts w:hint="eastAsia"/>
                      <w:color w:val="auto"/>
                      <w:sz w:val="18"/>
                      <w:szCs w:val="18"/>
                    </w:rPr>
                    <w:t>900-099-S64</w:t>
                  </w:r>
                </w:p>
              </w:tc>
              <w:tc>
                <w:tcPr>
                  <w:tcW w:w="796" w:type="dxa"/>
                  <w:vAlign w:val="center"/>
                </w:tcPr>
                <w:p w14:paraId="341CCD4F">
                  <w:pPr>
                    <w:jc w:val="center"/>
                    <w:rPr>
                      <w:rFonts w:hint="default" w:eastAsia="宋体"/>
                      <w:color w:val="auto"/>
                      <w:sz w:val="18"/>
                      <w:szCs w:val="18"/>
                      <w:lang w:val="en-US" w:eastAsia="zh-CN"/>
                    </w:rPr>
                  </w:pPr>
                  <w:r>
                    <w:rPr>
                      <w:rFonts w:hint="eastAsia"/>
                      <w:color w:val="auto"/>
                      <w:sz w:val="18"/>
                      <w:szCs w:val="18"/>
                      <w:lang w:val="en-US" w:eastAsia="zh-CN"/>
                    </w:rPr>
                    <w:t>4.5</w:t>
                  </w:r>
                </w:p>
              </w:tc>
              <w:tc>
                <w:tcPr>
                  <w:tcW w:w="747" w:type="dxa"/>
                  <w:vAlign w:val="center"/>
                </w:tcPr>
                <w:p w14:paraId="79843DE7">
                  <w:pPr>
                    <w:jc w:val="center"/>
                    <w:rPr>
                      <w:color w:val="auto"/>
                      <w:sz w:val="18"/>
                      <w:szCs w:val="18"/>
                    </w:rPr>
                  </w:pPr>
                  <w:r>
                    <w:rPr>
                      <w:rFonts w:hint="eastAsia"/>
                      <w:color w:val="auto"/>
                      <w:sz w:val="18"/>
                      <w:szCs w:val="18"/>
                    </w:rPr>
                    <w:t>环卫部门清理</w:t>
                  </w:r>
                </w:p>
              </w:tc>
            </w:tr>
          </w:tbl>
          <w:p w14:paraId="3C5CC543">
            <w:pPr>
              <w:adjustRightInd w:val="0"/>
              <w:snapToGrid w:val="0"/>
              <w:spacing w:line="500" w:lineRule="exact"/>
              <w:ind w:firstLine="420" w:firstLineChars="200"/>
            </w:pPr>
            <w:r>
              <w:t>4、固体废物贮存、处置情况</w:t>
            </w:r>
          </w:p>
          <w:p w14:paraId="52CB3500">
            <w:pPr>
              <w:adjustRightInd w:val="0"/>
              <w:snapToGrid w:val="0"/>
              <w:spacing w:line="500" w:lineRule="exact"/>
              <w:ind w:firstLine="420" w:firstLineChars="200"/>
            </w:pPr>
            <w:r>
              <w:t>（1）一般工业固废贮存场所（设施）情况</w:t>
            </w:r>
          </w:p>
          <w:p w14:paraId="527B6CC3">
            <w:pPr>
              <w:adjustRightInd w:val="0"/>
              <w:snapToGrid w:val="0"/>
              <w:spacing w:line="500" w:lineRule="exact"/>
              <w:ind w:firstLine="420" w:firstLineChars="200"/>
            </w:pPr>
            <w:r>
              <w:t>项目产生的</w:t>
            </w:r>
            <w:r>
              <w:rPr>
                <w:rFonts w:hint="eastAsia"/>
                <w:lang w:eastAsia="zh-CN"/>
              </w:rPr>
              <w:t>未燃尽的生活垃圾、废金属、泥饼</w:t>
            </w:r>
            <w:r>
              <w:t>等属于一般工业固废，由企业收集后出售；生活垃圾委托环卫部门清运处置。具体见下表。</w:t>
            </w:r>
          </w:p>
          <w:p w14:paraId="569727CD">
            <w:pPr>
              <w:adjustRightInd w:val="0"/>
              <w:snapToGrid w:val="0"/>
              <w:spacing w:line="500" w:lineRule="exact"/>
              <w:ind w:firstLine="420" w:firstLineChars="200"/>
            </w:pPr>
            <w:r>
              <w:t>项目拟设置一般固废贮存场所，占地面积为</w:t>
            </w:r>
            <w:r>
              <w:rPr>
                <w:rFonts w:hint="eastAsia"/>
                <w:lang w:val="en-US" w:eastAsia="zh-CN"/>
              </w:rPr>
              <w:t>20</w:t>
            </w:r>
            <w:r>
              <w:t>0m</w:t>
            </w:r>
            <w:r>
              <w:rPr>
                <w:vertAlign w:val="superscript"/>
              </w:rPr>
              <w:t>2</w:t>
            </w:r>
            <w:r>
              <w:t>。一般工业固废暂存场所需按照《一般工业固体废物贮存和填埋污染控制标准》（GB18599-2020）要求建设，具体要求如下：</w:t>
            </w:r>
          </w:p>
          <w:p w14:paraId="1AD7C4D6">
            <w:pPr>
              <w:adjustRightInd w:val="0"/>
              <w:snapToGrid w:val="0"/>
              <w:spacing w:line="500" w:lineRule="exact"/>
              <w:ind w:firstLine="420" w:firstLineChars="200"/>
            </w:pPr>
            <w:r>
              <w:t>①贮存、处置场的建设类型，必须与将要堆放一般工业固体废物的类别相一致；</w:t>
            </w:r>
          </w:p>
          <w:p w14:paraId="5AE897A2">
            <w:pPr>
              <w:adjustRightInd w:val="0"/>
              <w:snapToGrid w:val="0"/>
              <w:spacing w:line="500" w:lineRule="exact"/>
              <w:ind w:firstLine="420" w:firstLineChars="200"/>
            </w:pPr>
            <w:r>
              <w:t>②为防止雨水径流进入贮存、处置场内，避免渗滤液量增加和滑坡，贮存、处置场周边应设置导流渠；</w:t>
            </w:r>
          </w:p>
          <w:p w14:paraId="244A5EA8">
            <w:pPr>
              <w:adjustRightInd w:val="0"/>
              <w:snapToGrid w:val="0"/>
              <w:spacing w:line="500" w:lineRule="exact"/>
              <w:ind w:firstLine="420" w:firstLineChars="200"/>
            </w:pPr>
            <w:r>
              <w:t>③应设计渗滤液</w:t>
            </w:r>
            <w:r>
              <w:rPr>
                <w:rFonts w:hint="eastAsia"/>
                <w:lang w:eastAsia="zh-CN"/>
              </w:rPr>
              <w:t>收</w:t>
            </w:r>
            <w:r>
              <w:t>集排水设施；</w:t>
            </w:r>
          </w:p>
          <w:p w14:paraId="5CE8D8D0">
            <w:pPr>
              <w:adjustRightInd w:val="0"/>
              <w:snapToGrid w:val="0"/>
              <w:spacing w:line="500" w:lineRule="exact"/>
              <w:ind w:firstLine="420" w:firstLineChars="200"/>
            </w:pPr>
            <w:r>
              <w:t>④为防止一般工业固体废物和渗滤液的流失，应构筑堤土墙等设施；</w:t>
            </w:r>
          </w:p>
          <w:p w14:paraId="267651DF">
            <w:pPr>
              <w:adjustRightInd w:val="0"/>
              <w:snapToGrid w:val="0"/>
              <w:spacing w:line="500" w:lineRule="exact"/>
              <w:ind w:firstLine="420" w:firstLineChars="200"/>
            </w:pPr>
            <w:r>
              <w:t>⑤为保障设施、设备</w:t>
            </w:r>
            <w:r>
              <w:rPr>
                <w:rFonts w:hint="eastAsia"/>
                <w:lang w:eastAsia="zh-CN"/>
              </w:rPr>
              <w:t>正常运行</w:t>
            </w:r>
            <w:r>
              <w:t>，必要时应采取措施防止地基下沉，尤其是防止不均匀或局部下沉。</w:t>
            </w:r>
          </w:p>
          <w:p w14:paraId="4830308B">
            <w:pPr>
              <w:adjustRightInd w:val="0"/>
              <w:snapToGrid w:val="0"/>
              <w:spacing w:line="500" w:lineRule="exact"/>
              <w:ind w:firstLine="420" w:firstLineChars="200"/>
            </w:pPr>
            <w:r>
              <w:t>建设项目一般工业固废的暂存场所拟按照《一般工业固体废物贮存和填埋污染控制标准》（GB18599-2020）要求建设，对一般固废堆放区地面进行了硬化，并做好防腐、防渗和防漏处理，制定了</w:t>
            </w:r>
            <w:r>
              <w:rPr>
                <w:rFonts w:hint="eastAsia"/>
                <w:lang w:eastAsia="zh-CN"/>
              </w:rPr>
              <w:t>“</w:t>
            </w:r>
            <w:r>
              <w:t>一般固废仓库管理制度</w:t>
            </w:r>
            <w:r>
              <w:rPr>
                <w:rFonts w:hint="eastAsia"/>
                <w:lang w:eastAsia="zh-CN"/>
              </w:rPr>
              <w:t>”“</w:t>
            </w:r>
            <w:r>
              <w:t>一般工业固废处置管理规定</w:t>
            </w:r>
            <w:r>
              <w:rPr>
                <w:rFonts w:hint="eastAsia"/>
                <w:lang w:eastAsia="zh-CN"/>
              </w:rPr>
              <w:t>”</w:t>
            </w:r>
            <w:r>
              <w:t>，由专人维护。因此，项目一般工业固废的收集、贮存对环境的影响较小。</w:t>
            </w:r>
          </w:p>
          <w:p w14:paraId="2E552305">
            <w:pPr>
              <w:adjustRightInd w:val="0"/>
              <w:snapToGrid w:val="0"/>
              <w:spacing w:line="500" w:lineRule="exact"/>
              <w:ind w:firstLine="420" w:firstLineChars="200"/>
            </w:pPr>
            <w:r>
              <w:t>（2）危险废物贮存场所（设施）情况</w:t>
            </w:r>
          </w:p>
          <w:p w14:paraId="3DA1C15D">
            <w:pPr>
              <w:adjustRightInd w:val="0"/>
              <w:snapToGrid w:val="0"/>
              <w:spacing w:line="500" w:lineRule="exact"/>
              <w:ind w:firstLine="420" w:firstLineChars="200"/>
            </w:pPr>
            <w:r>
              <w:t>项目产生的危险</w:t>
            </w:r>
            <w:r>
              <w:rPr>
                <w:rFonts w:hint="eastAsia"/>
                <w:lang w:eastAsia="zh-CN"/>
              </w:rPr>
              <w:t>废物</w:t>
            </w:r>
            <w:r>
              <w:t>委托有资质的单位处置。危险废物均在各产污</w:t>
            </w:r>
            <w:r>
              <w:rPr>
                <w:rFonts w:hint="eastAsia"/>
                <w:lang w:eastAsia="zh-CN"/>
              </w:rPr>
              <w:t>环节</w:t>
            </w:r>
            <w:r>
              <w:t>做到分类收集和贮存，避免混入生活垃圾中。在运出厂区之前暂存在专门的危废暂存区内。项目设置危险废物贮存场所，占地面积为</w:t>
            </w:r>
            <w:r>
              <w:rPr>
                <w:rFonts w:hint="eastAsia"/>
                <w:lang w:val="en-US" w:eastAsia="zh-CN"/>
              </w:rPr>
              <w:t>1</w:t>
            </w:r>
            <w:r>
              <w:t>0m</w:t>
            </w:r>
            <w:r>
              <w:rPr>
                <w:vertAlign w:val="superscript"/>
              </w:rPr>
              <w:t>2</w:t>
            </w:r>
            <w:r>
              <w:t>，建议存储期</w:t>
            </w:r>
            <w:r>
              <w:rPr>
                <w:rFonts w:hint="eastAsia"/>
              </w:rPr>
              <w:t>3</w:t>
            </w:r>
            <w:r>
              <w:t>个月。危废暂存间选址所在区域地质结构稳定，地震强度4度，满足地震烈度不超过7级的要求；危废暂存间底部高于地下水最高水位；项目危废暂存间不位于溶洞区或易遭受严重自然灾害如洪水、滑坡、泥石流、潮汐等影响的地区；项目危废暂存间建在易燃、易爆等危险品仓库、高压输电线路防护区域以外。危废暂存间应做好防腐、防渗和防漏处理，四周设置围堰，预防废物泄漏。</w:t>
            </w:r>
          </w:p>
          <w:p w14:paraId="1B724B9E">
            <w:pPr>
              <w:adjustRightInd w:val="0"/>
              <w:snapToGrid w:val="0"/>
              <w:spacing w:line="500" w:lineRule="exact"/>
              <w:ind w:firstLine="420" w:firstLineChars="200"/>
              <w:rPr>
                <w:bCs/>
                <w:szCs w:val="21"/>
              </w:rPr>
            </w:pPr>
            <w:r>
              <w:rPr>
                <w:rFonts w:hint="eastAsia"/>
                <w:bCs/>
                <w:szCs w:val="21"/>
              </w:rPr>
              <w:t>根据《危险废物贮存污染控制标准》（GB 18597-2023），</w:t>
            </w:r>
            <w:r>
              <w:rPr>
                <w:rFonts w:hint="default" w:ascii="Times New Roman" w:hAnsi="Times New Roman" w:eastAsia="宋体" w:cs="Times New Roman"/>
                <w:bCs/>
                <w:szCs w:val="21"/>
              </w:rPr>
              <w:t>《省生态环境厅关于印发江苏省固体废物全过程环境监管工作意见》（苏环办〔2024〕16号）</w:t>
            </w:r>
            <w:r>
              <w:rPr>
                <w:rFonts w:hint="eastAsia" w:ascii="Times New Roman" w:hAnsi="Times New Roman" w:eastAsia="宋体" w:cs="Times New Roman"/>
                <w:bCs/>
                <w:szCs w:val="21"/>
                <w:lang w:eastAsia="zh-CN"/>
              </w:rPr>
              <w:t>、省生态环境厅关于做好《危险废物贮存污染控制标准》等标准规范实施后危险废物环境管理衔接工作的通知</w:t>
            </w:r>
            <w:r>
              <w:rPr>
                <w:rFonts w:hint="default" w:ascii="Times New Roman" w:hAnsi="Times New Roman" w:eastAsia="宋体" w:cs="Times New Roman"/>
                <w:bCs/>
                <w:szCs w:val="21"/>
                <w:lang w:eastAsia="zh-CN"/>
              </w:rPr>
              <w:t>（苏环办﹝</w:t>
            </w:r>
            <w:r>
              <w:rPr>
                <w:rFonts w:hint="default" w:ascii="Times New Roman" w:hAnsi="Times New Roman" w:eastAsia="宋体" w:cs="Times New Roman"/>
                <w:bCs/>
                <w:szCs w:val="21"/>
                <w:lang w:val="en-US" w:eastAsia="zh-CN"/>
              </w:rPr>
              <w:t>2023</w:t>
            </w:r>
            <w:r>
              <w:rPr>
                <w:rFonts w:hint="default" w:ascii="Times New Roman" w:hAnsi="Times New Roman" w:eastAsia="宋体" w:cs="Times New Roman"/>
                <w:bCs/>
                <w:szCs w:val="21"/>
                <w:lang w:eastAsia="zh-CN"/>
              </w:rPr>
              <w:t>﹞</w:t>
            </w:r>
            <w:r>
              <w:rPr>
                <w:rFonts w:hint="default" w:ascii="Times New Roman" w:hAnsi="Times New Roman" w:eastAsia="宋体" w:cs="Times New Roman"/>
                <w:bCs/>
                <w:szCs w:val="21"/>
                <w:lang w:val="en-US" w:eastAsia="zh-CN"/>
              </w:rPr>
              <w:t>154号</w:t>
            </w:r>
            <w:r>
              <w:rPr>
                <w:rFonts w:hint="default" w:ascii="Times New Roman" w:hAnsi="Times New Roman" w:eastAsia="宋体" w:cs="Times New Roman"/>
                <w:bCs/>
                <w:szCs w:val="21"/>
                <w:lang w:eastAsia="zh-CN"/>
              </w:rPr>
              <w:t>）</w:t>
            </w:r>
            <w:r>
              <w:rPr>
                <w:rFonts w:hint="default" w:ascii="Times New Roman" w:hAnsi="Times New Roman" w:eastAsia="宋体" w:cs="Times New Roman"/>
                <w:bCs/>
                <w:szCs w:val="21"/>
              </w:rPr>
              <w:t>要求</w:t>
            </w:r>
            <w:r>
              <w:rPr>
                <w:rFonts w:hint="eastAsia" w:ascii="Times New Roman" w:hAnsi="Times New Roman" w:eastAsia="宋体" w:cs="Times New Roman"/>
                <w:bCs/>
                <w:szCs w:val="21"/>
                <w:lang w:eastAsia="zh-CN"/>
              </w:rPr>
              <w:t>，</w:t>
            </w:r>
            <w:r>
              <w:rPr>
                <w:rFonts w:hint="eastAsia"/>
                <w:bCs/>
                <w:szCs w:val="21"/>
              </w:rPr>
              <w:t>危险废物贮存场所（设施）基本情况见下表。</w:t>
            </w:r>
          </w:p>
          <w:p w14:paraId="04A9184B">
            <w:pPr>
              <w:autoSpaceDE w:val="0"/>
              <w:autoSpaceDN w:val="0"/>
              <w:snapToGrid w:val="0"/>
              <w:spacing w:line="500" w:lineRule="exact"/>
              <w:jc w:val="center"/>
              <w:rPr>
                <w:b/>
                <w:snapToGrid w:val="0"/>
                <w:kern w:val="0"/>
              </w:rPr>
            </w:pPr>
            <w:r>
              <w:rPr>
                <w:rFonts w:hint="eastAsia"/>
                <w:b/>
                <w:snapToGrid w:val="0"/>
                <w:kern w:val="0"/>
              </w:rPr>
              <w:t>表4-</w:t>
            </w:r>
            <w:r>
              <w:rPr>
                <w:rFonts w:hint="eastAsia"/>
                <w:b/>
                <w:snapToGrid w:val="0"/>
                <w:kern w:val="0"/>
                <w:lang w:val="en-US" w:eastAsia="zh-CN"/>
              </w:rPr>
              <w:t>31</w:t>
            </w:r>
            <w:r>
              <w:rPr>
                <w:rFonts w:hint="eastAsia"/>
                <w:b/>
                <w:snapToGrid w:val="0"/>
                <w:kern w:val="0"/>
              </w:rPr>
              <w:t xml:space="preserve"> 危废贮存设施污染防治措施</w:t>
            </w:r>
          </w:p>
          <w:tbl>
            <w:tblPr>
              <w:tblStyle w:val="19"/>
              <w:tblW w:w="779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669"/>
              <w:gridCol w:w="3467"/>
            </w:tblGrid>
            <w:tr w14:paraId="03EFC3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63" w:type="dxa"/>
                  <w:vAlign w:val="center"/>
                </w:tcPr>
                <w:p w14:paraId="119C4BDA">
                  <w:pPr>
                    <w:adjustRightInd w:val="0"/>
                    <w:snapToGrid w:val="0"/>
                    <w:jc w:val="center"/>
                    <w:rPr>
                      <w:sz w:val="18"/>
                      <w:szCs w:val="18"/>
                    </w:rPr>
                  </w:pPr>
                  <w:r>
                    <w:rPr>
                      <w:rFonts w:hint="eastAsia"/>
                      <w:sz w:val="18"/>
                      <w:szCs w:val="18"/>
                    </w:rPr>
                    <w:t>类别</w:t>
                  </w:r>
                </w:p>
              </w:tc>
              <w:tc>
                <w:tcPr>
                  <w:tcW w:w="3669" w:type="dxa"/>
                  <w:vAlign w:val="center"/>
                </w:tcPr>
                <w:p w14:paraId="2AC6740C">
                  <w:pPr>
                    <w:adjustRightInd w:val="0"/>
                    <w:snapToGrid w:val="0"/>
                    <w:jc w:val="center"/>
                    <w:rPr>
                      <w:sz w:val="18"/>
                      <w:szCs w:val="18"/>
                    </w:rPr>
                  </w:pPr>
                  <w:r>
                    <w:rPr>
                      <w:rFonts w:hint="eastAsia"/>
                      <w:sz w:val="18"/>
                      <w:szCs w:val="18"/>
                    </w:rPr>
                    <w:t>具体建设要求</w:t>
                  </w:r>
                </w:p>
              </w:tc>
              <w:tc>
                <w:tcPr>
                  <w:tcW w:w="3467" w:type="dxa"/>
                  <w:vAlign w:val="center"/>
                </w:tcPr>
                <w:p w14:paraId="35C858E2">
                  <w:pPr>
                    <w:adjustRightInd w:val="0"/>
                    <w:snapToGrid w:val="0"/>
                    <w:jc w:val="center"/>
                    <w:rPr>
                      <w:sz w:val="18"/>
                      <w:szCs w:val="18"/>
                    </w:rPr>
                  </w:pPr>
                  <w:r>
                    <w:rPr>
                      <w:rFonts w:hint="eastAsia"/>
                      <w:sz w:val="18"/>
                      <w:szCs w:val="18"/>
                    </w:rPr>
                    <w:t>本公司拟采取污染防治措施</w:t>
                  </w:r>
                </w:p>
              </w:tc>
            </w:tr>
            <w:tr w14:paraId="120F27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63" w:type="dxa"/>
                  <w:vMerge w:val="restart"/>
                  <w:vAlign w:val="center"/>
                </w:tcPr>
                <w:p w14:paraId="5149C309">
                  <w:pPr>
                    <w:adjustRightInd w:val="0"/>
                    <w:snapToGrid w:val="0"/>
                    <w:jc w:val="center"/>
                    <w:rPr>
                      <w:sz w:val="18"/>
                      <w:szCs w:val="18"/>
                    </w:rPr>
                  </w:pPr>
                  <w:r>
                    <w:rPr>
                      <w:rFonts w:hint="eastAsia"/>
                      <w:sz w:val="18"/>
                      <w:szCs w:val="18"/>
                    </w:rPr>
                    <w:t>危险废物贮存场所</w:t>
                  </w:r>
                </w:p>
              </w:tc>
              <w:tc>
                <w:tcPr>
                  <w:tcW w:w="3669" w:type="dxa"/>
                  <w:vAlign w:val="center"/>
                </w:tcPr>
                <w:p w14:paraId="682C68E6">
                  <w:pPr>
                    <w:adjustRightInd w:val="0"/>
                    <w:snapToGrid w:val="0"/>
                    <w:rPr>
                      <w:sz w:val="18"/>
                      <w:szCs w:val="18"/>
                    </w:rPr>
                  </w:pPr>
                  <w:r>
                    <w:rPr>
                      <w:rFonts w:hint="eastAsia"/>
                      <w:sz w:val="18"/>
                      <w:szCs w:val="18"/>
                    </w:rPr>
                    <w:t>1、基础必须防渗，并且满足防渗要求；</w:t>
                  </w:r>
                </w:p>
              </w:tc>
              <w:tc>
                <w:tcPr>
                  <w:tcW w:w="3467" w:type="dxa"/>
                  <w:vAlign w:val="center"/>
                </w:tcPr>
                <w:p w14:paraId="0E982CE3">
                  <w:pPr>
                    <w:adjustRightInd w:val="0"/>
                    <w:snapToGrid w:val="0"/>
                    <w:rPr>
                      <w:sz w:val="18"/>
                      <w:szCs w:val="18"/>
                    </w:rPr>
                  </w:pPr>
                  <w:r>
                    <w:rPr>
                      <w:rFonts w:hint="eastAsia"/>
                      <w:sz w:val="18"/>
                      <w:szCs w:val="18"/>
                    </w:rPr>
                    <w:t>危废仓库地面拟采用地面硬化+环氧地坪，底部加设土工膜，防渗等级满足防渗要求</w:t>
                  </w:r>
                </w:p>
              </w:tc>
            </w:tr>
            <w:tr w14:paraId="493256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63" w:type="dxa"/>
                  <w:vMerge w:val="continue"/>
                  <w:vAlign w:val="center"/>
                </w:tcPr>
                <w:p w14:paraId="3C94B6EB">
                  <w:pPr>
                    <w:adjustRightInd w:val="0"/>
                    <w:snapToGrid w:val="0"/>
                    <w:jc w:val="center"/>
                    <w:rPr>
                      <w:sz w:val="18"/>
                      <w:szCs w:val="18"/>
                    </w:rPr>
                  </w:pPr>
                </w:p>
              </w:tc>
              <w:tc>
                <w:tcPr>
                  <w:tcW w:w="3669" w:type="dxa"/>
                  <w:vAlign w:val="center"/>
                </w:tcPr>
                <w:p w14:paraId="34F53B4C">
                  <w:pPr>
                    <w:adjustRightInd w:val="0"/>
                    <w:snapToGrid w:val="0"/>
                    <w:rPr>
                      <w:sz w:val="18"/>
                      <w:szCs w:val="18"/>
                    </w:rPr>
                  </w:pPr>
                  <w:r>
                    <w:rPr>
                      <w:rFonts w:hint="eastAsia"/>
                      <w:sz w:val="18"/>
                      <w:szCs w:val="18"/>
                    </w:rPr>
                    <w:t>2、必须有泄漏液体收集装置、气体导出口及气体净化装置；</w:t>
                  </w:r>
                </w:p>
              </w:tc>
              <w:tc>
                <w:tcPr>
                  <w:tcW w:w="3467" w:type="dxa"/>
                  <w:vAlign w:val="center"/>
                </w:tcPr>
                <w:p w14:paraId="6313514F">
                  <w:pPr>
                    <w:adjustRightInd w:val="0"/>
                    <w:snapToGrid w:val="0"/>
                    <w:jc w:val="center"/>
                    <w:rPr>
                      <w:sz w:val="18"/>
                      <w:szCs w:val="18"/>
                    </w:rPr>
                  </w:pPr>
                  <w:r>
                    <w:rPr>
                      <w:rFonts w:hint="eastAsia"/>
                      <w:sz w:val="18"/>
                      <w:szCs w:val="18"/>
                    </w:rPr>
                    <w:t>危废均密封贮存在危废仓库内，危废定期处置，不涉及气体排放，因此，危废仓库</w:t>
                  </w:r>
                  <w:r>
                    <w:rPr>
                      <w:rFonts w:hint="eastAsia"/>
                      <w:sz w:val="18"/>
                      <w:szCs w:val="18"/>
                      <w:lang w:eastAsia="zh-CN"/>
                    </w:rPr>
                    <w:t>无须设置</w:t>
                  </w:r>
                  <w:r>
                    <w:rPr>
                      <w:rFonts w:hint="eastAsia"/>
                      <w:sz w:val="18"/>
                      <w:szCs w:val="18"/>
                    </w:rPr>
                    <w:t>气体净化装置</w:t>
                  </w:r>
                </w:p>
              </w:tc>
            </w:tr>
            <w:tr w14:paraId="094791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63" w:type="dxa"/>
                  <w:vMerge w:val="continue"/>
                  <w:vAlign w:val="center"/>
                </w:tcPr>
                <w:p w14:paraId="2F991759">
                  <w:pPr>
                    <w:adjustRightInd w:val="0"/>
                    <w:snapToGrid w:val="0"/>
                    <w:jc w:val="center"/>
                    <w:rPr>
                      <w:sz w:val="18"/>
                      <w:szCs w:val="18"/>
                    </w:rPr>
                  </w:pPr>
                </w:p>
              </w:tc>
              <w:tc>
                <w:tcPr>
                  <w:tcW w:w="3669" w:type="dxa"/>
                  <w:vAlign w:val="center"/>
                </w:tcPr>
                <w:p w14:paraId="115959DA">
                  <w:pPr>
                    <w:adjustRightInd w:val="0"/>
                    <w:snapToGrid w:val="0"/>
                    <w:rPr>
                      <w:sz w:val="18"/>
                      <w:szCs w:val="18"/>
                    </w:rPr>
                  </w:pPr>
                  <w:r>
                    <w:rPr>
                      <w:rFonts w:hint="eastAsia"/>
                      <w:sz w:val="18"/>
                      <w:szCs w:val="18"/>
                    </w:rPr>
                    <w:t>3、设施内要有安全照明设施、观察窗口；通讯设施；消防设施；</w:t>
                  </w:r>
                </w:p>
              </w:tc>
              <w:tc>
                <w:tcPr>
                  <w:tcW w:w="3467" w:type="dxa"/>
                  <w:vAlign w:val="center"/>
                </w:tcPr>
                <w:p w14:paraId="52F5CE2A">
                  <w:pPr>
                    <w:adjustRightInd w:val="0"/>
                    <w:snapToGrid w:val="0"/>
                    <w:jc w:val="center"/>
                    <w:rPr>
                      <w:sz w:val="18"/>
                      <w:szCs w:val="18"/>
                    </w:rPr>
                  </w:pPr>
                  <w:r>
                    <w:rPr>
                      <w:rFonts w:hint="eastAsia"/>
                      <w:sz w:val="18"/>
                      <w:szCs w:val="18"/>
                    </w:rPr>
                    <w:t>危废仓库内拟配备通讯设备、防爆灯、禁火标志、灭火器（如黄沙）等</w:t>
                  </w:r>
                </w:p>
              </w:tc>
            </w:tr>
            <w:tr w14:paraId="453F78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63" w:type="dxa"/>
                  <w:vMerge w:val="continue"/>
                  <w:vAlign w:val="center"/>
                </w:tcPr>
                <w:p w14:paraId="13B4A34A">
                  <w:pPr>
                    <w:adjustRightInd w:val="0"/>
                    <w:snapToGrid w:val="0"/>
                    <w:jc w:val="center"/>
                    <w:rPr>
                      <w:sz w:val="18"/>
                      <w:szCs w:val="18"/>
                    </w:rPr>
                  </w:pPr>
                </w:p>
              </w:tc>
              <w:tc>
                <w:tcPr>
                  <w:tcW w:w="3669" w:type="dxa"/>
                  <w:vAlign w:val="center"/>
                </w:tcPr>
                <w:p w14:paraId="7D826513">
                  <w:pPr>
                    <w:adjustRightInd w:val="0"/>
                    <w:snapToGrid w:val="0"/>
                    <w:rPr>
                      <w:sz w:val="18"/>
                      <w:szCs w:val="18"/>
                    </w:rPr>
                  </w:pPr>
                  <w:r>
                    <w:rPr>
                      <w:rFonts w:hint="eastAsia"/>
                      <w:sz w:val="18"/>
                      <w:szCs w:val="18"/>
                    </w:rPr>
                    <w:t>4、危险废物堆要防风、防雨、防晒；</w:t>
                  </w:r>
                </w:p>
              </w:tc>
              <w:tc>
                <w:tcPr>
                  <w:tcW w:w="3467" w:type="dxa"/>
                  <w:vAlign w:val="center"/>
                </w:tcPr>
                <w:p w14:paraId="444E65FC">
                  <w:pPr>
                    <w:adjustRightInd w:val="0"/>
                    <w:snapToGrid w:val="0"/>
                    <w:jc w:val="center"/>
                    <w:rPr>
                      <w:sz w:val="18"/>
                      <w:szCs w:val="18"/>
                    </w:rPr>
                  </w:pPr>
                  <w:r>
                    <w:rPr>
                      <w:rFonts w:hint="eastAsia"/>
                      <w:sz w:val="18"/>
                      <w:szCs w:val="18"/>
                    </w:rPr>
                    <w:t>危废仓库密闭，地面防渗处理，四周设围堰，设置钢筋混凝土导流沟，并采用底部加设土工膜进行防渗，具备防风、防雨、防晒功能</w:t>
                  </w:r>
                </w:p>
              </w:tc>
            </w:tr>
            <w:tr w14:paraId="537702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63" w:type="dxa"/>
                  <w:vMerge w:val="continue"/>
                  <w:vAlign w:val="center"/>
                </w:tcPr>
                <w:p w14:paraId="0513E073">
                  <w:pPr>
                    <w:adjustRightInd w:val="0"/>
                    <w:snapToGrid w:val="0"/>
                    <w:jc w:val="center"/>
                    <w:rPr>
                      <w:sz w:val="18"/>
                      <w:szCs w:val="18"/>
                    </w:rPr>
                  </w:pPr>
                </w:p>
              </w:tc>
              <w:tc>
                <w:tcPr>
                  <w:tcW w:w="3669" w:type="dxa"/>
                  <w:vAlign w:val="center"/>
                </w:tcPr>
                <w:p w14:paraId="292E3FC7">
                  <w:pPr>
                    <w:adjustRightInd w:val="0"/>
                    <w:snapToGrid w:val="0"/>
                    <w:rPr>
                      <w:sz w:val="18"/>
                      <w:szCs w:val="18"/>
                    </w:rPr>
                  </w:pPr>
                  <w:r>
                    <w:rPr>
                      <w:rFonts w:hint="eastAsia"/>
                      <w:sz w:val="18"/>
                      <w:szCs w:val="18"/>
                    </w:rPr>
                    <w:t>5、在危险废物仓库出入口、设施内部、危险废物运输车辆通道等关键位置按照危险废物贮存设施视频监控布设要求设置视频监控，并与中控室联网；</w:t>
                  </w:r>
                </w:p>
              </w:tc>
              <w:tc>
                <w:tcPr>
                  <w:tcW w:w="3467" w:type="dxa"/>
                  <w:vAlign w:val="center"/>
                </w:tcPr>
                <w:p w14:paraId="60D49519">
                  <w:pPr>
                    <w:adjustRightInd w:val="0"/>
                    <w:snapToGrid w:val="0"/>
                    <w:jc w:val="center"/>
                    <w:rPr>
                      <w:sz w:val="18"/>
                      <w:szCs w:val="18"/>
                    </w:rPr>
                  </w:pPr>
                  <w:r>
                    <w:rPr>
                      <w:rFonts w:hint="eastAsia"/>
                      <w:sz w:val="18"/>
                      <w:szCs w:val="18"/>
                    </w:rPr>
                    <w:t>建设单位拟在仓库出入口、仓库内、厂门口等关键位置安装视频监控设施，进行实时监控，并与中控室联网</w:t>
                  </w:r>
                </w:p>
              </w:tc>
            </w:tr>
            <w:tr w14:paraId="46C74F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663" w:type="dxa"/>
                  <w:vMerge w:val="continue"/>
                  <w:vAlign w:val="center"/>
                </w:tcPr>
                <w:p w14:paraId="12677F68">
                  <w:pPr>
                    <w:adjustRightInd w:val="0"/>
                    <w:snapToGrid w:val="0"/>
                    <w:jc w:val="center"/>
                    <w:rPr>
                      <w:sz w:val="18"/>
                      <w:szCs w:val="18"/>
                    </w:rPr>
                  </w:pPr>
                </w:p>
              </w:tc>
              <w:tc>
                <w:tcPr>
                  <w:tcW w:w="3669" w:type="dxa"/>
                  <w:vAlign w:val="center"/>
                </w:tcPr>
                <w:p w14:paraId="0C41CB26">
                  <w:pPr>
                    <w:adjustRightInd w:val="0"/>
                    <w:snapToGrid w:val="0"/>
                    <w:rPr>
                      <w:sz w:val="18"/>
                      <w:szCs w:val="18"/>
                    </w:rPr>
                  </w:pPr>
                  <w:r>
                    <w:rPr>
                      <w:rFonts w:hint="eastAsia"/>
                      <w:sz w:val="18"/>
                      <w:szCs w:val="18"/>
                    </w:rPr>
                    <w:t>6、按照《环境保护图形标志固体废物贮存（处置）场》（GB15562.2-1995）和危险废物识别标识设置规范设置标志；</w:t>
                  </w:r>
                </w:p>
              </w:tc>
              <w:tc>
                <w:tcPr>
                  <w:tcW w:w="3467" w:type="dxa"/>
                  <w:vAlign w:val="center"/>
                </w:tcPr>
                <w:p w14:paraId="6914E8BC">
                  <w:pPr>
                    <w:adjustRightInd w:val="0"/>
                    <w:snapToGrid w:val="0"/>
                    <w:jc w:val="center"/>
                    <w:rPr>
                      <w:sz w:val="18"/>
                      <w:szCs w:val="18"/>
                    </w:rPr>
                  </w:pPr>
                  <w:r>
                    <w:rPr>
                      <w:rFonts w:hint="eastAsia"/>
                      <w:sz w:val="18"/>
                      <w:szCs w:val="18"/>
                    </w:rPr>
                    <w:t>建设单位拟在厂区门口设置危废信息公</w:t>
                  </w:r>
                </w:p>
                <w:p w14:paraId="1A151FEF">
                  <w:pPr>
                    <w:adjustRightInd w:val="0"/>
                    <w:snapToGrid w:val="0"/>
                    <w:jc w:val="center"/>
                    <w:rPr>
                      <w:sz w:val="18"/>
                      <w:szCs w:val="18"/>
                    </w:rPr>
                  </w:pPr>
                  <w:r>
                    <w:rPr>
                      <w:rFonts w:hint="eastAsia"/>
                      <w:sz w:val="18"/>
                      <w:szCs w:val="18"/>
                    </w:rPr>
                    <w:t>开栏，危废仓库外墙及各类危废贮存处墙面设置贮存设施警示标志牌，对危险废</w:t>
                  </w:r>
                  <w:r>
                    <w:rPr>
                      <w:rFonts w:hint="eastAsia"/>
                      <w:sz w:val="18"/>
                      <w:szCs w:val="18"/>
                      <w:lang w:eastAsia="zh-CN"/>
                    </w:rPr>
                    <w:t>物</w:t>
                  </w:r>
                  <w:r>
                    <w:rPr>
                      <w:rFonts w:hint="eastAsia"/>
                      <w:sz w:val="18"/>
                      <w:szCs w:val="18"/>
                    </w:rPr>
                    <w:t>的容器和包装物以及收集、贮存、运输、处置危险废物的设施、场所，拟设置危险废物识别标志</w:t>
                  </w:r>
                </w:p>
              </w:tc>
            </w:tr>
            <w:tr w14:paraId="657555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63" w:type="dxa"/>
                  <w:vMerge w:val="restart"/>
                  <w:vAlign w:val="center"/>
                </w:tcPr>
                <w:p w14:paraId="779B988D">
                  <w:pPr>
                    <w:adjustRightInd w:val="0"/>
                    <w:snapToGrid w:val="0"/>
                    <w:jc w:val="center"/>
                    <w:rPr>
                      <w:sz w:val="18"/>
                      <w:szCs w:val="18"/>
                    </w:rPr>
                  </w:pPr>
                  <w:r>
                    <w:rPr>
                      <w:rFonts w:hint="eastAsia"/>
                      <w:sz w:val="18"/>
                      <w:szCs w:val="18"/>
                    </w:rPr>
                    <w:t>危废贮存过程</w:t>
                  </w:r>
                </w:p>
              </w:tc>
              <w:tc>
                <w:tcPr>
                  <w:tcW w:w="3669" w:type="dxa"/>
                  <w:vAlign w:val="center"/>
                </w:tcPr>
                <w:p w14:paraId="7DABF928">
                  <w:pPr>
                    <w:adjustRightInd w:val="0"/>
                    <w:snapToGrid w:val="0"/>
                    <w:rPr>
                      <w:sz w:val="18"/>
                      <w:szCs w:val="18"/>
                    </w:rPr>
                  </w:pPr>
                  <w:r>
                    <w:rPr>
                      <w:rFonts w:hint="eastAsia"/>
                      <w:sz w:val="18"/>
                      <w:szCs w:val="18"/>
                    </w:rPr>
                    <w:t>1、企业应根据危险废物的种类和特性进行分区、分类贮存</w:t>
                  </w:r>
                </w:p>
              </w:tc>
              <w:tc>
                <w:tcPr>
                  <w:tcW w:w="3467" w:type="dxa"/>
                  <w:vAlign w:val="center"/>
                </w:tcPr>
                <w:p w14:paraId="32F39272">
                  <w:pPr>
                    <w:adjustRightInd w:val="0"/>
                    <w:snapToGrid w:val="0"/>
                    <w:jc w:val="center"/>
                    <w:rPr>
                      <w:sz w:val="18"/>
                      <w:szCs w:val="18"/>
                    </w:rPr>
                  </w:pPr>
                  <w:r>
                    <w:rPr>
                      <w:rFonts w:hint="eastAsia"/>
                      <w:sz w:val="18"/>
                      <w:szCs w:val="18"/>
                    </w:rPr>
                    <w:t>仓库内不同危废分区贮存，危废均密封贮存在危废仓库内</w:t>
                  </w:r>
                </w:p>
              </w:tc>
            </w:tr>
            <w:tr w14:paraId="57DA21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663" w:type="dxa"/>
                  <w:vMerge w:val="continue"/>
                  <w:vAlign w:val="center"/>
                </w:tcPr>
                <w:p w14:paraId="1D25F09B">
                  <w:pPr>
                    <w:adjustRightInd w:val="0"/>
                    <w:snapToGrid w:val="0"/>
                    <w:jc w:val="center"/>
                    <w:rPr>
                      <w:sz w:val="18"/>
                      <w:szCs w:val="18"/>
                    </w:rPr>
                  </w:pPr>
                </w:p>
              </w:tc>
              <w:tc>
                <w:tcPr>
                  <w:tcW w:w="3669" w:type="dxa"/>
                  <w:vAlign w:val="center"/>
                </w:tcPr>
                <w:p w14:paraId="2E80A956">
                  <w:pPr>
                    <w:adjustRightInd w:val="0"/>
                    <w:snapToGrid w:val="0"/>
                    <w:rPr>
                      <w:sz w:val="18"/>
                      <w:szCs w:val="18"/>
                    </w:rPr>
                  </w:pPr>
                  <w:r>
                    <w:rPr>
                      <w:rFonts w:hint="eastAsia"/>
                      <w:sz w:val="18"/>
                      <w:szCs w:val="18"/>
                    </w:rPr>
                    <w:t>2、危险废物贮存容器应当使用符合标准的容器盛装危险废物，装载危险废物的容器及材质要满足相应的强度要求，完好无损，盛装危险废物的容器材质和衬里要与危险废物相容</w:t>
                  </w:r>
                </w:p>
              </w:tc>
              <w:tc>
                <w:tcPr>
                  <w:tcW w:w="3467" w:type="dxa"/>
                  <w:vAlign w:val="center"/>
                </w:tcPr>
                <w:p w14:paraId="742CDB1D">
                  <w:pPr>
                    <w:adjustRightInd w:val="0"/>
                    <w:snapToGrid w:val="0"/>
                    <w:rPr>
                      <w:sz w:val="18"/>
                      <w:szCs w:val="18"/>
                    </w:rPr>
                  </w:pPr>
                  <w:r>
                    <w:rPr>
                      <w:rFonts w:hint="eastAsia"/>
                      <w:sz w:val="18"/>
                      <w:szCs w:val="18"/>
                    </w:rPr>
                    <w:t>建设项目拟采取的危险废物贮存容器材质均与危险废物相容，完好无损，满足要求</w:t>
                  </w:r>
                </w:p>
              </w:tc>
            </w:tr>
            <w:tr w14:paraId="2354FC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63" w:type="dxa"/>
                  <w:vMerge w:val="continue"/>
                  <w:vAlign w:val="center"/>
                </w:tcPr>
                <w:p w14:paraId="6E8D1DC8">
                  <w:pPr>
                    <w:adjustRightInd w:val="0"/>
                    <w:snapToGrid w:val="0"/>
                    <w:jc w:val="center"/>
                    <w:rPr>
                      <w:sz w:val="18"/>
                      <w:szCs w:val="18"/>
                    </w:rPr>
                  </w:pPr>
                </w:p>
              </w:tc>
              <w:tc>
                <w:tcPr>
                  <w:tcW w:w="3669" w:type="dxa"/>
                  <w:vAlign w:val="center"/>
                </w:tcPr>
                <w:p w14:paraId="259B610C">
                  <w:pPr>
                    <w:adjustRightInd w:val="0"/>
                    <w:snapToGrid w:val="0"/>
                    <w:rPr>
                      <w:sz w:val="18"/>
                      <w:szCs w:val="18"/>
                    </w:rPr>
                  </w:pPr>
                  <w:r>
                    <w:rPr>
                      <w:rFonts w:hint="eastAsia"/>
                      <w:sz w:val="18"/>
                      <w:szCs w:val="18"/>
                    </w:rPr>
                    <w:t>3、不得将不相容的废物混合或合并存放。</w:t>
                  </w:r>
                </w:p>
              </w:tc>
              <w:tc>
                <w:tcPr>
                  <w:tcW w:w="3467" w:type="dxa"/>
                  <w:vAlign w:val="center"/>
                </w:tcPr>
                <w:p w14:paraId="619B1014">
                  <w:pPr>
                    <w:adjustRightInd w:val="0"/>
                    <w:snapToGrid w:val="0"/>
                    <w:jc w:val="center"/>
                    <w:rPr>
                      <w:sz w:val="18"/>
                      <w:szCs w:val="18"/>
                    </w:rPr>
                  </w:pPr>
                  <w:r>
                    <w:rPr>
                      <w:rFonts w:hint="eastAsia"/>
                      <w:sz w:val="18"/>
                      <w:szCs w:val="18"/>
                    </w:rPr>
                    <w:t>危废仓库内不同危废分区贮存</w:t>
                  </w:r>
                </w:p>
              </w:tc>
            </w:tr>
            <w:tr w14:paraId="6CB97B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663" w:type="dxa"/>
                  <w:vAlign w:val="center"/>
                </w:tcPr>
                <w:p w14:paraId="44439952">
                  <w:pPr>
                    <w:adjustRightInd w:val="0"/>
                    <w:snapToGrid w:val="0"/>
                    <w:jc w:val="center"/>
                    <w:rPr>
                      <w:sz w:val="18"/>
                      <w:szCs w:val="18"/>
                    </w:rPr>
                  </w:pPr>
                  <w:r>
                    <w:rPr>
                      <w:rFonts w:hint="eastAsia"/>
                      <w:sz w:val="18"/>
                      <w:szCs w:val="18"/>
                    </w:rPr>
                    <w:t>危险废物暂存管理要求</w:t>
                  </w:r>
                </w:p>
              </w:tc>
              <w:tc>
                <w:tcPr>
                  <w:tcW w:w="3669" w:type="dxa"/>
                  <w:vAlign w:val="center"/>
                </w:tcPr>
                <w:p w14:paraId="54BF6BD0">
                  <w:pPr>
                    <w:adjustRightInd w:val="0"/>
                    <w:snapToGrid w:val="0"/>
                    <w:rPr>
                      <w:sz w:val="18"/>
                      <w:szCs w:val="18"/>
                    </w:rPr>
                  </w:pPr>
                  <w:r>
                    <w:rPr>
                      <w:rFonts w:hint="eastAsia"/>
                      <w:sz w:val="18"/>
                      <w:szCs w:val="18"/>
                    </w:rPr>
                    <w:t>须</w:t>
                  </w:r>
                  <w:r>
                    <w:rPr>
                      <w:rFonts w:hint="eastAsia"/>
                      <w:sz w:val="18"/>
                      <w:szCs w:val="18"/>
                      <w:lang w:eastAsia="zh-CN"/>
                    </w:rPr>
                    <w:t>做</w:t>
                  </w:r>
                  <w:r>
                    <w:rPr>
                      <w:rFonts w:hint="eastAsia"/>
                      <w:sz w:val="18"/>
                      <w:szCs w:val="18"/>
                    </w:rPr>
                    <w:t>好危险废物情况的记录，记录上须注明危险废物的名称、来源、数量、特性和包装容器的类别、入库日期、存放库位、废物出库日期及接收单位名称。危险废物的记录和货单在危险废物回取后应继续保留三年。</w:t>
                  </w:r>
                </w:p>
              </w:tc>
              <w:tc>
                <w:tcPr>
                  <w:tcW w:w="3467" w:type="dxa"/>
                  <w:vAlign w:val="center"/>
                </w:tcPr>
                <w:p w14:paraId="11131323">
                  <w:pPr>
                    <w:adjustRightInd w:val="0"/>
                    <w:snapToGrid w:val="0"/>
                    <w:rPr>
                      <w:sz w:val="18"/>
                      <w:szCs w:val="18"/>
                    </w:rPr>
                  </w:pPr>
                  <w:r>
                    <w:rPr>
                      <w:rFonts w:hint="eastAsia"/>
                      <w:sz w:val="18"/>
                      <w:szCs w:val="18"/>
                    </w:rPr>
                    <w:t>拟设立危险废物进出入台账登记管理制度，记录危险废物的名称、来源、数量、特性和包装容器的类别、入库日期、存放库位、废物出库日期及接收单位名称，严格执行危险废物电子联单制度，实行对危险废物从源头到终端处理的全过程监管，确保危险废物100%得到安全处置。危险废物的记录和货单保留三年。</w:t>
                  </w:r>
                </w:p>
              </w:tc>
            </w:tr>
          </w:tbl>
          <w:p w14:paraId="5D924093">
            <w:pPr>
              <w:adjustRightInd w:val="0"/>
              <w:snapToGrid w:val="0"/>
              <w:spacing w:line="500" w:lineRule="exact"/>
              <w:ind w:firstLine="420" w:firstLineChars="200"/>
            </w:pPr>
            <w:r>
              <w:t>5、环境管理要求</w:t>
            </w:r>
          </w:p>
          <w:p w14:paraId="06C9BBB8">
            <w:pPr>
              <w:adjustRightInd w:val="0"/>
              <w:snapToGrid w:val="0"/>
              <w:spacing w:line="500" w:lineRule="exact"/>
              <w:ind w:firstLine="420" w:firstLineChars="200"/>
            </w:pPr>
            <w:r>
              <w:t>在日常营运中，应制定固废管理计划，将固废的产生、贮存、利用、处置等情况纳入生产记录，建立固废管理台账和企业内部产生和收集贮存部门交接制度。</w:t>
            </w:r>
          </w:p>
          <w:p w14:paraId="7D24425B">
            <w:pPr>
              <w:adjustRightInd w:val="0"/>
              <w:snapToGrid w:val="0"/>
              <w:spacing w:line="500" w:lineRule="exact"/>
              <w:ind w:firstLine="420" w:firstLineChars="200"/>
            </w:pPr>
            <w:r>
              <w:t>企业为固体废物污染防治的责任主体，应建立风险管理及应急救援体系，执行环境监测计划、转移联单管理制度及国家和省有关转移管理的相关规定、处置过程安全操作规程、人员培训考核制度、档案管理制度、处置全过程管理制度等。</w:t>
            </w:r>
          </w:p>
          <w:p w14:paraId="5CDDFCC5">
            <w:pPr>
              <w:adjustRightInd w:val="0"/>
              <w:snapToGrid w:val="0"/>
              <w:spacing w:line="500" w:lineRule="exact"/>
              <w:ind w:firstLine="420" w:firstLineChars="200"/>
            </w:pPr>
            <w:r>
              <w:t>固体废物环境影响评价结论：</w:t>
            </w:r>
          </w:p>
          <w:p w14:paraId="0BD3C688">
            <w:pPr>
              <w:adjustRightInd w:val="0"/>
              <w:snapToGrid w:val="0"/>
              <w:spacing w:line="500" w:lineRule="exact"/>
              <w:ind w:firstLine="420" w:firstLineChars="200"/>
            </w:pPr>
            <w:r>
              <w:t>综上所述，建设项目产生的固废经上述措施有效处置，对周边环境影响较小，固废处理措施是可行的。</w:t>
            </w:r>
          </w:p>
          <w:p w14:paraId="62A7DC37">
            <w:pPr>
              <w:adjustRightInd w:val="0"/>
              <w:snapToGrid w:val="0"/>
              <w:spacing w:line="500" w:lineRule="exact"/>
              <w:ind w:firstLine="420" w:firstLineChars="200"/>
              <w:jc w:val="left"/>
            </w:pPr>
            <w:r>
              <w:t>根据《环境保护图形标志固体废物贮存（处置）场》（GB15562.2-1995）</w:t>
            </w:r>
            <w:r>
              <w:rPr>
                <w:rFonts w:hint="eastAsia"/>
                <w:lang w:eastAsia="zh-CN"/>
              </w:rPr>
              <w:t>、危险废物识别标志设置技术规范 （HJ 1276—2022）</w:t>
            </w:r>
            <w:r>
              <w:t>和</w:t>
            </w:r>
            <w:r>
              <w:rPr>
                <w:rFonts w:hint="eastAsia"/>
              </w:rPr>
              <w:t>《江苏省固体废物全过程环境监管工作意见》的通知苏环办[2024]16号）</w:t>
            </w:r>
            <w:r>
              <w:t>。本项目固废堆放场环境保护图形标志的具体要求见表4-</w:t>
            </w:r>
            <w:r>
              <w:rPr>
                <w:rFonts w:hint="eastAsia"/>
                <w:lang w:val="en-US" w:eastAsia="zh-CN"/>
              </w:rPr>
              <w:t>32</w:t>
            </w:r>
            <w:r>
              <w:t>。</w:t>
            </w:r>
          </w:p>
          <w:p w14:paraId="0BCC7937">
            <w:pPr>
              <w:spacing w:line="500" w:lineRule="exact"/>
              <w:ind w:firstLine="422" w:firstLineChars="200"/>
              <w:jc w:val="center"/>
              <w:rPr>
                <w:b/>
              </w:rPr>
            </w:pPr>
            <w:r>
              <w:rPr>
                <w:b/>
              </w:rPr>
              <w:t>表</w:t>
            </w:r>
            <w:r>
              <w:rPr>
                <w:rFonts w:hint="eastAsia"/>
                <w:b/>
              </w:rPr>
              <w:t>4-</w:t>
            </w:r>
            <w:r>
              <w:rPr>
                <w:rFonts w:hint="eastAsia"/>
                <w:b/>
                <w:lang w:val="en-US" w:eastAsia="zh-CN"/>
              </w:rPr>
              <w:t>32</w:t>
            </w:r>
            <w:r>
              <w:rPr>
                <w:rFonts w:hint="eastAsia"/>
                <w:b/>
              </w:rPr>
              <w:t xml:space="preserve"> 建设项目危险废物利用处置方式评价表</w:t>
            </w:r>
          </w:p>
          <w:tbl>
            <w:tblPr>
              <w:tblStyle w:val="19"/>
              <w:tblW w:w="801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47"/>
              <w:gridCol w:w="1134"/>
              <w:gridCol w:w="794"/>
              <w:gridCol w:w="949"/>
              <w:gridCol w:w="2756"/>
            </w:tblGrid>
            <w:tr w14:paraId="7D3548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34" w:type="dxa"/>
                  <w:vAlign w:val="center"/>
                </w:tcPr>
                <w:p w14:paraId="1B326501">
                  <w:pPr>
                    <w:adjustRightInd w:val="0"/>
                    <w:snapToGrid w:val="0"/>
                    <w:jc w:val="center"/>
                    <w:rPr>
                      <w:b/>
                      <w:bCs/>
                      <w:sz w:val="18"/>
                      <w:szCs w:val="18"/>
                    </w:rPr>
                  </w:pPr>
                  <w:r>
                    <w:rPr>
                      <w:rFonts w:hint="eastAsia"/>
                      <w:b/>
                      <w:bCs/>
                      <w:sz w:val="18"/>
                      <w:szCs w:val="18"/>
                    </w:rPr>
                    <w:t>排放口名称</w:t>
                  </w:r>
                </w:p>
              </w:tc>
              <w:tc>
                <w:tcPr>
                  <w:tcW w:w="1247" w:type="dxa"/>
                  <w:vAlign w:val="center"/>
                </w:tcPr>
                <w:p w14:paraId="22FDEDA3">
                  <w:pPr>
                    <w:adjustRightInd w:val="0"/>
                    <w:snapToGrid w:val="0"/>
                    <w:jc w:val="center"/>
                    <w:rPr>
                      <w:b/>
                      <w:bCs/>
                      <w:sz w:val="18"/>
                      <w:szCs w:val="18"/>
                    </w:rPr>
                  </w:pPr>
                  <w:r>
                    <w:rPr>
                      <w:rFonts w:hint="eastAsia"/>
                      <w:b/>
                      <w:bCs/>
                      <w:sz w:val="18"/>
                      <w:szCs w:val="18"/>
                    </w:rPr>
                    <w:t>图形标志</w:t>
                  </w:r>
                </w:p>
              </w:tc>
              <w:tc>
                <w:tcPr>
                  <w:tcW w:w="1134" w:type="dxa"/>
                  <w:vAlign w:val="center"/>
                </w:tcPr>
                <w:p w14:paraId="3675ADE3">
                  <w:pPr>
                    <w:adjustRightInd w:val="0"/>
                    <w:snapToGrid w:val="0"/>
                    <w:jc w:val="center"/>
                    <w:rPr>
                      <w:b/>
                      <w:bCs/>
                      <w:sz w:val="18"/>
                      <w:szCs w:val="18"/>
                    </w:rPr>
                  </w:pPr>
                  <w:r>
                    <w:rPr>
                      <w:rFonts w:hint="eastAsia"/>
                      <w:b/>
                      <w:bCs/>
                      <w:sz w:val="18"/>
                      <w:szCs w:val="18"/>
                    </w:rPr>
                    <w:t>形状</w:t>
                  </w:r>
                </w:p>
              </w:tc>
              <w:tc>
                <w:tcPr>
                  <w:tcW w:w="794" w:type="dxa"/>
                  <w:vAlign w:val="center"/>
                </w:tcPr>
                <w:p w14:paraId="6D5C3B52">
                  <w:pPr>
                    <w:adjustRightInd w:val="0"/>
                    <w:snapToGrid w:val="0"/>
                    <w:jc w:val="center"/>
                    <w:rPr>
                      <w:b/>
                      <w:bCs/>
                      <w:sz w:val="18"/>
                      <w:szCs w:val="18"/>
                    </w:rPr>
                  </w:pPr>
                  <w:r>
                    <w:rPr>
                      <w:rFonts w:hint="eastAsia"/>
                      <w:b/>
                      <w:bCs/>
                      <w:sz w:val="18"/>
                      <w:szCs w:val="18"/>
                    </w:rPr>
                    <w:t>背景</w:t>
                  </w:r>
                </w:p>
                <w:p w14:paraId="2AED4382">
                  <w:pPr>
                    <w:adjustRightInd w:val="0"/>
                    <w:snapToGrid w:val="0"/>
                    <w:jc w:val="center"/>
                    <w:rPr>
                      <w:b/>
                      <w:bCs/>
                      <w:sz w:val="18"/>
                      <w:szCs w:val="18"/>
                    </w:rPr>
                  </w:pPr>
                  <w:r>
                    <w:rPr>
                      <w:rFonts w:hint="eastAsia"/>
                      <w:b/>
                      <w:bCs/>
                      <w:sz w:val="18"/>
                      <w:szCs w:val="18"/>
                    </w:rPr>
                    <w:t>颜色</w:t>
                  </w:r>
                </w:p>
              </w:tc>
              <w:tc>
                <w:tcPr>
                  <w:tcW w:w="949" w:type="dxa"/>
                  <w:vAlign w:val="center"/>
                </w:tcPr>
                <w:p w14:paraId="2F87C9D0">
                  <w:pPr>
                    <w:adjustRightInd w:val="0"/>
                    <w:snapToGrid w:val="0"/>
                    <w:jc w:val="center"/>
                    <w:rPr>
                      <w:b/>
                      <w:bCs/>
                      <w:sz w:val="18"/>
                      <w:szCs w:val="18"/>
                    </w:rPr>
                  </w:pPr>
                  <w:r>
                    <w:rPr>
                      <w:rFonts w:hint="eastAsia"/>
                      <w:b/>
                      <w:bCs/>
                      <w:sz w:val="18"/>
                      <w:szCs w:val="18"/>
                    </w:rPr>
                    <w:t>图形</w:t>
                  </w:r>
                </w:p>
                <w:p w14:paraId="14AEF355">
                  <w:pPr>
                    <w:adjustRightInd w:val="0"/>
                    <w:snapToGrid w:val="0"/>
                    <w:jc w:val="center"/>
                    <w:rPr>
                      <w:b/>
                      <w:bCs/>
                      <w:sz w:val="18"/>
                      <w:szCs w:val="18"/>
                    </w:rPr>
                  </w:pPr>
                  <w:r>
                    <w:rPr>
                      <w:rFonts w:hint="eastAsia"/>
                      <w:b/>
                      <w:bCs/>
                      <w:sz w:val="18"/>
                      <w:szCs w:val="18"/>
                    </w:rPr>
                    <w:t>颜色</w:t>
                  </w:r>
                </w:p>
              </w:tc>
              <w:tc>
                <w:tcPr>
                  <w:tcW w:w="2756" w:type="dxa"/>
                  <w:vAlign w:val="center"/>
                </w:tcPr>
                <w:p w14:paraId="5995FE5D">
                  <w:pPr>
                    <w:adjustRightInd w:val="0"/>
                    <w:snapToGrid w:val="0"/>
                    <w:jc w:val="center"/>
                    <w:rPr>
                      <w:b/>
                      <w:bCs/>
                      <w:sz w:val="18"/>
                      <w:szCs w:val="18"/>
                    </w:rPr>
                  </w:pPr>
                  <w:r>
                    <w:rPr>
                      <w:rFonts w:hint="eastAsia"/>
                      <w:b/>
                      <w:bCs/>
                      <w:sz w:val="18"/>
                      <w:szCs w:val="18"/>
                    </w:rPr>
                    <w:t>图形标志</w:t>
                  </w:r>
                </w:p>
              </w:tc>
            </w:tr>
            <w:tr w14:paraId="2FEF8B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134" w:type="dxa"/>
                  <w:vMerge w:val="restart"/>
                  <w:vAlign w:val="center"/>
                </w:tcPr>
                <w:p w14:paraId="523E8E30">
                  <w:pPr>
                    <w:adjustRightInd w:val="0"/>
                    <w:snapToGrid w:val="0"/>
                    <w:jc w:val="center"/>
                    <w:rPr>
                      <w:sz w:val="18"/>
                      <w:szCs w:val="18"/>
                    </w:rPr>
                  </w:pPr>
                  <w:r>
                    <w:rPr>
                      <w:kern w:val="0"/>
                      <w:sz w:val="18"/>
                      <w:szCs w:val="18"/>
                    </w:rPr>
                    <w:t>危险废物暂存场所</w:t>
                  </w:r>
                </w:p>
              </w:tc>
              <w:tc>
                <w:tcPr>
                  <w:tcW w:w="1247" w:type="dxa"/>
                  <w:vAlign w:val="center"/>
                </w:tcPr>
                <w:p w14:paraId="5A859574">
                  <w:pPr>
                    <w:autoSpaceDE w:val="0"/>
                    <w:autoSpaceDN w:val="0"/>
                    <w:adjustRightInd w:val="0"/>
                    <w:snapToGrid w:val="0"/>
                    <w:jc w:val="center"/>
                    <w:rPr>
                      <w:sz w:val="18"/>
                      <w:szCs w:val="18"/>
                    </w:rPr>
                  </w:pPr>
                  <w:r>
                    <w:rPr>
                      <w:rFonts w:hint="eastAsia"/>
                      <w:kern w:val="0"/>
                      <w:sz w:val="18"/>
                      <w:szCs w:val="18"/>
                    </w:rPr>
                    <w:t>贮存分区标识</w:t>
                  </w:r>
                </w:p>
              </w:tc>
              <w:tc>
                <w:tcPr>
                  <w:tcW w:w="1134" w:type="dxa"/>
                  <w:vAlign w:val="center"/>
                </w:tcPr>
                <w:p w14:paraId="665E14AD">
                  <w:pPr>
                    <w:autoSpaceDE w:val="0"/>
                    <w:autoSpaceDN w:val="0"/>
                    <w:adjustRightInd w:val="0"/>
                    <w:snapToGrid w:val="0"/>
                    <w:jc w:val="center"/>
                    <w:rPr>
                      <w:sz w:val="18"/>
                      <w:szCs w:val="18"/>
                    </w:rPr>
                  </w:pPr>
                  <w:r>
                    <w:rPr>
                      <w:kern w:val="0"/>
                      <w:sz w:val="18"/>
                      <w:szCs w:val="18"/>
                    </w:rPr>
                    <w:t>长方形边框</w:t>
                  </w:r>
                </w:p>
              </w:tc>
              <w:tc>
                <w:tcPr>
                  <w:tcW w:w="794" w:type="dxa"/>
                  <w:vAlign w:val="center"/>
                </w:tcPr>
                <w:p w14:paraId="0F6DA578">
                  <w:pPr>
                    <w:autoSpaceDE w:val="0"/>
                    <w:autoSpaceDN w:val="0"/>
                    <w:adjustRightInd w:val="0"/>
                    <w:snapToGrid w:val="0"/>
                    <w:jc w:val="center"/>
                    <w:rPr>
                      <w:sz w:val="18"/>
                      <w:szCs w:val="18"/>
                    </w:rPr>
                  </w:pPr>
                  <w:r>
                    <w:rPr>
                      <w:kern w:val="0"/>
                      <w:sz w:val="18"/>
                      <w:szCs w:val="18"/>
                    </w:rPr>
                    <w:t>黄色</w:t>
                  </w:r>
                </w:p>
              </w:tc>
              <w:tc>
                <w:tcPr>
                  <w:tcW w:w="949" w:type="dxa"/>
                  <w:vAlign w:val="center"/>
                </w:tcPr>
                <w:p w14:paraId="45746602">
                  <w:pPr>
                    <w:autoSpaceDE w:val="0"/>
                    <w:autoSpaceDN w:val="0"/>
                    <w:adjustRightInd w:val="0"/>
                    <w:snapToGrid w:val="0"/>
                    <w:jc w:val="center"/>
                    <w:rPr>
                      <w:sz w:val="18"/>
                      <w:szCs w:val="18"/>
                    </w:rPr>
                  </w:pPr>
                  <w:r>
                    <w:rPr>
                      <w:rFonts w:hint="eastAsia"/>
                      <w:sz w:val="18"/>
                      <w:szCs w:val="18"/>
                    </w:rPr>
                    <w:t>橘黄色</w:t>
                  </w:r>
                </w:p>
              </w:tc>
              <w:tc>
                <w:tcPr>
                  <w:tcW w:w="2756" w:type="dxa"/>
                  <w:vAlign w:val="center"/>
                </w:tcPr>
                <w:p w14:paraId="6491A5D1">
                  <w:pPr>
                    <w:autoSpaceDE w:val="0"/>
                    <w:autoSpaceDN w:val="0"/>
                    <w:adjustRightInd w:val="0"/>
                    <w:snapToGrid w:val="0"/>
                    <w:jc w:val="center"/>
                    <w:rPr>
                      <w:szCs w:val="21"/>
                    </w:rPr>
                  </w:pPr>
                  <w:r>
                    <w:rPr>
                      <w:rFonts w:hint="eastAsia"/>
                      <w:sz w:val="18"/>
                      <w:szCs w:val="18"/>
                    </w:rPr>
                    <w:drawing>
                      <wp:inline distT="0" distB="0" distL="114300" distR="114300">
                        <wp:extent cx="1567815" cy="1318895"/>
                        <wp:effectExtent l="0" t="0" r="13335" b="14605"/>
                        <wp:docPr id="13" name="图片 7" descr="a501ff290b0be2f0355b7727ee6e6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a501ff290b0be2f0355b7727ee6e60c"/>
                                <pic:cNvPicPr>
                                  <a:picLocks noChangeAspect="1"/>
                                </pic:cNvPicPr>
                              </pic:nvPicPr>
                              <pic:blipFill>
                                <a:blip r:embed="rId12"/>
                                <a:stretch>
                                  <a:fillRect/>
                                </a:stretch>
                              </pic:blipFill>
                              <pic:spPr>
                                <a:xfrm>
                                  <a:off x="0" y="0"/>
                                  <a:ext cx="1567815" cy="1318895"/>
                                </a:xfrm>
                                <a:prstGeom prst="rect">
                                  <a:avLst/>
                                </a:prstGeom>
                                <a:noFill/>
                                <a:ln>
                                  <a:noFill/>
                                </a:ln>
                              </pic:spPr>
                            </pic:pic>
                          </a:graphicData>
                        </a:graphic>
                      </wp:inline>
                    </w:drawing>
                  </w:r>
                </w:p>
              </w:tc>
            </w:tr>
            <w:tr w14:paraId="2297EE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134" w:type="dxa"/>
                  <w:vMerge w:val="continue"/>
                  <w:vAlign w:val="center"/>
                </w:tcPr>
                <w:p w14:paraId="2BA41666">
                  <w:pPr>
                    <w:adjustRightInd w:val="0"/>
                    <w:snapToGrid w:val="0"/>
                    <w:jc w:val="center"/>
                    <w:rPr>
                      <w:sz w:val="18"/>
                      <w:szCs w:val="18"/>
                    </w:rPr>
                  </w:pPr>
                </w:p>
              </w:tc>
              <w:tc>
                <w:tcPr>
                  <w:tcW w:w="1247" w:type="dxa"/>
                  <w:vAlign w:val="center"/>
                </w:tcPr>
                <w:p w14:paraId="69E6B5A1">
                  <w:pPr>
                    <w:autoSpaceDE w:val="0"/>
                    <w:autoSpaceDN w:val="0"/>
                    <w:adjustRightInd w:val="0"/>
                    <w:snapToGrid w:val="0"/>
                    <w:jc w:val="center"/>
                    <w:rPr>
                      <w:sz w:val="18"/>
                      <w:szCs w:val="18"/>
                    </w:rPr>
                  </w:pPr>
                  <w:r>
                    <w:rPr>
                      <w:kern w:val="0"/>
                      <w:sz w:val="18"/>
                      <w:szCs w:val="18"/>
                    </w:rPr>
                    <w:t>贮存设施标志牌</w:t>
                  </w:r>
                </w:p>
              </w:tc>
              <w:tc>
                <w:tcPr>
                  <w:tcW w:w="1134" w:type="dxa"/>
                  <w:vAlign w:val="center"/>
                </w:tcPr>
                <w:p w14:paraId="11C05FDD">
                  <w:pPr>
                    <w:autoSpaceDE w:val="0"/>
                    <w:autoSpaceDN w:val="0"/>
                    <w:adjustRightInd w:val="0"/>
                    <w:snapToGrid w:val="0"/>
                    <w:jc w:val="center"/>
                    <w:rPr>
                      <w:sz w:val="18"/>
                      <w:szCs w:val="18"/>
                    </w:rPr>
                  </w:pPr>
                  <w:r>
                    <w:rPr>
                      <w:kern w:val="0"/>
                      <w:sz w:val="18"/>
                      <w:szCs w:val="18"/>
                    </w:rPr>
                    <w:t>长方形边框</w:t>
                  </w:r>
                </w:p>
              </w:tc>
              <w:tc>
                <w:tcPr>
                  <w:tcW w:w="794" w:type="dxa"/>
                  <w:vAlign w:val="center"/>
                </w:tcPr>
                <w:p w14:paraId="17F21EEB">
                  <w:pPr>
                    <w:autoSpaceDE w:val="0"/>
                    <w:autoSpaceDN w:val="0"/>
                    <w:adjustRightInd w:val="0"/>
                    <w:snapToGrid w:val="0"/>
                    <w:jc w:val="center"/>
                    <w:rPr>
                      <w:sz w:val="18"/>
                      <w:szCs w:val="18"/>
                    </w:rPr>
                  </w:pPr>
                  <w:r>
                    <w:rPr>
                      <w:kern w:val="0"/>
                      <w:sz w:val="18"/>
                      <w:szCs w:val="18"/>
                    </w:rPr>
                    <w:t>黄色</w:t>
                  </w:r>
                </w:p>
              </w:tc>
              <w:tc>
                <w:tcPr>
                  <w:tcW w:w="949" w:type="dxa"/>
                  <w:vAlign w:val="center"/>
                </w:tcPr>
                <w:p w14:paraId="7397B2ED">
                  <w:pPr>
                    <w:autoSpaceDE w:val="0"/>
                    <w:autoSpaceDN w:val="0"/>
                    <w:adjustRightInd w:val="0"/>
                    <w:snapToGrid w:val="0"/>
                    <w:jc w:val="center"/>
                    <w:rPr>
                      <w:sz w:val="18"/>
                      <w:szCs w:val="18"/>
                    </w:rPr>
                  </w:pPr>
                  <w:r>
                    <w:rPr>
                      <w:kern w:val="0"/>
                      <w:sz w:val="18"/>
                      <w:szCs w:val="18"/>
                    </w:rPr>
                    <w:t>黑色</w:t>
                  </w:r>
                </w:p>
              </w:tc>
              <w:tc>
                <w:tcPr>
                  <w:tcW w:w="2756" w:type="dxa"/>
                  <w:vAlign w:val="center"/>
                </w:tcPr>
                <w:p w14:paraId="57E2EE6C">
                  <w:pPr>
                    <w:autoSpaceDE w:val="0"/>
                    <w:autoSpaceDN w:val="0"/>
                    <w:adjustRightInd w:val="0"/>
                    <w:snapToGrid w:val="0"/>
                    <w:jc w:val="center"/>
                    <w:rPr>
                      <w:szCs w:val="21"/>
                    </w:rPr>
                  </w:pPr>
                  <w:r>
                    <w:rPr>
                      <w:rFonts w:hint="eastAsia"/>
                      <w:kern w:val="0"/>
                      <w:sz w:val="18"/>
                      <w:szCs w:val="18"/>
                    </w:rPr>
                    <w:drawing>
                      <wp:inline distT="0" distB="0" distL="114300" distR="114300">
                        <wp:extent cx="1596390" cy="1002665"/>
                        <wp:effectExtent l="0" t="0" r="3810" b="6985"/>
                        <wp:docPr id="12" name="图片 8" descr="528f46504634c351ceb34cc5e45ed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528f46504634c351ceb34cc5e45ed99"/>
                                <pic:cNvPicPr>
                                  <a:picLocks noChangeAspect="1"/>
                                </pic:cNvPicPr>
                              </pic:nvPicPr>
                              <pic:blipFill>
                                <a:blip r:embed="rId13"/>
                                <a:stretch>
                                  <a:fillRect/>
                                </a:stretch>
                              </pic:blipFill>
                              <pic:spPr>
                                <a:xfrm>
                                  <a:off x="0" y="0"/>
                                  <a:ext cx="1596390" cy="1002665"/>
                                </a:xfrm>
                                <a:prstGeom prst="rect">
                                  <a:avLst/>
                                </a:prstGeom>
                                <a:noFill/>
                                <a:ln>
                                  <a:noFill/>
                                </a:ln>
                              </pic:spPr>
                            </pic:pic>
                          </a:graphicData>
                        </a:graphic>
                      </wp:inline>
                    </w:drawing>
                  </w:r>
                </w:p>
              </w:tc>
            </w:tr>
            <w:tr w14:paraId="2B664E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134" w:type="dxa"/>
                  <w:vMerge w:val="continue"/>
                  <w:vAlign w:val="center"/>
                </w:tcPr>
                <w:p w14:paraId="3F391446">
                  <w:pPr>
                    <w:adjustRightInd w:val="0"/>
                    <w:snapToGrid w:val="0"/>
                    <w:jc w:val="center"/>
                    <w:rPr>
                      <w:sz w:val="18"/>
                      <w:szCs w:val="18"/>
                    </w:rPr>
                  </w:pPr>
                </w:p>
              </w:tc>
              <w:tc>
                <w:tcPr>
                  <w:tcW w:w="1247" w:type="dxa"/>
                  <w:vAlign w:val="center"/>
                </w:tcPr>
                <w:p w14:paraId="2FD42A08">
                  <w:pPr>
                    <w:autoSpaceDE w:val="0"/>
                    <w:autoSpaceDN w:val="0"/>
                    <w:adjustRightInd w:val="0"/>
                    <w:snapToGrid w:val="0"/>
                    <w:jc w:val="center"/>
                    <w:rPr>
                      <w:sz w:val="18"/>
                      <w:szCs w:val="18"/>
                    </w:rPr>
                  </w:pPr>
                  <w:r>
                    <w:rPr>
                      <w:kern w:val="0"/>
                      <w:sz w:val="18"/>
                      <w:szCs w:val="18"/>
                    </w:rPr>
                    <w:t>包装识别标签</w:t>
                  </w:r>
                </w:p>
              </w:tc>
              <w:tc>
                <w:tcPr>
                  <w:tcW w:w="1134" w:type="dxa"/>
                  <w:vAlign w:val="center"/>
                </w:tcPr>
                <w:p w14:paraId="7CBB647A">
                  <w:pPr>
                    <w:autoSpaceDE w:val="0"/>
                    <w:autoSpaceDN w:val="0"/>
                    <w:adjustRightInd w:val="0"/>
                    <w:snapToGrid w:val="0"/>
                    <w:jc w:val="center"/>
                    <w:rPr>
                      <w:sz w:val="18"/>
                      <w:szCs w:val="18"/>
                    </w:rPr>
                  </w:pPr>
                  <w:r>
                    <w:rPr>
                      <w:kern w:val="0"/>
                      <w:sz w:val="18"/>
                      <w:szCs w:val="18"/>
                    </w:rPr>
                    <w:t>/</w:t>
                  </w:r>
                </w:p>
              </w:tc>
              <w:tc>
                <w:tcPr>
                  <w:tcW w:w="794" w:type="dxa"/>
                  <w:vAlign w:val="center"/>
                </w:tcPr>
                <w:p w14:paraId="59909314">
                  <w:pPr>
                    <w:autoSpaceDE w:val="0"/>
                    <w:autoSpaceDN w:val="0"/>
                    <w:adjustRightInd w:val="0"/>
                    <w:snapToGrid w:val="0"/>
                    <w:jc w:val="center"/>
                    <w:rPr>
                      <w:sz w:val="18"/>
                      <w:szCs w:val="18"/>
                    </w:rPr>
                  </w:pPr>
                  <w:r>
                    <w:rPr>
                      <w:rFonts w:hint="eastAsia"/>
                      <w:sz w:val="18"/>
                      <w:szCs w:val="18"/>
                    </w:rPr>
                    <w:t>橘黄色</w:t>
                  </w:r>
                </w:p>
              </w:tc>
              <w:tc>
                <w:tcPr>
                  <w:tcW w:w="949" w:type="dxa"/>
                  <w:vAlign w:val="center"/>
                </w:tcPr>
                <w:p w14:paraId="730D5D88">
                  <w:pPr>
                    <w:autoSpaceDE w:val="0"/>
                    <w:autoSpaceDN w:val="0"/>
                    <w:adjustRightInd w:val="0"/>
                    <w:snapToGrid w:val="0"/>
                    <w:jc w:val="center"/>
                    <w:rPr>
                      <w:sz w:val="18"/>
                      <w:szCs w:val="18"/>
                    </w:rPr>
                  </w:pPr>
                  <w:r>
                    <w:rPr>
                      <w:kern w:val="0"/>
                      <w:sz w:val="18"/>
                      <w:szCs w:val="18"/>
                    </w:rPr>
                    <w:t>黑色</w:t>
                  </w:r>
                </w:p>
              </w:tc>
              <w:tc>
                <w:tcPr>
                  <w:tcW w:w="2756" w:type="dxa"/>
                  <w:vAlign w:val="center"/>
                </w:tcPr>
                <w:p w14:paraId="7076B070">
                  <w:pPr>
                    <w:autoSpaceDE w:val="0"/>
                    <w:autoSpaceDN w:val="0"/>
                    <w:adjustRightInd w:val="0"/>
                    <w:snapToGrid w:val="0"/>
                    <w:jc w:val="center"/>
                    <w:rPr>
                      <w:szCs w:val="21"/>
                    </w:rPr>
                  </w:pPr>
                  <w:r>
                    <w:rPr>
                      <w:rFonts w:hint="eastAsia"/>
                      <w:kern w:val="0"/>
                      <w:sz w:val="18"/>
                      <w:szCs w:val="18"/>
                    </w:rPr>
                    <w:drawing>
                      <wp:inline distT="0" distB="0" distL="114300" distR="114300">
                        <wp:extent cx="1483360" cy="1071880"/>
                        <wp:effectExtent l="0" t="0" r="2540" b="13970"/>
                        <wp:docPr id="10" name="图片 9" descr="85cd3f7e3ae128b722fa9e3f3229e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85cd3f7e3ae128b722fa9e3f3229e2e"/>
                                <pic:cNvPicPr>
                                  <a:picLocks noChangeAspect="1"/>
                                </pic:cNvPicPr>
                              </pic:nvPicPr>
                              <pic:blipFill>
                                <a:blip r:embed="rId14"/>
                                <a:stretch>
                                  <a:fillRect/>
                                </a:stretch>
                              </pic:blipFill>
                              <pic:spPr>
                                <a:xfrm>
                                  <a:off x="0" y="0"/>
                                  <a:ext cx="1483360" cy="1071880"/>
                                </a:xfrm>
                                <a:prstGeom prst="rect">
                                  <a:avLst/>
                                </a:prstGeom>
                                <a:noFill/>
                                <a:ln>
                                  <a:noFill/>
                                </a:ln>
                              </pic:spPr>
                            </pic:pic>
                          </a:graphicData>
                        </a:graphic>
                      </wp:inline>
                    </w:drawing>
                  </w:r>
                </w:p>
              </w:tc>
            </w:tr>
            <w:tr w14:paraId="5917E2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134" w:type="dxa"/>
                  <w:vAlign w:val="center"/>
                </w:tcPr>
                <w:p w14:paraId="13695A8F">
                  <w:pPr>
                    <w:adjustRightInd w:val="0"/>
                    <w:snapToGrid w:val="0"/>
                    <w:jc w:val="center"/>
                    <w:rPr>
                      <w:sz w:val="18"/>
                      <w:szCs w:val="18"/>
                    </w:rPr>
                  </w:pPr>
                  <w:r>
                    <w:rPr>
                      <w:rFonts w:hint="eastAsia"/>
                      <w:sz w:val="18"/>
                      <w:szCs w:val="18"/>
                    </w:rPr>
                    <w:t>废气排口</w:t>
                  </w:r>
                </w:p>
              </w:tc>
              <w:tc>
                <w:tcPr>
                  <w:tcW w:w="1247" w:type="dxa"/>
                  <w:vAlign w:val="center"/>
                </w:tcPr>
                <w:p w14:paraId="0DEBEBC6">
                  <w:pPr>
                    <w:adjustRightInd w:val="0"/>
                    <w:snapToGrid w:val="0"/>
                    <w:jc w:val="center"/>
                    <w:rPr>
                      <w:sz w:val="18"/>
                      <w:szCs w:val="18"/>
                    </w:rPr>
                  </w:pPr>
                  <w:r>
                    <w:rPr>
                      <w:rFonts w:hint="eastAsia"/>
                      <w:sz w:val="18"/>
                      <w:szCs w:val="18"/>
                    </w:rPr>
                    <w:t>提示标志</w:t>
                  </w:r>
                </w:p>
              </w:tc>
              <w:tc>
                <w:tcPr>
                  <w:tcW w:w="1134" w:type="dxa"/>
                  <w:vAlign w:val="center"/>
                </w:tcPr>
                <w:p w14:paraId="6247CB03">
                  <w:pPr>
                    <w:adjustRightInd w:val="0"/>
                    <w:snapToGrid w:val="0"/>
                    <w:jc w:val="center"/>
                    <w:rPr>
                      <w:sz w:val="18"/>
                      <w:szCs w:val="18"/>
                    </w:rPr>
                  </w:pPr>
                  <w:r>
                    <w:rPr>
                      <w:rFonts w:hint="eastAsia"/>
                      <w:sz w:val="18"/>
                      <w:szCs w:val="18"/>
                    </w:rPr>
                    <w:t>70</w:t>
                  </w:r>
                  <w:r>
                    <w:rPr>
                      <w:sz w:val="18"/>
                      <w:szCs w:val="18"/>
                    </w:rPr>
                    <w:t>×</w:t>
                  </w:r>
                  <w:r>
                    <w:rPr>
                      <w:rFonts w:hint="eastAsia"/>
                      <w:sz w:val="18"/>
                      <w:szCs w:val="18"/>
                    </w:rPr>
                    <w:t>50cm</w:t>
                  </w:r>
                </w:p>
              </w:tc>
              <w:tc>
                <w:tcPr>
                  <w:tcW w:w="794" w:type="dxa"/>
                  <w:vAlign w:val="center"/>
                </w:tcPr>
                <w:p w14:paraId="5AF8A84E">
                  <w:pPr>
                    <w:adjustRightInd w:val="0"/>
                    <w:snapToGrid w:val="0"/>
                    <w:jc w:val="center"/>
                    <w:rPr>
                      <w:sz w:val="18"/>
                      <w:szCs w:val="18"/>
                    </w:rPr>
                  </w:pPr>
                  <w:r>
                    <w:rPr>
                      <w:rFonts w:hint="eastAsia"/>
                      <w:sz w:val="18"/>
                      <w:szCs w:val="18"/>
                    </w:rPr>
                    <w:t>绿色</w:t>
                  </w:r>
                </w:p>
              </w:tc>
              <w:tc>
                <w:tcPr>
                  <w:tcW w:w="949" w:type="dxa"/>
                  <w:vAlign w:val="center"/>
                </w:tcPr>
                <w:p w14:paraId="7665BFAF">
                  <w:pPr>
                    <w:adjustRightInd w:val="0"/>
                    <w:snapToGrid w:val="0"/>
                    <w:jc w:val="center"/>
                    <w:rPr>
                      <w:sz w:val="18"/>
                      <w:szCs w:val="18"/>
                    </w:rPr>
                  </w:pPr>
                  <w:r>
                    <w:rPr>
                      <w:rFonts w:hint="eastAsia"/>
                      <w:sz w:val="18"/>
                      <w:szCs w:val="18"/>
                    </w:rPr>
                    <w:t>白色</w:t>
                  </w:r>
                </w:p>
              </w:tc>
              <w:tc>
                <w:tcPr>
                  <w:tcW w:w="2756" w:type="dxa"/>
                  <w:vAlign w:val="center"/>
                </w:tcPr>
                <w:p w14:paraId="68FEF540">
                  <w:pPr>
                    <w:adjustRightInd w:val="0"/>
                    <w:snapToGrid w:val="0"/>
                    <w:jc w:val="center"/>
                    <w:rPr>
                      <w:szCs w:val="21"/>
                    </w:rPr>
                  </w:pPr>
                  <w:r>
                    <w:rPr>
                      <w:szCs w:val="21"/>
                    </w:rPr>
                    <w:drawing>
                      <wp:inline distT="0" distB="0" distL="114300" distR="114300">
                        <wp:extent cx="1675765" cy="1003935"/>
                        <wp:effectExtent l="0" t="0" r="635" b="5715"/>
                        <wp:docPr id="9" name="图片 10" descr="E:\桌面\QQ截图20200702162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E:\桌面\QQ截图20200702162140.png"/>
                                <pic:cNvPicPr>
                                  <a:picLocks noChangeAspect="1"/>
                                </pic:cNvPicPr>
                              </pic:nvPicPr>
                              <pic:blipFill>
                                <a:blip r:embed="rId15"/>
                                <a:stretch>
                                  <a:fillRect/>
                                </a:stretch>
                              </pic:blipFill>
                              <pic:spPr>
                                <a:xfrm>
                                  <a:off x="0" y="0"/>
                                  <a:ext cx="1675765" cy="1003935"/>
                                </a:xfrm>
                                <a:prstGeom prst="rect">
                                  <a:avLst/>
                                </a:prstGeom>
                                <a:noFill/>
                                <a:ln>
                                  <a:noFill/>
                                </a:ln>
                              </pic:spPr>
                            </pic:pic>
                          </a:graphicData>
                        </a:graphic>
                      </wp:inline>
                    </w:drawing>
                  </w:r>
                </w:p>
              </w:tc>
            </w:tr>
            <w:tr w14:paraId="50D2E3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134" w:type="dxa"/>
                  <w:vAlign w:val="center"/>
                </w:tcPr>
                <w:p w14:paraId="768D812A">
                  <w:pPr>
                    <w:adjustRightInd w:val="0"/>
                    <w:snapToGrid w:val="0"/>
                    <w:jc w:val="center"/>
                    <w:rPr>
                      <w:sz w:val="18"/>
                      <w:szCs w:val="18"/>
                    </w:rPr>
                  </w:pPr>
                  <w:r>
                    <w:rPr>
                      <w:rFonts w:hint="eastAsia"/>
                      <w:sz w:val="18"/>
                      <w:szCs w:val="18"/>
                    </w:rPr>
                    <w:t>一般固废暂存场所</w:t>
                  </w:r>
                </w:p>
              </w:tc>
              <w:tc>
                <w:tcPr>
                  <w:tcW w:w="1247" w:type="dxa"/>
                  <w:vAlign w:val="center"/>
                </w:tcPr>
                <w:p w14:paraId="4A353492">
                  <w:pPr>
                    <w:adjustRightInd w:val="0"/>
                    <w:snapToGrid w:val="0"/>
                    <w:jc w:val="center"/>
                    <w:rPr>
                      <w:sz w:val="18"/>
                      <w:szCs w:val="18"/>
                    </w:rPr>
                  </w:pPr>
                  <w:r>
                    <w:rPr>
                      <w:rFonts w:hint="eastAsia"/>
                      <w:sz w:val="18"/>
                      <w:szCs w:val="18"/>
                    </w:rPr>
                    <w:t>提示标志</w:t>
                  </w:r>
                </w:p>
              </w:tc>
              <w:tc>
                <w:tcPr>
                  <w:tcW w:w="1134" w:type="dxa"/>
                  <w:vAlign w:val="center"/>
                </w:tcPr>
                <w:p w14:paraId="2BD36845">
                  <w:pPr>
                    <w:adjustRightInd w:val="0"/>
                    <w:snapToGrid w:val="0"/>
                    <w:jc w:val="center"/>
                    <w:rPr>
                      <w:sz w:val="18"/>
                      <w:szCs w:val="18"/>
                    </w:rPr>
                  </w:pPr>
                  <w:r>
                    <w:rPr>
                      <w:rFonts w:hint="eastAsia"/>
                      <w:sz w:val="18"/>
                      <w:szCs w:val="18"/>
                    </w:rPr>
                    <w:t>70</w:t>
                  </w:r>
                  <w:r>
                    <w:rPr>
                      <w:sz w:val="18"/>
                      <w:szCs w:val="18"/>
                    </w:rPr>
                    <w:t>×</w:t>
                  </w:r>
                  <w:r>
                    <w:rPr>
                      <w:rFonts w:hint="eastAsia"/>
                      <w:sz w:val="18"/>
                      <w:szCs w:val="18"/>
                    </w:rPr>
                    <w:t>50cm</w:t>
                  </w:r>
                </w:p>
              </w:tc>
              <w:tc>
                <w:tcPr>
                  <w:tcW w:w="794" w:type="dxa"/>
                  <w:vAlign w:val="center"/>
                </w:tcPr>
                <w:p w14:paraId="205F1EBC">
                  <w:pPr>
                    <w:adjustRightInd w:val="0"/>
                    <w:snapToGrid w:val="0"/>
                    <w:jc w:val="center"/>
                    <w:rPr>
                      <w:sz w:val="18"/>
                      <w:szCs w:val="18"/>
                    </w:rPr>
                  </w:pPr>
                  <w:r>
                    <w:rPr>
                      <w:rFonts w:hint="eastAsia"/>
                      <w:sz w:val="18"/>
                      <w:szCs w:val="18"/>
                    </w:rPr>
                    <w:t>绿色</w:t>
                  </w:r>
                </w:p>
              </w:tc>
              <w:tc>
                <w:tcPr>
                  <w:tcW w:w="949" w:type="dxa"/>
                  <w:vAlign w:val="center"/>
                </w:tcPr>
                <w:p w14:paraId="3EF0FC1B">
                  <w:pPr>
                    <w:adjustRightInd w:val="0"/>
                    <w:snapToGrid w:val="0"/>
                    <w:jc w:val="center"/>
                    <w:rPr>
                      <w:sz w:val="18"/>
                      <w:szCs w:val="18"/>
                    </w:rPr>
                  </w:pPr>
                  <w:r>
                    <w:rPr>
                      <w:rFonts w:hint="eastAsia"/>
                      <w:sz w:val="18"/>
                      <w:szCs w:val="18"/>
                    </w:rPr>
                    <w:t>白色</w:t>
                  </w:r>
                </w:p>
              </w:tc>
              <w:tc>
                <w:tcPr>
                  <w:tcW w:w="2756" w:type="dxa"/>
                  <w:vAlign w:val="center"/>
                </w:tcPr>
                <w:p w14:paraId="2B98746B">
                  <w:pPr>
                    <w:adjustRightInd w:val="0"/>
                    <w:snapToGrid w:val="0"/>
                    <w:jc w:val="center"/>
                    <w:rPr>
                      <w:sz w:val="18"/>
                      <w:szCs w:val="18"/>
                    </w:rPr>
                  </w:pPr>
                  <w:r>
                    <w:rPr>
                      <w:sz w:val="18"/>
                      <w:szCs w:val="18"/>
                    </w:rPr>
                    <w:drawing>
                      <wp:inline distT="0" distB="0" distL="114300" distR="114300">
                        <wp:extent cx="1661795" cy="991235"/>
                        <wp:effectExtent l="0" t="0" r="14605" b="18415"/>
                        <wp:docPr id="6" name="图片 13" descr="E:\桌面\QQ截图20200702161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descr="E:\桌面\QQ截图20200702161351.png"/>
                                <pic:cNvPicPr>
                                  <a:picLocks noChangeAspect="1"/>
                                </pic:cNvPicPr>
                              </pic:nvPicPr>
                              <pic:blipFill>
                                <a:blip r:embed="rId16"/>
                                <a:stretch>
                                  <a:fillRect/>
                                </a:stretch>
                              </pic:blipFill>
                              <pic:spPr>
                                <a:xfrm>
                                  <a:off x="0" y="0"/>
                                  <a:ext cx="1661795" cy="991235"/>
                                </a:xfrm>
                                <a:prstGeom prst="rect">
                                  <a:avLst/>
                                </a:prstGeom>
                                <a:noFill/>
                                <a:ln>
                                  <a:noFill/>
                                </a:ln>
                              </pic:spPr>
                            </pic:pic>
                          </a:graphicData>
                        </a:graphic>
                      </wp:inline>
                    </w:drawing>
                  </w:r>
                </w:p>
              </w:tc>
            </w:tr>
          </w:tbl>
          <w:p w14:paraId="6F78AE70">
            <w:pPr>
              <w:widowControl/>
              <w:spacing w:line="500" w:lineRule="exact"/>
              <w:ind w:firstLine="422" w:firstLineChars="200"/>
              <w:jc w:val="left"/>
              <w:rPr>
                <w:b/>
                <w:bCs/>
              </w:rPr>
            </w:pPr>
            <w:r>
              <w:rPr>
                <w:b/>
                <w:bCs/>
              </w:rPr>
              <w:t xml:space="preserve">五、地下水、土壤环境影响分析 </w:t>
            </w:r>
          </w:p>
          <w:p w14:paraId="66092A91">
            <w:pPr>
              <w:widowControl/>
              <w:spacing w:line="500" w:lineRule="exact"/>
              <w:ind w:firstLine="420" w:firstLineChars="200"/>
              <w:jc w:val="left"/>
            </w:pPr>
            <w:r>
              <w:rPr>
                <w:rFonts w:hint="eastAsia"/>
              </w:rPr>
              <w:t>一、地下水污染源及途径</w:t>
            </w:r>
          </w:p>
          <w:p w14:paraId="5C94CA7B">
            <w:pPr>
              <w:widowControl/>
              <w:spacing w:line="500" w:lineRule="exact"/>
              <w:ind w:firstLine="420" w:firstLineChars="200"/>
              <w:jc w:val="left"/>
            </w:pPr>
            <w:r>
              <w:rPr>
                <w:rFonts w:hint="eastAsia"/>
              </w:rPr>
              <w:t>污染物从污染源进入地下水所经过路径称为地下水污染途径，地下水污染途径是多种多样的。根据工程所处区域地质情况，拟建项目可能对地下水造成污染的途径主要有：危废暂存库废液下渗对地下水造成的污染。</w:t>
            </w:r>
          </w:p>
          <w:p w14:paraId="29746C11">
            <w:pPr>
              <w:widowControl/>
              <w:spacing w:line="500" w:lineRule="exact"/>
              <w:ind w:firstLine="420" w:firstLineChars="200"/>
              <w:jc w:val="left"/>
            </w:pPr>
            <w:r>
              <w:rPr>
                <w:rFonts w:hint="eastAsia"/>
              </w:rPr>
              <w:t>项目发生事故泄漏时，泄漏物质首先进入包气带，在包气带中污染物的运移以垂向为主，所发生的过程主要包括对流、弥散、吸附和解析、生物降解、挥发等。当污染物穿透了包气带后就会到达地下水潜水含水层，由于潜水含水层以上无隔水层保护，包气带厚度又小，潜水水质的防护能力较差。若危险废物贮存场地等没有专门的防渗措施或防渗措施不到位，必然会导致一些渗滤液渗入地下而污染潜水层。本项目厂房内危废暂存库按照《危险废物贮存污染控制标准》（GB18597-2023）的相关要求进行地下水污染防渗措施的建设。</w:t>
            </w:r>
          </w:p>
          <w:p w14:paraId="08F7A8B8">
            <w:pPr>
              <w:widowControl/>
              <w:spacing w:line="500" w:lineRule="exact"/>
              <w:ind w:firstLine="420" w:firstLineChars="200"/>
              <w:jc w:val="left"/>
            </w:pPr>
            <w:r>
              <w:rPr>
                <w:rFonts w:hint="eastAsia"/>
              </w:rPr>
              <w:t>二、地下水污染源及途径</w:t>
            </w:r>
          </w:p>
          <w:p w14:paraId="0CCBCC10">
            <w:pPr>
              <w:widowControl/>
              <w:spacing w:line="500" w:lineRule="exact"/>
              <w:ind w:firstLine="420" w:firstLineChars="200"/>
              <w:jc w:val="left"/>
            </w:pPr>
            <w:r>
              <w:rPr>
                <w:rFonts w:hint="eastAsia"/>
              </w:rPr>
              <w:t>（1）污染途径</w:t>
            </w:r>
          </w:p>
          <w:p w14:paraId="5CA10A00">
            <w:pPr>
              <w:widowControl/>
              <w:spacing w:line="500" w:lineRule="exact"/>
              <w:ind w:firstLine="420" w:firstLineChars="200"/>
              <w:jc w:val="left"/>
            </w:pPr>
            <w:r>
              <w:rPr>
                <w:rFonts w:hint="eastAsia"/>
              </w:rPr>
              <w:t>项目运行期可能对土壤环境产生影响的途径包括垂直入渗。</w:t>
            </w:r>
          </w:p>
          <w:p w14:paraId="65513157">
            <w:pPr>
              <w:widowControl/>
              <w:spacing w:line="500" w:lineRule="exact"/>
              <w:ind w:firstLine="420" w:firstLineChars="200"/>
              <w:jc w:val="left"/>
            </w:pPr>
            <w:r>
              <w:rPr>
                <w:rFonts w:hint="eastAsia"/>
              </w:rPr>
              <w:t>（2）污染源及污染物类型</w:t>
            </w:r>
          </w:p>
          <w:p w14:paraId="173CF776">
            <w:pPr>
              <w:widowControl/>
              <w:spacing w:line="500" w:lineRule="exact"/>
              <w:ind w:firstLine="420" w:firstLineChars="200"/>
              <w:jc w:val="left"/>
            </w:pPr>
            <w:r>
              <w:rPr>
                <w:rFonts w:hint="eastAsia"/>
              </w:rPr>
              <w:t>垂直入渗主要为</w:t>
            </w:r>
            <w:r>
              <w:rPr>
                <w:rFonts w:hint="eastAsia"/>
                <w:lang w:eastAsia="zh-CN"/>
              </w:rPr>
              <w:t>润滑油</w:t>
            </w:r>
            <w:r>
              <w:rPr>
                <w:rFonts w:hint="eastAsia"/>
              </w:rPr>
              <w:t>等垂直入渗对土壤垂直方向向下的土壤环境质量产生影响。正常状况下，本项目相关拟建工程防渗措施均按照设计要求进行，采取严格的防渗、防溢流、防泄漏、防腐蚀等措施，且措施未发生破坏正常运行情况，污水不会渗入和进入土壤，对土壤不会造成污染。</w:t>
            </w:r>
          </w:p>
          <w:p w14:paraId="66537401">
            <w:pPr>
              <w:widowControl/>
              <w:numPr>
                <w:ilvl w:val="0"/>
                <w:numId w:val="7"/>
              </w:numPr>
              <w:spacing w:line="500" w:lineRule="exact"/>
              <w:ind w:firstLine="420" w:firstLineChars="200"/>
              <w:jc w:val="left"/>
            </w:pPr>
            <w:r>
              <w:rPr>
                <w:rFonts w:hint="eastAsia"/>
              </w:rPr>
              <w:t>地下水、土壤防范措施</w:t>
            </w:r>
          </w:p>
          <w:p w14:paraId="20571793">
            <w:pPr>
              <w:widowControl/>
              <w:spacing w:line="500" w:lineRule="exact"/>
              <w:ind w:firstLine="420" w:firstLineChars="200"/>
              <w:jc w:val="left"/>
            </w:pPr>
            <w:r>
              <w:rPr>
                <w:rFonts w:hint="eastAsia"/>
              </w:rPr>
              <w:t>项目投产后，如企业管理不当或防治措施未到位的情况下，项目所产生的废水和固废会通过不同途径进入到地下水和土壤中，从而污染到地下水和土壤环境。因此，企业在本项目的建设过程中采取了最严格的防渗措施，确保不发生废液渗漏现象，确保项目所在地的地下水及土壤不受污染。防渗处理是防止地下水污染的重要环保保护措施，也是杜绝地下水污染的最后一道防线。根据项目区域水文地质情况及项目特点，提出如下污染防治措施及防渗要求。</w:t>
            </w:r>
          </w:p>
          <w:p w14:paraId="67A064C1">
            <w:pPr>
              <w:widowControl/>
              <w:spacing w:line="500" w:lineRule="exact"/>
              <w:ind w:firstLine="420" w:firstLineChars="200"/>
              <w:jc w:val="left"/>
            </w:pPr>
            <w:r>
              <w:rPr>
                <w:rFonts w:hint="eastAsia"/>
              </w:rPr>
              <w:t>拟建项目厂区应划分为非污染区和污染区，污染区分为一般污染区、重点污染区及特殊污染区。非污染区可不进行防渗处理，污染区则应按照不同分区要求，采取不同等级的防渗措施，并确保其可靠性和有效性。一般污染区的防渗设计应满足《一般工业固体废物贮存和填埋污染控制标准》（GB18599-2020），重点及特殊污染区的防渗设计应满足《危险废物贮存污染控制标准》（GB18597-2023）。</w:t>
            </w:r>
          </w:p>
          <w:p w14:paraId="16B131B7">
            <w:pPr>
              <w:widowControl/>
              <w:spacing w:line="500" w:lineRule="exact"/>
              <w:ind w:firstLine="420" w:firstLineChars="200"/>
              <w:jc w:val="left"/>
              <w:rPr>
                <w:rFonts w:hint="default" w:eastAsia="宋体"/>
                <w:b/>
                <w:bCs/>
                <w:lang w:val="en-US" w:eastAsia="zh-CN"/>
              </w:rPr>
            </w:pPr>
            <w:r>
              <w:t>本项目地下水污染防渗分区见表4-</w:t>
            </w:r>
            <w:r>
              <w:rPr>
                <w:rFonts w:hint="eastAsia"/>
                <w:lang w:val="en-US" w:eastAsia="zh-CN"/>
              </w:rPr>
              <w:t>33</w:t>
            </w:r>
          </w:p>
          <w:p w14:paraId="1E3A8ECC">
            <w:pPr>
              <w:widowControl/>
              <w:spacing w:line="360" w:lineRule="auto"/>
              <w:jc w:val="center"/>
            </w:pPr>
            <w:r>
              <w:rPr>
                <w:b/>
                <w:bCs/>
              </w:rPr>
              <w:t>表4-</w:t>
            </w:r>
            <w:r>
              <w:rPr>
                <w:rFonts w:hint="eastAsia"/>
                <w:b/>
                <w:bCs/>
                <w:lang w:val="en-US" w:eastAsia="zh-CN"/>
              </w:rPr>
              <w:t>33</w:t>
            </w:r>
            <w:r>
              <w:rPr>
                <w:rFonts w:hint="eastAsia"/>
                <w:b/>
                <w:bCs/>
              </w:rPr>
              <w:t xml:space="preserve"> </w:t>
            </w:r>
            <w:r>
              <w:rPr>
                <w:b/>
                <w:bCs/>
              </w:rPr>
              <w:t>项目厂区地下水污染防渗分区</w:t>
            </w:r>
          </w:p>
          <w:tbl>
            <w:tblPr>
              <w:tblStyle w:val="19"/>
              <w:tblW w:w="8169"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108"/>
              <w:gridCol w:w="1321"/>
              <w:gridCol w:w="5117"/>
            </w:tblGrid>
            <w:tr w14:paraId="7A49E5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23" w:type="dxa"/>
                  <w:vAlign w:val="center"/>
                </w:tcPr>
                <w:p w14:paraId="514EA9E0">
                  <w:pPr>
                    <w:jc w:val="center"/>
                    <w:rPr>
                      <w:sz w:val="18"/>
                      <w:szCs w:val="18"/>
                    </w:rPr>
                  </w:pPr>
                  <w:r>
                    <w:rPr>
                      <w:sz w:val="18"/>
                      <w:szCs w:val="18"/>
                    </w:rPr>
                    <w:t>序号</w:t>
                  </w:r>
                </w:p>
              </w:tc>
              <w:tc>
                <w:tcPr>
                  <w:tcW w:w="1108" w:type="dxa"/>
                  <w:vAlign w:val="center"/>
                </w:tcPr>
                <w:p w14:paraId="44AB3EE9">
                  <w:pPr>
                    <w:jc w:val="center"/>
                    <w:rPr>
                      <w:sz w:val="18"/>
                      <w:szCs w:val="18"/>
                    </w:rPr>
                  </w:pPr>
                  <w:r>
                    <w:rPr>
                      <w:sz w:val="18"/>
                      <w:szCs w:val="18"/>
                    </w:rPr>
                    <w:t>防渗分区</w:t>
                  </w:r>
                </w:p>
              </w:tc>
              <w:tc>
                <w:tcPr>
                  <w:tcW w:w="1321" w:type="dxa"/>
                  <w:vAlign w:val="center"/>
                </w:tcPr>
                <w:p w14:paraId="1245B787">
                  <w:pPr>
                    <w:jc w:val="center"/>
                    <w:rPr>
                      <w:sz w:val="18"/>
                      <w:szCs w:val="18"/>
                    </w:rPr>
                  </w:pPr>
                  <w:r>
                    <w:rPr>
                      <w:sz w:val="18"/>
                      <w:szCs w:val="18"/>
                    </w:rPr>
                    <w:t>分区位置</w:t>
                  </w:r>
                </w:p>
              </w:tc>
              <w:tc>
                <w:tcPr>
                  <w:tcW w:w="5117" w:type="dxa"/>
                  <w:vAlign w:val="center"/>
                </w:tcPr>
                <w:p w14:paraId="3F4B56A4">
                  <w:pPr>
                    <w:jc w:val="center"/>
                    <w:rPr>
                      <w:sz w:val="18"/>
                      <w:szCs w:val="18"/>
                    </w:rPr>
                  </w:pPr>
                  <w:r>
                    <w:rPr>
                      <w:sz w:val="18"/>
                      <w:szCs w:val="18"/>
                    </w:rPr>
                    <w:t>防渗技术要求</w:t>
                  </w:r>
                </w:p>
              </w:tc>
            </w:tr>
            <w:tr w14:paraId="200760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3" w:type="dxa"/>
                  <w:vAlign w:val="center"/>
                </w:tcPr>
                <w:p w14:paraId="06AC278E">
                  <w:pPr>
                    <w:jc w:val="center"/>
                    <w:rPr>
                      <w:sz w:val="18"/>
                      <w:szCs w:val="18"/>
                    </w:rPr>
                  </w:pPr>
                  <w:r>
                    <w:rPr>
                      <w:sz w:val="18"/>
                      <w:szCs w:val="18"/>
                    </w:rPr>
                    <w:t>1</w:t>
                  </w:r>
                </w:p>
              </w:tc>
              <w:tc>
                <w:tcPr>
                  <w:tcW w:w="1108" w:type="dxa"/>
                  <w:vAlign w:val="center"/>
                </w:tcPr>
                <w:p w14:paraId="28869E22">
                  <w:pPr>
                    <w:jc w:val="center"/>
                    <w:rPr>
                      <w:sz w:val="18"/>
                      <w:szCs w:val="18"/>
                    </w:rPr>
                  </w:pPr>
                  <w:r>
                    <w:rPr>
                      <w:sz w:val="18"/>
                      <w:szCs w:val="18"/>
                    </w:rPr>
                    <w:t>重点防渗区</w:t>
                  </w:r>
                </w:p>
              </w:tc>
              <w:tc>
                <w:tcPr>
                  <w:tcW w:w="1321" w:type="dxa"/>
                  <w:vAlign w:val="center"/>
                </w:tcPr>
                <w:p w14:paraId="2184AFD5">
                  <w:pPr>
                    <w:jc w:val="center"/>
                    <w:rPr>
                      <w:rFonts w:hint="eastAsia" w:eastAsia="宋体"/>
                      <w:sz w:val="18"/>
                      <w:szCs w:val="18"/>
                      <w:lang w:eastAsia="zh-CN"/>
                    </w:rPr>
                  </w:pPr>
                  <w:r>
                    <w:rPr>
                      <w:sz w:val="18"/>
                      <w:szCs w:val="18"/>
                    </w:rPr>
                    <w:t>危废仓库</w:t>
                  </w:r>
                </w:p>
              </w:tc>
              <w:tc>
                <w:tcPr>
                  <w:tcW w:w="5117" w:type="dxa"/>
                  <w:vAlign w:val="center"/>
                </w:tcPr>
                <w:p w14:paraId="07E31026">
                  <w:pPr>
                    <w:jc w:val="center"/>
                    <w:rPr>
                      <w:sz w:val="18"/>
                      <w:szCs w:val="18"/>
                    </w:rPr>
                  </w:pPr>
                  <w:r>
                    <w:rPr>
                      <w:sz w:val="18"/>
                      <w:szCs w:val="18"/>
                    </w:rPr>
                    <w:t>依据国家危险贮存标准要求设计、施工，采用200mm 厚C15砼垫层随打随抹光，设置钢筋混凝土围堰，并采用底部加设土工膜进行防渗，使渗透系数不大于10</w:t>
                  </w:r>
                  <w:r>
                    <w:rPr>
                      <w:rFonts w:hint="eastAsia"/>
                      <w:sz w:val="18"/>
                      <w:szCs w:val="18"/>
                      <w:vertAlign w:val="superscript"/>
                      <w:lang w:eastAsia="zh-CN"/>
                    </w:rPr>
                    <w:t>—</w:t>
                  </w:r>
                  <w:r>
                    <w:rPr>
                      <w:sz w:val="18"/>
                      <w:szCs w:val="18"/>
                      <w:vertAlign w:val="superscript"/>
                    </w:rPr>
                    <w:t>10</w:t>
                  </w:r>
                  <w:r>
                    <w:rPr>
                      <w:sz w:val="18"/>
                      <w:szCs w:val="18"/>
                    </w:rPr>
                    <w:t>cm/s，且防雨和防晒</w:t>
                  </w:r>
                </w:p>
              </w:tc>
            </w:tr>
            <w:tr w14:paraId="6AEFD9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23" w:type="dxa"/>
                  <w:vAlign w:val="center"/>
                </w:tcPr>
                <w:p w14:paraId="3F1C3D30">
                  <w:pPr>
                    <w:jc w:val="center"/>
                    <w:rPr>
                      <w:rFonts w:hint="eastAsia" w:eastAsia="宋体"/>
                      <w:sz w:val="18"/>
                      <w:szCs w:val="18"/>
                      <w:lang w:eastAsia="zh-CN"/>
                    </w:rPr>
                  </w:pPr>
                  <w:r>
                    <w:rPr>
                      <w:rFonts w:hint="eastAsia"/>
                      <w:sz w:val="18"/>
                      <w:szCs w:val="18"/>
                      <w:lang w:val="en-US" w:eastAsia="zh-CN"/>
                    </w:rPr>
                    <w:t>2</w:t>
                  </w:r>
                </w:p>
              </w:tc>
              <w:tc>
                <w:tcPr>
                  <w:tcW w:w="1108" w:type="dxa"/>
                  <w:vMerge w:val="restart"/>
                  <w:vAlign w:val="center"/>
                </w:tcPr>
                <w:p w14:paraId="17ADAEBA">
                  <w:pPr>
                    <w:jc w:val="center"/>
                    <w:rPr>
                      <w:sz w:val="18"/>
                      <w:szCs w:val="18"/>
                    </w:rPr>
                  </w:pPr>
                  <w:r>
                    <w:rPr>
                      <w:sz w:val="18"/>
                      <w:szCs w:val="18"/>
                    </w:rPr>
                    <w:t>一般防渗区</w:t>
                  </w:r>
                </w:p>
              </w:tc>
              <w:tc>
                <w:tcPr>
                  <w:tcW w:w="1321" w:type="dxa"/>
                  <w:vAlign w:val="center"/>
                </w:tcPr>
                <w:p w14:paraId="6775ED1C">
                  <w:pPr>
                    <w:jc w:val="center"/>
                    <w:rPr>
                      <w:sz w:val="18"/>
                      <w:szCs w:val="18"/>
                    </w:rPr>
                  </w:pPr>
                  <w:r>
                    <w:rPr>
                      <w:rFonts w:hint="eastAsia"/>
                      <w:sz w:val="18"/>
                      <w:szCs w:val="18"/>
                    </w:rPr>
                    <w:t>化粪池</w:t>
                  </w:r>
                  <w:r>
                    <w:rPr>
                      <w:rFonts w:hint="eastAsia"/>
                      <w:sz w:val="18"/>
                      <w:szCs w:val="18"/>
                      <w:lang w:eastAsia="zh-CN"/>
                    </w:rPr>
                    <w:t>、事故应急池</w:t>
                  </w:r>
                </w:p>
              </w:tc>
              <w:tc>
                <w:tcPr>
                  <w:tcW w:w="5117" w:type="dxa"/>
                  <w:vAlign w:val="center"/>
                </w:tcPr>
                <w:p w14:paraId="7295EF63">
                  <w:pPr>
                    <w:jc w:val="center"/>
                    <w:rPr>
                      <w:sz w:val="18"/>
                      <w:szCs w:val="18"/>
                    </w:rPr>
                  </w:pPr>
                  <w:r>
                    <w:rPr>
                      <w:rFonts w:hint="eastAsia"/>
                      <w:sz w:val="18"/>
                      <w:szCs w:val="18"/>
                    </w:rPr>
                    <w:t>池底宜略呈弧形，排污管道宜在高处设立小溢流口，以保证气体的排放，池底应采用防渗漏材料，外池应设有防渗挡墙，以防止渗漏</w:t>
                  </w:r>
                </w:p>
              </w:tc>
            </w:tr>
            <w:tr w14:paraId="38F148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23" w:type="dxa"/>
                  <w:vAlign w:val="center"/>
                </w:tcPr>
                <w:p w14:paraId="5EDFBED9">
                  <w:pPr>
                    <w:jc w:val="center"/>
                    <w:rPr>
                      <w:rFonts w:hint="eastAsia" w:eastAsia="宋体"/>
                      <w:sz w:val="18"/>
                      <w:szCs w:val="18"/>
                      <w:lang w:eastAsia="zh-CN"/>
                    </w:rPr>
                  </w:pPr>
                  <w:r>
                    <w:rPr>
                      <w:rFonts w:hint="eastAsia"/>
                      <w:sz w:val="18"/>
                      <w:szCs w:val="18"/>
                      <w:lang w:val="en-US" w:eastAsia="zh-CN"/>
                    </w:rPr>
                    <w:t>3</w:t>
                  </w:r>
                </w:p>
              </w:tc>
              <w:tc>
                <w:tcPr>
                  <w:tcW w:w="1108" w:type="dxa"/>
                  <w:vMerge w:val="continue"/>
                  <w:vAlign w:val="center"/>
                </w:tcPr>
                <w:p w14:paraId="5B3B3203">
                  <w:pPr>
                    <w:jc w:val="center"/>
                    <w:rPr>
                      <w:sz w:val="18"/>
                      <w:szCs w:val="18"/>
                    </w:rPr>
                  </w:pPr>
                </w:p>
              </w:tc>
              <w:tc>
                <w:tcPr>
                  <w:tcW w:w="1321" w:type="dxa"/>
                  <w:vAlign w:val="center"/>
                </w:tcPr>
                <w:p w14:paraId="6C7EB18D">
                  <w:pPr>
                    <w:jc w:val="center"/>
                    <w:rPr>
                      <w:sz w:val="18"/>
                      <w:szCs w:val="18"/>
                    </w:rPr>
                  </w:pPr>
                  <w:r>
                    <w:rPr>
                      <w:sz w:val="18"/>
                      <w:szCs w:val="18"/>
                    </w:rPr>
                    <w:t>一般固废仓库</w:t>
                  </w:r>
                </w:p>
              </w:tc>
              <w:tc>
                <w:tcPr>
                  <w:tcW w:w="5117" w:type="dxa"/>
                  <w:vAlign w:val="center"/>
                </w:tcPr>
                <w:p w14:paraId="0F89B566">
                  <w:pPr>
                    <w:jc w:val="center"/>
                    <w:rPr>
                      <w:sz w:val="18"/>
                      <w:szCs w:val="18"/>
                    </w:rPr>
                  </w:pPr>
                  <w:r>
                    <w:rPr>
                      <w:sz w:val="18"/>
                      <w:szCs w:val="18"/>
                    </w:rPr>
                    <w:t>地面基础防渗和构筑物防渗等级达到渗透系数≤10</w:t>
                  </w:r>
                  <w:r>
                    <w:rPr>
                      <w:rFonts w:hint="eastAsia"/>
                      <w:sz w:val="18"/>
                      <w:szCs w:val="18"/>
                      <w:vertAlign w:val="superscript"/>
                      <w:lang w:eastAsia="zh-CN"/>
                    </w:rPr>
                    <w:t>—</w:t>
                  </w:r>
                  <w:r>
                    <w:rPr>
                      <w:sz w:val="18"/>
                      <w:szCs w:val="18"/>
                      <w:vertAlign w:val="superscript"/>
                    </w:rPr>
                    <w:t>7</w:t>
                  </w:r>
                  <w:r>
                    <w:rPr>
                      <w:sz w:val="18"/>
                      <w:szCs w:val="18"/>
                    </w:rPr>
                    <w:t>cm/s相当于不小于1.5m厚的</w:t>
                  </w:r>
                  <w:r>
                    <w:rPr>
                      <w:rFonts w:hint="eastAsia"/>
                      <w:sz w:val="18"/>
                      <w:szCs w:val="18"/>
                      <w:lang w:eastAsia="zh-CN"/>
                    </w:rPr>
                    <w:t>黏土</w:t>
                  </w:r>
                  <w:r>
                    <w:rPr>
                      <w:sz w:val="18"/>
                      <w:szCs w:val="18"/>
                    </w:rPr>
                    <w:t>防护层</w:t>
                  </w:r>
                </w:p>
              </w:tc>
            </w:tr>
            <w:tr w14:paraId="501375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3" w:type="dxa"/>
                  <w:vAlign w:val="center"/>
                </w:tcPr>
                <w:p w14:paraId="55380DB2">
                  <w:pPr>
                    <w:jc w:val="center"/>
                    <w:rPr>
                      <w:rFonts w:hint="eastAsia" w:eastAsia="宋体"/>
                      <w:sz w:val="18"/>
                      <w:szCs w:val="18"/>
                      <w:lang w:eastAsia="zh-CN"/>
                    </w:rPr>
                  </w:pPr>
                  <w:r>
                    <w:rPr>
                      <w:rFonts w:hint="eastAsia"/>
                      <w:sz w:val="18"/>
                      <w:szCs w:val="18"/>
                      <w:lang w:val="en-US" w:eastAsia="zh-CN"/>
                    </w:rPr>
                    <w:t>4</w:t>
                  </w:r>
                </w:p>
              </w:tc>
              <w:tc>
                <w:tcPr>
                  <w:tcW w:w="1108" w:type="dxa"/>
                  <w:vAlign w:val="center"/>
                </w:tcPr>
                <w:p w14:paraId="69617904">
                  <w:pPr>
                    <w:jc w:val="center"/>
                    <w:rPr>
                      <w:sz w:val="18"/>
                      <w:szCs w:val="18"/>
                    </w:rPr>
                  </w:pPr>
                  <w:r>
                    <w:rPr>
                      <w:sz w:val="18"/>
                      <w:szCs w:val="18"/>
                    </w:rPr>
                    <w:t>简单防渗区</w:t>
                  </w:r>
                </w:p>
              </w:tc>
              <w:tc>
                <w:tcPr>
                  <w:tcW w:w="1321" w:type="dxa"/>
                  <w:vAlign w:val="center"/>
                </w:tcPr>
                <w:p w14:paraId="7ABAD6FA">
                  <w:pPr>
                    <w:jc w:val="center"/>
                    <w:rPr>
                      <w:sz w:val="18"/>
                      <w:szCs w:val="18"/>
                    </w:rPr>
                  </w:pPr>
                  <w:r>
                    <w:rPr>
                      <w:sz w:val="18"/>
                      <w:szCs w:val="18"/>
                    </w:rPr>
                    <w:t>办公</w:t>
                  </w:r>
                  <w:r>
                    <w:rPr>
                      <w:rFonts w:hint="eastAsia"/>
                      <w:sz w:val="18"/>
                      <w:szCs w:val="18"/>
                    </w:rPr>
                    <w:t>区域</w:t>
                  </w:r>
                </w:p>
              </w:tc>
              <w:tc>
                <w:tcPr>
                  <w:tcW w:w="5117" w:type="dxa"/>
                  <w:vAlign w:val="center"/>
                </w:tcPr>
                <w:p w14:paraId="5D0A2832">
                  <w:pPr>
                    <w:jc w:val="center"/>
                    <w:rPr>
                      <w:sz w:val="18"/>
                      <w:szCs w:val="18"/>
                    </w:rPr>
                  </w:pPr>
                  <w:r>
                    <w:rPr>
                      <w:sz w:val="18"/>
                      <w:szCs w:val="18"/>
                    </w:rPr>
                    <w:t>一般地面硬化</w:t>
                  </w:r>
                </w:p>
              </w:tc>
            </w:tr>
          </w:tbl>
          <w:p w14:paraId="54DC8FCF">
            <w:pPr>
              <w:spacing w:line="500" w:lineRule="exact"/>
              <w:ind w:firstLine="420" w:firstLineChars="200"/>
            </w:pPr>
            <w:r>
              <w:t>厂区内的危险废物仓库采用环氧地坪，周围设置围堰和地沟用于收集渗漏液，对所在场地的土壤和地下水的造成的影响极小。</w:t>
            </w:r>
          </w:p>
          <w:p w14:paraId="753ED3E0">
            <w:pPr>
              <w:adjustRightInd w:val="0"/>
              <w:snapToGrid w:val="0"/>
              <w:spacing w:line="500" w:lineRule="exact"/>
              <w:ind w:firstLine="422" w:firstLineChars="200"/>
              <w:rPr>
                <w:b/>
                <w:szCs w:val="21"/>
              </w:rPr>
            </w:pPr>
            <w:r>
              <w:rPr>
                <w:b/>
                <w:bCs/>
              </w:rPr>
              <w:t>六、</w:t>
            </w:r>
            <w:r>
              <w:rPr>
                <w:b/>
                <w:szCs w:val="21"/>
              </w:rPr>
              <w:t>生态</w:t>
            </w:r>
          </w:p>
          <w:p w14:paraId="0415123A">
            <w:pPr>
              <w:adjustRightInd w:val="0"/>
              <w:snapToGrid w:val="0"/>
              <w:spacing w:line="500" w:lineRule="exact"/>
              <w:ind w:firstLine="420" w:firstLineChars="200"/>
              <w:rPr>
                <w:b/>
                <w:bCs/>
              </w:rPr>
            </w:pPr>
            <w:r>
              <w:rPr>
                <w:bCs/>
                <w:szCs w:val="21"/>
              </w:rPr>
              <w:t>项目周围无自然保护区及文物古迹等特殊保护对象。项目占地比较平缓，水土流失比较小，因而对生态造成影响较小，项目产生的污染物经有效处理后，对生态造成的影响较小。</w:t>
            </w:r>
          </w:p>
          <w:p w14:paraId="014033A2">
            <w:pPr>
              <w:spacing w:line="500" w:lineRule="exact"/>
              <w:ind w:firstLine="211" w:firstLineChars="100"/>
              <w:rPr>
                <w:b/>
                <w:bCs/>
              </w:rPr>
            </w:pPr>
            <w:r>
              <w:rPr>
                <w:b/>
                <w:bCs/>
              </w:rPr>
              <w:t xml:space="preserve">七、环境风险 </w:t>
            </w:r>
          </w:p>
          <w:p w14:paraId="2CC9545E">
            <w:pPr>
              <w:spacing w:line="500" w:lineRule="exact"/>
              <w:ind w:firstLine="420" w:firstLineChars="200"/>
            </w:pPr>
            <w:r>
              <w:t xml:space="preserve">（1）风险调查 </w:t>
            </w:r>
          </w:p>
          <w:p w14:paraId="40B36ADC">
            <w:pPr>
              <w:spacing w:line="500" w:lineRule="exact"/>
              <w:ind w:firstLine="420" w:firstLineChars="200"/>
              <w:rPr>
                <w:b/>
                <w:bCs/>
              </w:rPr>
            </w:pPr>
            <w:r>
              <w:rPr>
                <w:rFonts w:hint="eastAsia"/>
              </w:rPr>
              <w:t>根据《建设项目环境风险评价技术导则》（HJ169-2018），对公司生产使用、存储的生产原料、燃料、产品、中间产品、副产品、催化剂、辅助生产物料、“三废”污染物等有害物质，易燃易爆物质，进行危险性识别。根据《建设项目环境风险评价技术导则》（HJ169-2018）附录C中相关内容，</w:t>
            </w:r>
            <w:r>
              <w:t>本项目涉及危险物质及数量见表4-</w:t>
            </w:r>
            <w:r>
              <w:rPr>
                <w:rFonts w:hint="eastAsia"/>
                <w:lang w:val="en-US" w:eastAsia="zh-CN"/>
              </w:rPr>
              <w:t>31</w:t>
            </w:r>
            <w:r>
              <w:t>。</w:t>
            </w:r>
          </w:p>
          <w:p w14:paraId="5F3D80B2">
            <w:pPr>
              <w:spacing w:line="360" w:lineRule="auto"/>
              <w:jc w:val="center"/>
              <w:rPr>
                <w:b/>
                <w:bCs/>
              </w:rPr>
            </w:pPr>
            <w:r>
              <w:rPr>
                <w:b/>
                <w:bCs/>
              </w:rPr>
              <w:t>表 4-</w:t>
            </w:r>
            <w:r>
              <w:rPr>
                <w:rFonts w:hint="eastAsia"/>
                <w:b/>
                <w:bCs/>
                <w:lang w:val="en-US" w:eastAsia="zh-CN"/>
              </w:rPr>
              <w:t>34</w:t>
            </w:r>
            <w:r>
              <w:rPr>
                <w:rFonts w:hint="eastAsia"/>
                <w:b/>
                <w:bCs/>
              </w:rPr>
              <w:t xml:space="preserve"> </w:t>
            </w:r>
            <w:r>
              <w:rPr>
                <w:b/>
                <w:bCs/>
              </w:rPr>
              <w:t xml:space="preserve"> 本项目涉及的危险物质及数量</w:t>
            </w:r>
          </w:p>
          <w:tbl>
            <w:tblPr>
              <w:tblStyle w:val="19"/>
              <w:tblW w:w="811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656"/>
              <w:gridCol w:w="1352"/>
              <w:gridCol w:w="1353"/>
              <w:gridCol w:w="1353"/>
              <w:gridCol w:w="1353"/>
            </w:tblGrid>
            <w:tr w14:paraId="5727B1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049" w:type="dxa"/>
                  <w:vAlign w:val="center"/>
                </w:tcPr>
                <w:p w14:paraId="74D6D743">
                  <w:pPr>
                    <w:jc w:val="center"/>
                    <w:rPr>
                      <w:color w:val="auto"/>
                      <w:sz w:val="18"/>
                      <w:szCs w:val="18"/>
                    </w:rPr>
                  </w:pPr>
                  <w:r>
                    <w:rPr>
                      <w:color w:val="auto"/>
                      <w:sz w:val="18"/>
                      <w:szCs w:val="18"/>
                    </w:rPr>
                    <w:t>序号</w:t>
                  </w:r>
                </w:p>
              </w:tc>
              <w:tc>
                <w:tcPr>
                  <w:tcW w:w="1656" w:type="dxa"/>
                  <w:vAlign w:val="center"/>
                </w:tcPr>
                <w:p w14:paraId="599A721A">
                  <w:pPr>
                    <w:jc w:val="center"/>
                    <w:rPr>
                      <w:color w:val="auto"/>
                      <w:sz w:val="18"/>
                      <w:szCs w:val="18"/>
                    </w:rPr>
                  </w:pPr>
                  <w:r>
                    <w:rPr>
                      <w:color w:val="auto"/>
                      <w:sz w:val="18"/>
                      <w:szCs w:val="18"/>
                    </w:rPr>
                    <w:t>名称</w:t>
                  </w:r>
                </w:p>
              </w:tc>
              <w:tc>
                <w:tcPr>
                  <w:tcW w:w="1352" w:type="dxa"/>
                  <w:vAlign w:val="center"/>
                </w:tcPr>
                <w:p w14:paraId="4A44AEC5">
                  <w:pPr>
                    <w:jc w:val="center"/>
                    <w:rPr>
                      <w:color w:val="auto"/>
                      <w:sz w:val="18"/>
                      <w:szCs w:val="18"/>
                    </w:rPr>
                  </w:pPr>
                  <w:r>
                    <w:rPr>
                      <w:color w:val="auto"/>
                      <w:sz w:val="18"/>
                      <w:szCs w:val="18"/>
                    </w:rPr>
                    <w:t>最大存储量</w:t>
                  </w:r>
                  <w:r>
                    <w:rPr>
                      <w:rFonts w:hint="eastAsia"/>
                      <w:color w:val="auto"/>
                      <w:sz w:val="18"/>
                      <w:szCs w:val="18"/>
                    </w:rPr>
                    <w:t>t/a</w:t>
                  </w:r>
                </w:p>
              </w:tc>
              <w:tc>
                <w:tcPr>
                  <w:tcW w:w="1353" w:type="dxa"/>
                  <w:vAlign w:val="center"/>
                </w:tcPr>
                <w:p w14:paraId="21BC0C4C">
                  <w:pPr>
                    <w:jc w:val="center"/>
                    <w:rPr>
                      <w:color w:val="auto"/>
                      <w:sz w:val="18"/>
                      <w:szCs w:val="18"/>
                    </w:rPr>
                  </w:pPr>
                  <w:r>
                    <w:rPr>
                      <w:color w:val="auto"/>
                      <w:sz w:val="18"/>
                      <w:szCs w:val="18"/>
                    </w:rPr>
                    <w:t>临界量</w:t>
                  </w:r>
                </w:p>
              </w:tc>
              <w:tc>
                <w:tcPr>
                  <w:tcW w:w="1353" w:type="dxa"/>
                  <w:vAlign w:val="center"/>
                </w:tcPr>
                <w:p w14:paraId="580F2992">
                  <w:pPr>
                    <w:jc w:val="center"/>
                    <w:rPr>
                      <w:color w:val="auto"/>
                      <w:sz w:val="18"/>
                      <w:szCs w:val="18"/>
                    </w:rPr>
                  </w:pPr>
                  <w:r>
                    <w:rPr>
                      <w:color w:val="auto"/>
                      <w:sz w:val="18"/>
                      <w:szCs w:val="18"/>
                    </w:rPr>
                    <w:t>qn/Qn</w:t>
                  </w:r>
                </w:p>
              </w:tc>
              <w:tc>
                <w:tcPr>
                  <w:tcW w:w="1353" w:type="dxa"/>
                  <w:vAlign w:val="center"/>
                </w:tcPr>
                <w:p w14:paraId="26B274A5">
                  <w:pPr>
                    <w:jc w:val="center"/>
                    <w:rPr>
                      <w:color w:val="auto"/>
                      <w:sz w:val="18"/>
                      <w:szCs w:val="18"/>
                    </w:rPr>
                  </w:pPr>
                  <w:r>
                    <w:rPr>
                      <w:color w:val="auto"/>
                      <w:sz w:val="18"/>
                      <w:szCs w:val="18"/>
                    </w:rPr>
                    <w:t>存储位置</w:t>
                  </w:r>
                </w:p>
              </w:tc>
            </w:tr>
            <w:tr w14:paraId="69713D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49" w:type="dxa"/>
                  <w:vAlign w:val="center"/>
                </w:tcPr>
                <w:p w14:paraId="0427F0CC">
                  <w:pPr>
                    <w:jc w:val="center"/>
                    <w:rPr>
                      <w:rFonts w:hint="eastAsia" w:eastAsia="宋体"/>
                      <w:color w:val="auto"/>
                      <w:sz w:val="18"/>
                      <w:szCs w:val="18"/>
                      <w:lang w:val="en-US" w:eastAsia="zh-CN"/>
                    </w:rPr>
                  </w:pPr>
                  <w:r>
                    <w:rPr>
                      <w:rFonts w:hint="eastAsia"/>
                      <w:color w:val="auto"/>
                      <w:sz w:val="18"/>
                      <w:szCs w:val="18"/>
                      <w:lang w:val="en-US" w:eastAsia="zh-CN"/>
                    </w:rPr>
                    <w:t>1</w:t>
                  </w:r>
                </w:p>
              </w:tc>
              <w:tc>
                <w:tcPr>
                  <w:tcW w:w="1656" w:type="dxa"/>
                  <w:vAlign w:val="center"/>
                </w:tcPr>
                <w:p w14:paraId="575D8977">
                  <w:pPr>
                    <w:adjustRightInd w:val="0"/>
                    <w:snapToGrid w:val="0"/>
                    <w:jc w:val="center"/>
                    <w:rPr>
                      <w:rFonts w:hint="eastAsia" w:ascii="Times New Roman" w:hAnsi="Times New Roman" w:cs="Times New Roman"/>
                      <w:color w:val="auto"/>
                      <w:sz w:val="18"/>
                      <w:szCs w:val="18"/>
                      <w:highlight w:val="yellow"/>
                      <w:lang w:val="en-US" w:eastAsia="zh-CN"/>
                    </w:rPr>
                  </w:pPr>
                  <w:r>
                    <w:rPr>
                      <w:rFonts w:hint="eastAsia" w:cs="Times New Roman"/>
                      <w:color w:val="auto"/>
                      <w:sz w:val="18"/>
                      <w:szCs w:val="18"/>
                      <w:highlight w:val="none"/>
                      <w:lang w:val="en-US" w:eastAsia="zh-CN"/>
                    </w:rPr>
                    <w:t>润滑油</w:t>
                  </w:r>
                </w:p>
              </w:tc>
              <w:tc>
                <w:tcPr>
                  <w:tcW w:w="1352" w:type="dxa"/>
                  <w:vAlign w:val="center"/>
                </w:tcPr>
                <w:p w14:paraId="512222E1">
                  <w:pPr>
                    <w:adjustRightInd w:val="0"/>
                    <w:snapToGrid w:val="0"/>
                    <w:jc w:val="center"/>
                    <w:rPr>
                      <w:rFonts w:hint="default"/>
                      <w:color w:val="auto"/>
                      <w:sz w:val="18"/>
                      <w:szCs w:val="18"/>
                      <w:lang w:val="en-US" w:eastAsia="zh-CN"/>
                    </w:rPr>
                  </w:pPr>
                  <w:r>
                    <w:rPr>
                      <w:rFonts w:hint="eastAsia"/>
                      <w:color w:val="auto"/>
                      <w:sz w:val="18"/>
                      <w:szCs w:val="18"/>
                      <w:lang w:val="en-US" w:eastAsia="zh-CN"/>
                    </w:rPr>
                    <w:t>1.5</w:t>
                  </w:r>
                </w:p>
              </w:tc>
              <w:tc>
                <w:tcPr>
                  <w:tcW w:w="1353" w:type="dxa"/>
                  <w:vAlign w:val="center"/>
                </w:tcPr>
                <w:p w14:paraId="60039DCE">
                  <w:pPr>
                    <w:jc w:val="center"/>
                    <w:rPr>
                      <w:rFonts w:hint="default"/>
                      <w:color w:val="auto"/>
                      <w:sz w:val="18"/>
                      <w:szCs w:val="18"/>
                      <w:lang w:val="en-US" w:eastAsia="zh-CN"/>
                    </w:rPr>
                  </w:pPr>
                  <w:r>
                    <w:rPr>
                      <w:rFonts w:hint="eastAsia"/>
                      <w:color w:val="auto"/>
                      <w:sz w:val="18"/>
                      <w:szCs w:val="18"/>
                      <w:lang w:val="en-US" w:eastAsia="zh-CN"/>
                    </w:rPr>
                    <w:t>2500</w:t>
                  </w:r>
                </w:p>
              </w:tc>
              <w:tc>
                <w:tcPr>
                  <w:tcW w:w="1353" w:type="dxa"/>
                  <w:vAlign w:val="center"/>
                </w:tcPr>
                <w:p w14:paraId="10C76F5A">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0.0006</w:t>
                  </w:r>
                </w:p>
              </w:tc>
              <w:tc>
                <w:tcPr>
                  <w:tcW w:w="1353" w:type="dxa"/>
                  <w:vAlign w:val="center"/>
                </w:tcPr>
                <w:p w14:paraId="19BCCF35">
                  <w:pPr>
                    <w:jc w:val="center"/>
                    <w:rPr>
                      <w:color w:val="auto"/>
                      <w:sz w:val="18"/>
                      <w:szCs w:val="18"/>
                    </w:rPr>
                  </w:pPr>
                  <w:r>
                    <w:rPr>
                      <w:rFonts w:hint="eastAsia"/>
                      <w:color w:val="auto"/>
                      <w:sz w:val="18"/>
                      <w:szCs w:val="18"/>
                    </w:rPr>
                    <w:t>危险化学品区</w:t>
                  </w:r>
                </w:p>
              </w:tc>
            </w:tr>
            <w:tr w14:paraId="1E9155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9" w:type="dxa"/>
                  <w:vAlign w:val="center"/>
                </w:tcPr>
                <w:p w14:paraId="7C9DD1ED">
                  <w:pPr>
                    <w:jc w:val="center"/>
                    <w:rPr>
                      <w:rFonts w:hint="default"/>
                      <w:color w:val="auto"/>
                      <w:sz w:val="18"/>
                      <w:szCs w:val="18"/>
                      <w:lang w:val="en-US" w:eastAsia="zh-CN"/>
                    </w:rPr>
                  </w:pPr>
                  <w:r>
                    <w:rPr>
                      <w:rFonts w:hint="eastAsia"/>
                      <w:color w:val="auto"/>
                      <w:sz w:val="18"/>
                      <w:szCs w:val="18"/>
                      <w:lang w:val="en-US" w:eastAsia="zh-CN"/>
                    </w:rPr>
                    <w:t>2</w:t>
                  </w:r>
                </w:p>
              </w:tc>
              <w:tc>
                <w:tcPr>
                  <w:tcW w:w="1656" w:type="dxa"/>
                  <w:vAlign w:val="center"/>
                </w:tcPr>
                <w:p w14:paraId="68CA31A1">
                  <w:pPr>
                    <w:jc w:val="center"/>
                    <w:rPr>
                      <w:rFonts w:hint="eastAsia" w:ascii="Times New Roman" w:hAnsi="Times New Roman" w:eastAsia="宋体" w:cs="Times New Roman"/>
                      <w:color w:val="auto"/>
                      <w:sz w:val="18"/>
                      <w:szCs w:val="18"/>
                      <w:lang w:eastAsia="zh-CN"/>
                    </w:rPr>
                  </w:pPr>
                  <w:r>
                    <w:rPr>
                      <w:rFonts w:hint="eastAsia"/>
                      <w:color w:val="auto"/>
                      <w:sz w:val="18"/>
                      <w:szCs w:val="18"/>
                      <w:lang w:eastAsia="zh-CN"/>
                    </w:rPr>
                    <w:t>废润滑油</w:t>
                  </w:r>
                </w:p>
              </w:tc>
              <w:tc>
                <w:tcPr>
                  <w:tcW w:w="1352" w:type="dxa"/>
                  <w:vAlign w:val="center"/>
                </w:tcPr>
                <w:p w14:paraId="336F4941">
                  <w:pPr>
                    <w:jc w:val="center"/>
                    <w:rPr>
                      <w:rFonts w:hint="default"/>
                      <w:color w:val="auto"/>
                      <w:sz w:val="18"/>
                      <w:szCs w:val="18"/>
                      <w:lang w:val="en-US" w:eastAsia="zh-CN"/>
                    </w:rPr>
                  </w:pPr>
                  <w:r>
                    <w:rPr>
                      <w:rFonts w:hint="eastAsia"/>
                      <w:color w:val="auto"/>
                      <w:sz w:val="18"/>
                      <w:szCs w:val="18"/>
                      <w:lang w:val="en-US" w:eastAsia="zh-CN"/>
                    </w:rPr>
                    <w:t>1</w:t>
                  </w:r>
                </w:p>
              </w:tc>
              <w:tc>
                <w:tcPr>
                  <w:tcW w:w="1353" w:type="dxa"/>
                  <w:vAlign w:val="center"/>
                </w:tcPr>
                <w:p w14:paraId="32563D15">
                  <w:pPr>
                    <w:jc w:val="center"/>
                    <w:rPr>
                      <w:rFonts w:hint="default" w:eastAsia="宋体"/>
                      <w:color w:val="auto"/>
                      <w:sz w:val="18"/>
                      <w:szCs w:val="18"/>
                      <w:lang w:val="en-US" w:eastAsia="zh-CN"/>
                    </w:rPr>
                  </w:pPr>
                  <w:r>
                    <w:rPr>
                      <w:rFonts w:hint="eastAsia"/>
                      <w:color w:val="auto"/>
                      <w:sz w:val="18"/>
                      <w:szCs w:val="18"/>
                      <w:lang w:val="en-US" w:eastAsia="zh-CN"/>
                    </w:rPr>
                    <w:t>50</w:t>
                  </w:r>
                </w:p>
              </w:tc>
              <w:tc>
                <w:tcPr>
                  <w:tcW w:w="1353" w:type="dxa"/>
                  <w:vAlign w:val="center"/>
                </w:tcPr>
                <w:p w14:paraId="17DDF545">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0.02</w:t>
                  </w:r>
                </w:p>
              </w:tc>
              <w:tc>
                <w:tcPr>
                  <w:tcW w:w="1353" w:type="dxa"/>
                  <w:vMerge w:val="restart"/>
                  <w:vAlign w:val="center"/>
                </w:tcPr>
                <w:p w14:paraId="1BEB8C8D">
                  <w:pPr>
                    <w:jc w:val="center"/>
                    <w:rPr>
                      <w:rFonts w:hint="eastAsia" w:eastAsia="宋体"/>
                      <w:color w:val="auto"/>
                      <w:sz w:val="18"/>
                      <w:szCs w:val="18"/>
                      <w:lang w:eastAsia="zh-CN"/>
                    </w:rPr>
                  </w:pPr>
                  <w:r>
                    <w:rPr>
                      <w:rFonts w:hint="eastAsia"/>
                      <w:color w:val="auto"/>
                      <w:sz w:val="18"/>
                      <w:szCs w:val="18"/>
                      <w:lang w:eastAsia="zh-CN"/>
                    </w:rPr>
                    <w:t>危废库</w:t>
                  </w:r>
                </w:p>
              </w:tc>
            </w:tr>
            <w:tr w14:paraId="5776A9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49" w:type="dxa"/>
                  <w:vAlign w:val="center"/>
                </w:tcPr>
                <w:p w14:paraId="4C3D5247">
                  <w:pPr>
                    <w:jc w:val="center"/>
                    <w:rPr>
                      <w:rFonts w:hint="default"/>
                      <w:color w:val="auto"/>
                      <w:sz w:val="18"/>
                      <w:szCs w:val="18"/>
                      <w:lang w:val="en-US" w:eastAsia="zh-CN"/>
                    </w:rPr>
                  </w:pPr>
                  <w:r>
                    <w:rPr>
                      <w:rFonts w:hint="eastAsia"/>
                      <w:color w:val="auto"/>
                      <w:sz w:val="18"/>
                      <w:szCs w:val="18"/>
                      <w:lang w:val="en-US" w:eastAsia="zh-CN"/>
                    </w:rPr>
                    <w:t>3</w:t>
                  </w:r>
                </w:p>
              </w:tc>
              <w:tc>
                <w:tcPr>
                  <w:tcW w:w="1656" w:type="dxa"/>
                  <w:vAlign w:val="center"/>
                </w:tcPr>
                <w:p w14:paraId="562A4143">
                  <w:pPr>
                    <w:jc w:val="center"/>
                    <w:rPr>
                      <w:rFonts w:hint="eastAsia" w:ascii="宋体" w:hAnsi="宋体" w:eastAsia="宋体" w:cs="宋体"/>
                      <w:i w:val="0"/>
                      <w:iCs w:val="0"/>
                      <w:color w:val="auto"/>
                      <w:kern w:val="0"/>
                      <w:sz w:val="18"/>
                      <w:szCs w:val="18"/>
                      <w:u w:val="none"/>
                      <w:lang w:val="en-US" w:eastAsia="zh-CN" w:bidi="ar"/>
                    </w:rPr>
                  </w:pPr>
                  <w:r>
                    <w:rPr>
                      <w:rFonts w:hint="eastAsia"/>
                      <w:color w:val="auto"/>
                      <w:sz w:val="18"/>
                      <w:szCs w:val="18"/>
                      <w:lang w:eastAsia="zh-CN"/>
                    </w:rPr>
                    <w:t>废润滑油桶</w:t>
                  </w:r>
                </w:p>
              </w:tc>
              <w:tc>
                <w:tcPr>
                  <w:tcW w:w="1352" w:type="dxa"/>
                  <w:vAlign w:val="center"/>
                </w:tcPr>
                <w:p w14:paraId="35463115">
                  <w:pPr>
                    <w:jc w:val="center"/>
                    <w:rPr>
                      <w:rFonts w:hint="eastAsia"/>
                      <w:color w:val="auto"/>
                      <w:sz w:val="18"/>
                      <w:szCs w:val="18"/>
                      <w:lang w:val="en-US" w:eastAsia="zh-CN"/>
                    </w:rPr>
                  </w:pPr>
                  <w:r>
                    <w:rPr>
                      <w:rFonts w:hint="eastAsia"/>
                      <w:color w:val="auto"/>
                      <w:sz w:val="18"/>
                      <w:szCs w:val="18"/>
                      <w:lang w:val="en-US" w:eastAsia="zh-CN"/>
                    </w:rPr>
                    <w:t>0.5</w:t>
                  </w:r>
                </w:p>
              </w:tc>
              <w:tc>
                <w:tcPr>
                  <w:tcW w:w="1353" w:type="dxa"/>
                  <w:vAlign w:val="center"/>
                </w:tcPr>
                <w:p w14:paraId="25EB12CB">
                  <w:pPr>
                    <w:jc w:val="center"/>
                    <w:rPr>
                      <w:rFonts w:hint="default"/>
                      <w:color w:val="auto"/>
                      <w:sz w:val="18"/>
                      <w:szCs w:val="18"/>
                      <w:lang w:val="en-US" w:eastAsia="zh-CN"/>
                    </w:rPr>
                  </w:pPr>
                  <w:r>
                    <w:rPr>
                      <w:rFonts w:hint="eastAsia"/>
                      <w:color w:val="auto"/>
                      <w:sz w:val="18"/>
                      <w:szCs w:val="18"/>
                      <w:lang w:val="en-US" w:eastAsia="zh-CN"/>
                    </w:rPr>
                    <w:t>50</w:t>
                  </w:r>
                </w:p>
              </w:tc>
              <w:tc>
                <w:tcPr>
                  <w:tcW w:w="1353" w:type="dxa"/>
                  <w:vAlign w:val="center"/>
                </w:tcPr>
                <w:p w14:paraId="53BE8E0B">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0.01</w:t>
                  </w:r>
                </w:p>
              </w:tc>
              <w:tc>
                <w:tcPr>
                  <w:tcW w:w="1353" w:type="dxa"/>
                  <w:vMerge w:val="continue"/>
                  <w:vAlign w:val="center"/>
                </w:tcPr>
                <w:p w14:paraId="74A7C17E">
                  <w:pPr>
                    <w:jc w:val="center"/>
                    <w:rPr>
                      <w:color w:val="auto"/>
                      <w:sz w:val="18"/>
                      <w:szCs w:val="18"/>
                    </w:rPr>
                  </w:pPr>
                </w:p>
              </w:tc>
            </w:tr>
            <w:tr w14:paraId="4A69D4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049" w:type="dxa"/>
                  <w:vAlign w:val="center"/>
                </w:tcPr>
                <w:p w14:paraId="512A68F7">
                  <w:pPr>
                    <w:tabs>
                      <w:tab w:val="center" w:pos="476"/>
                      <w:tab w:val="left" w:pos="599"/>
                    </w:tabs>
                    <w:jc w:val="center"/>
                    <w:rPr>
                      <w:rFonts w:hint="default" w:eastAsia="宋体"/>
                      <w:color w:val="auto"/>
                      <w:sz w:val="18"/>
                      <w:szCs w:val="18"/>
                      <w:lang w:val="en-US" w:eastAsia="zh-CN"/>
                    </w:rPr>
                  </w:pPr>
                  <w:r>
                    <w:rPr>
                      <w:rFonts w:hint="eastAsia"/>
                      <w:color w:val="auto"/>
                      <w:sz w:val="18"/>
                      <w:szCs w:val="18"/>
                      <w:lang w:val="en-US" w:eastAsia="zh-CN"/>
                    </w:rPr>
                    <w:t>4</w:t>
                  </w:r>
                </w:p>
              </w:tc>
              <w:tc>
                <w:tcPr>
                  <w:tcW w:w="1656" w:type="dxa"/>
                  <w:vAlign w:val="center"/>
                </w:tcPr>
                <w:p w14:paraId="395DFBF4">
                  <w:pPr>
                    <w:jc w:val="center"/>
                    <w:rPr>
                      <w:color w:val="auto"/>
                      <w:sz w:val="18"/>
                      <w:szCs w:val="18"/>
                    </w:rPr>
                  </w:pPr>
                  <w:r>
                    <w:rPr>
                      <w:color w:val="auto"/>
                      <w:sz w:val="18"/>
                      <w:szCs w:val="18"/>
                    </w:rPr>
                    <w:t>/</w:t>
                  </w:r>
                </w:p>
              </w:tc>
              <w:tc>
                <w:tcPr>
                  <w:tcW w:w="1352" w:type="dxa"/>
                  <w:vAlign w:val="center"/>
                </w:tcPr>
                <w:p w14:paraId="4C743327">
                  <w:pPr>
                    <w:jc w:val="center"/>
                    <w:rPr>
                      <w:color w:val="auto"/>
                      <w:sz w:val="18"/>
                      <w:szCs w:val="18"/>
                    </w:rPr>
                  </w:pPr>
                  <w:r>
                    <w:rPr>
                      <w:color w:val="auto"/>
                      <w:sz w:val="18"/>
                      <w:szCs w:val="18"/>
                    </w:rPr>
                    <w:t>/</w:t>
                  </w:r>
                </w:p>
              </w:tc>
              <w:tc>
                <w:tcPr>
                  <w:tcW w:w="1353" w:type="dxa"/>
                  <w:vAlign w:val="center"/>
                </w:tcPr>
                <w:p w14:paraId="50596908">
                  <w:pPr>
                    <w:jc w:val="center"/>
                    <w:rPr>
                      <w:color w:val="auto"/>
                      <w:sz w:val="18"/>
                      <w:szCs w:val="18"/>
                    </w:rPr>
                  </w:pPr>
                  <w:r>
                    <w:rPr>
                      <w:color w:val="auto"/>
                      <w:sz w:val="18"/>
                      <w:szCs w:val="18"/>
                    </w:rPr>
                    <w:t>合计</w:t>
                  </w:r>
                </w:p>
              </w:tc>
              <w:tc>
                <w:tcPr>
                  <w:tcW w:w="1353" w:type="dxa"/>
                  <w:vAlign w:val="center"/>
                </w:tcPr>
                <w:p w14:paraId="62C69FDB">
                  <w:pPr>
                    <w:widowControl/>
                    <w:jc w:val="center"/>
                    <w:textAlignment w:val="center"/>
                    <w:rPr>
                      <w:rFonts w:hint="default" w:eastAsia="宋体"/>
                      <w:color w:val="auto"/>
                      <w:sz w:val="18"/>
                      <w:szCs w:val="18"/>
                      <w:lang w:val="en-US" w:eastAsia="zh-CN"/>
                    </w:rPr>
                  </w:pPr>
                  <w:r>
                    <w:rPr>
                      <w:rFonts w:hint="eastAsia"/>
                      <w:color w:val="auto"/>
                      <w:sz w:val="18"/>
                      <w:szCs w:val="18"/>
                      <w:lang w:val="en-US" w:eastAsia="zh-CN"/>
                    </w:rPr>
                    <w:t>0.0306</w:t>
                  </w:r>
                </w:p>
              </w:tc>
              <w:tc>
                <w:tcPr>
                  <w:tcW w:w="1353" w:type="dxa"/>
                  <w:vAlign w:val="center"/>
                </w:tcPr>
                <w:p w14:paraId="1DED34DB">
                  <w:pPr>
                    <w:jc w:val="center"/>
                    <w:rPr>
                      <w:color w:val="auto"/>
                      <w:sz w:val="18"/>
                      <w:szCs w:val="18"/>
                    </w:rPr>
                  </w:pPr>
                  <w:r>
                    <w:rPr>
                      <w:color w:val="auto"/>
                      <w:sz w:val="18"/>
                      <w:szCs w:val="18"/>
                    </w:rPr>
                    <w:t>/</w:t>
                  </w:r>
                </w:p>
              </w:tc>
            </w:tr>
            <w:tr w14:paraId="4B4A8A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116" w:type="dxa"/>
                  <w:gridSpan w:val="6"/>
                  <w:vAlign w:val="center"/>
                </w:tcPr>
                <w:p w14:paraId="6D7DD70E">
                  <w:pPr>
                    <w:rPr>
                      <w:rFonts w:hint="eastAsia" w:eastAsia="宋体"/>
                      <w:color w:val="auto"/>
                      <w:lang w:eastAsia="zh-CN"/>
                    </w:rPr>
                  </w:pPr>
                  <w:r>
                    <w:rPr>
                      <w:color w:val="auto"/>
                      <w:sz w:val="18"/>
                      <w:szCs w:val="18"/>
                    </w:rPr>
                    <w:t>注：</w:t>
                  </w:r>
                  <w:r>
                    <w:rPr>
                      <w:rFonts w:hint="eastAsia"/>
                      <w:color w:val="auto"/>
                      <w:sz w:val="18"/>
                      <w:szCs w:val="18"/>
                    </w:rPr>
                    <w:t>①</w:t>
                  </w:r>
                  <w:r>
                    <w:rPr>
                      <w:color w:val="auto"/>
                      <w:sz w:val="18"/>
                      <w:szCs w:val="18"/>
                    </w:rPr>
                    <w:t>危险废物未列入《建设项目环境风险评价技术导则》（HJ169-2018）附录B突发环境事件风险物质及临界量表中，参照表B.2推荐临界量计算临界值。</w:t>
                  </w:r>
                </w:p>
              </w:tc>
            </w:tr>
          </w:tbl>
          <w:p w14:paraId="06663426">
            <w:pPr>
              <w:widowControl/>
              <w:spacing w:line="500" w:lineRule="exact"/>
              <w:ind w:firstLine="420" w:firstLineChars="200"/>
              <w:jc w:val="left"/>
              <w:rPr>
                <w:szCs w:val="21"/>
              </w:rPr>
            </w:pPr>
            <w:r>
              <w:rPr>
                <w:color w:val="000000"/>
                <w:kern w:val="0"/>
                <w:szCs w:val="21"/>
                <w:lang w:bidi="ar"/>
              </w:rPr>
              <w:t>综上，Q=</w:t>
            </w:r>
            <w:r>
              <w:rPr>
                <w:rFonts w:hint="eastAsia"/>
                <w:color w:val="000000"/>
                <w:kern w:val="0"/>
                <w:szCs w:val="21"/>
                <w:lang w:val="en-US" w:eastAsia="zh-CN" w:bidi="ar"/>
              </w:rPr>
              <w:t>0.0306</w:t>
            </w:r>
            <w:r>
              <w:rPr>
                <w:color w:val="000000"/>
                <w:kern w:val="0"/>
                <w:szCs w:val="21"/>
                <w:lang w:bidi="ar"/>
              </w:rPr>
              <w:t>＜1 因此本项目环境风险潜势为I。</w:t>
            </w:r>
          </w:p>
          <w:p w14:paraId="10BDC607">
            <w:pPr>
              <w:widowControl/>
              <w:spacing w:line="500" w:lineRule="exact"/>
              <w:ind w:firstLine="210" w:firstLineChars="100"/>
              <w:jc w:val="left"/>
            </w:pPr>
            <w:r>
              <w:t xml:space="preserve">（2）环境风险识别 </w:t>
            </w:r>
          </w:p>
          <w:p w14:paraId="0CE12E88">
            <w:pPr>
              <w:widowControl/>
              <w:spacing w:line="500" w:lineRule="exact"/>
              <w:ind w:firstLine="420" w:firstLineChars="200"/>
              <w:jc w:val="left"/>
            </w:pPr>
            <w:r>
              <w:t>对照《建设项目环境风险评价技术导则》（HJ169-2018），建设项目所涉及主要危险物质环境风险识别见表 4-</w:t>
            </w:r>
            <w:r>
              <w:rPr>
                <w:rFonts w:hint="eastAsia"/>
                <w:lang w:val="en-US" w:eastAsia="zh-CN"/>
              </w:rPr>
              <w:t>35</w:t>
            </w:r>
            <w:r>
              <w:t>。</w:t>
            </w:r>
          </w:p>
          <w:p w14:paraId="3E0A51B9">
            <w:pPr>
              <w:widowControl/>
              <w:spacing w:line="360" w:lineRule="auto"/>
              <w:jc w:val="center"/>
              <w:rPr>
                <w:b/>
                <w:bCs/>
              </w:rPr>
            </w:pPr>
            <w:r>
              <w:rPr>
                <w:b/>
                <w:bCs/>
              </w:rPr>
              <w:t>表 4-</w:t>
            </w:r>
            <w:r>
              <w:rPr>
                <w:rFonts w:hint="eastAsia"/>
                <w:b/>
                <w:bCs/>
                <w:lang w:val="en-US" w:eastAsia="zh-CN"/>
              </w:rPr>
              <w:t>35</w:t>
            </w:r>
            <w:r>
              <w:rPr>
                <w:b/>
                <w:bCs/>
              </w:rPr>
              <w:t xml:space="preserve"> 建设项目主要危险物质环境风险识别</w:t>
            </w:r>
          </w:p>
          <w:tbl>
            <w:tblPr>
              <w:tblStyle w:val="19"/>
              <w:tblW w:w="805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305"/>
              <w:gridCol w:w="2400"/>
              <w:gridCol w:w="3732"/>
            </w:tblGrid>
            <w:tr w14:paraId="46FDC8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21" w:type="dxa"/>
                  <w:vAlign w:val="center"/>
                </w:tcPr>
                <w:p w14:paraId="78D19AD0">
                  <w:pPr>
                    <w:jc w:val="center"/>
                    <w:rPr>
                      <w:sz w:val="18"/>
                      <w:szCs w:val="18"/>
                    </w:rPr>
                  </w:pPr>
                  <w:r>
                    <w:rPr>
                      <w:sz w:val="18"/>
                      <w:szCs w:val="18"/>
                    </w:rPr>
                    <w:t>序号</w:t>
                  </w:r>
                </w:p>
              </w:tc>
              <w:tc>
                <w:tcPr>
                  <w:tcW w:w="1305" w:type="dxa"/>
                  <w:vAlign w:val="center"/>
                </w:tcPr>
                <w:p w14:paraId="6E5BBE15">
                  <w:pPr>
                    <w:jc w:val="center"/>
                    <w:rPr>
                      <w:sz w:val="18"/>
                      <w:szCs w:val="18"/>
                    </w:rPr>
                  </w:pPr>
                  <w:r>
                    <w:rPr>
                      <w:sz w:val="18"/>
                      <w:szCs w:val="18"/>
                    </w:rPr>
                    <w:t>风险单元</w:t>
                  </w:r>
                </w:p>
              </w:tc>
              <w:tc>
                <w:tcPr>
                  <w:tcW w:w="2400" w:type="dxa"/>
                  <w:vAlign w:val="center"/>
                </w:tcPr>
                <w:p w14:paraId="7D49460C">
                  <w:pPr>
                    <w:jc w:val="center"/>
                    <w:rPr>
                      <w:sz w:val="18"/>
                      <w:szCs w:val="18"/>
                    </w:rPr>
                  </w:pPr>
                  <w:r>
                    <w:rPr>
                      <w:sz w:val="18"/>
                      <w:szCs w:val="18"/>
                    </w:rPr>
                    <w:t>涉及风险物</w:t>
                  </w:r>
                </w:p>
              </w:tc>
              <w:tc>
                <w:tcPr>
                  <w:tcW w:w="3732" w:type="dxa"/>
                  <w:vAlign w:val="center"/>
                </w:tcPr>
                <w:p w14:paraId="63EFE38D">
                  <w:pPr>
                    <w:jc w:val="center"/>
                    <w:rPr>
                      <w:sz w:val="18"/>
                      <w:szCs w:val="18"/>
                    </w:rPr>
                  </w:pPr>
                  <w:r>
                    <w:rPr>
                      <w:sz w:val="18"/>
                      <w:szCs w:val="18"/>
                    </w:rPr>
                    <w:t>可能影响环境的途径</w:t>
                  </w:r>
                </w:p>
              </w:tc>
            </w:tr>
            <w:tr w14:paraId="2B29A6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27E85C32">
                  <w:pPr>
                    <w:jc w:val="center"/>
                    <w:rPr>
                      <w:rFonts w:hint="eastAsia" w:eastAsia="宋体"/>
                      <w:sz w:val="18"/>
                      <w:szCs w:val="18"/>
                      <w:lang w:eastAsia="zh-CN"/>
                    </w:rPr>
                  </w:pPr>
                  <w:r>
                    <w:rPr>
                      <w:rFonts w:hint="eastAsia"/>
                      <w:sz w:val="18"/>
                      <w:szCs w:val="18"/>
                      <w:lang w:val="en-US" w:eastAsia="zh-CN"/>
                    </w:rPr>
                    <w:t>1</w:t>
                  </w:r>
                </w:p>
              </w:tc>
              <w:tc>
                <w:tcPr>
                  <w:tcW w:w="1305" w:type="dxa"/>
                  <w:vAlign w:val="center"/>
                </w:tcPr>
                <w:p w14:paraId="6A846E7F">
                  <w:pPr>
                    <w:jc w:val="center"/>
                    <w:rPr>
                      <w:sz w:val="18"/>
                      <w:szCs w:val="18"/>
                    </w:rPr>
                  </w:pPr>
                  <w:r>
                    <w:rPr>
                      <w:rFonts w:hint="eastAsia"/>
                      <w:sz w:val="18"/>
                      <w:szCs w:val="18"/>
                    </w:rPr>
                    <w:t>危险化学品区</w:t>
                  </w:r>
                </w:p>
              </w:tc>
              <w:tc>
                <w:tcPr>
                  <w:tcW w:w="2400" w:type="dxa"/>
                  <w:vAlign w:val="center"/>
                </w:tcPr>
                <w:p w14:paraId="3B48801B">
                  <w:pPr>
                    <w:jc w:val="center"/>
                    <w:rPr>
                      <w:rFonts w:hint="eastAsia" w:eastAsia="宋体"/>
                      <w:sz w:val="18"/>
                      <w:szCs w:val="18"/>
                      <w:lang w:val="en-US" w:eastAsia="zh-CN"/>
                    </w:rPr>
                  </w:pPr>
                  <w:r>
                    <w:rPr>
                      <w:rFonts w:hint="eastAsia"/>
                      <w:sz w:val="18"/>
                      <w:szCs w:val="18"/>
                      <w:lang w:val="en-US" w:eastAsia="zh-CN"/>
                    </w:rPr>
                    <w:t>润滑油</w:t>
                  </w:r>
                </w:p>
              </w:tc>
              <w:tc>
                <w:tcPr>
                  <w:tcW w:w="3732" w:type="dxa"/>
                  <w:vAlign w:val="center"/>
                </w:tcPr>
                <w:p w14:paraId="0139AE6E">
                  <w:pPr>
                    <w:jc w:val="center"/>
                    <w:rPr>
                      <w:sz w:val="18"/>
                      <w:szCs w:val="18"/>
                    </w:rPr>
                  </w:pPr>
                  <w:r>
                    <w:rPr>
                      <w:sz w:val="18"/>
                      <w:szCs w:val="18"/>
                    </w:rPr>
                    <w:t>泄漏以及火灾等引起的伴生/次生污染物排放</w:t>
                  </w:r>
                </w:p>
              </w:tc>
            </w:tr>
            <w:tr w14:paraId="7FD3D2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21" w:type="dxa"/>
                  <w:vAlign w:val="center"/>
                </w:tcPr>
                <w:p w14:paraId="1ED6845E">
                  <w:pPr>
                    <w:jc w:val="center"/>
                    <w:rPr>
                      <w:rFonts w:hint="default" w:eastAsia="宋体"/>
                      <w:sz w:val="18"/>
                      <w:szCs w:val="18"/>
                      <w:lang w:val="en-US" w:eastAsia="zh-CN"/>
                    </w:rPr>
                  </w:pPr>
                  <w:r>
                    <w:rPr>
                      <w:rFonts w:hint="eastAsia"/>
                      <w:sz w:val="18"/>
                      <w:szCs w:val="18"/>
                      <w:lang w:val="en-US" w:eastAsia="zh-CN"/>
                    </w:rPr>
                    <w:t>2</w:t>
                  </w:r>
                </w:p>
              </w:tc>
              <w:tc>
                <w:tcPr>
                  <w:tcW w:w="1305" w:type="dxa"/>
                  <w:vAlign w:val="center"/>
                </w:tcPr>
                <w:p w14:paraId="09D9AA04">
                  <w:pPr>
                    <w:jc w:val="center"/>
                    <w:rPr>
                      <w:sz w:val="18"/>
                      <w:szCs w:val="18"/>
                    </w:rPr>
                  </w:pPr>
                  <w:r>
                    <w:rPr>
                      <w:sz w:val="18"/>
                      <w:szCs w:val="18"/>
                    </w:rPr>
                    <w:t>危废库</w:t>
                  </w:r>
                </w:p>
              </w:tc>
              <w:tc>
                <w:tcPr>
                  <w:tcW w:w="2400" w:type="dxa"/>
                  <w:vAlign w:val="center"/>
                </w:tcPr>
                <w:p w14:paraId="59BB3A6E">
                  <w:pPr>
                    <w:jc w:val="center"/>
                    <w:rPr>
                      <w:rFonts w:hint="eastAsia" w:eastAsia="宋体"/>
                      <w:sz w:val="18"/>
                      <w:szCs w:val="18"/>
                      <w:lang w:eastAsia="zh-CN"/>
                    </w:rPr>
                  </w:pPr>
                  <w:r>
                    <w:rPr>
                      <w:rFonts w:hint="eastAsia"/>
                      <w:sz w:val="18"/>
                      <w:szCs w:val="18"/>
                      <w:lang w:eastAsia="zh-CN"/>
                    </w:rPr>
                    <w:t>废润滑油、废润滑油桶</w:t>
                  </w:r>
                </w:p>
              </w:tc>
              <w:tc>
                <w:tcPr>
                  <w:tcW w:w="3732" w:type="dxa"/>
                  <w:vAlign w:val="center"/>
                </w:tcPr>
                <w:p w14:paraId="3D021BB1">
                  <w:pPr>
                    <w:jc w:val="center"/>
                    <w:rPr>
                      <w:sz w:val="18"/>
                      <w:szCs w:val="18"/>
                    </w:rPr>
                  </w:pPr>
                  <w:r>
                    <w:rPr>
                      <w:sz w:val="18"/>
                      <w:szCs w:val="18"/>
                    </w:rPr>
                    <w:t>泄漏以及火灾等引起的伴生/次生污染物排放</w:t>
                  </w:r>
                </w:p>
              </w:tc>
            </w:tr>
          </w:tbl>
          <w:p w14:paraId="1993A2E2">
            <w:pPr>
              <w:widowControl/>
              <w:spacing w:line="500" w:lineRule="exact"/>
              <w:ind w:firstLine="420" w:firstLineChars="200"/>
              <w:jc w:val="left"/>
            </w:pPr>
            <w:r>
              <w:t xml:space="preserve">（3）环境风险分析 </w:t>
            </w:r>
          </w:p>
          <w:p w14:paraId="696418FE">
            <w:pPr>
              <w:spacing w:line="360" w:lineRule="auto"/>
              <w:ind w:firstLine="420" w:firstLineChars="200"/>
              <w:rPr>
                <w:rFonts w:hint="eastAsia"/>
              </w:rPr>
            </w:pPr>
            <w:r>
              <w:rPr>
                <w:rFonts w:hint="eastAsia"/>
              </w:rPr>
              <w:t>①向环境转移途径</w:t>
            </w:r>
          </w:p>
          <w:p w14:paraId="7946DAF4">
            <w:pPr>
              <w:spacing w:line="360" w:lineRule="auto"/>
              <w:ind w:firstLine="420" w:firstLineChars="200"/>
              <w:rPr>
                <w:rFonts w:hint="eastAsia"/>
              </w:rPr>
            </w:pPr>
            <w:r>
              <w:rPr>
                <w:rFonts w:hint="eastAsia"/>
              </w:rPr>
              <w:t>按照《建设项目环境风险评价技术导则》（HJ169-2018），本项目涉及的主要危险物质为：润滑油、废润滑油、废</w:t>
            </w:r>
            <w:r>
              <w:rPr>
                <w:rFonts w:hint="eastAsia"/>
                <w:lang w:eastAsia="zh-CN"/>
              </w:rPr>
              <w:t>润滑</w:t>
            </w:r>
            <w:r>
              <w:rPr>
                <w:rFonts w:hint="eastAsia"/>
              </w:rPr>
              <w:t>油桶。润滑油等矿物油遇明火则可能发生火灾事故，同时会产生烟尘、CO、CO</w:t>
            </w:r>
            <w:r>
              <w:rPr>
                <w:rFonts w:hint="eastAsia"/>
                <w:vertAlign w:val="subscript"/>
              </w:rPr>
              <w:t>2</w:t>
            </w:r>
            <w:r>
              <w:rPr>
                <w:rFonts w:hint="eastAsia"/>
              </w:rPr>
              <w:t>、NOx等废气进入大气环境，导致周围大气环境中相应污染物浓度增高，造成环境空气质量污染。</w:t>
            </w:r>
          </w:p>
          <w:p w14:paraId="39FC6386">
            <w:pPr>
              <w:spacing w:line="360" w:lineRule="auto"/>
              <w:ind w:firstLine="420" w:firstLineChars="200"/>
              <w:rPr>
                <w:rFonts w:hint="eastAsia"/>
              </w:rPr>
            </w:pPr>
            <w:r>
              <w:rPr>
                <w:rFonts w:hint="eastAsia"/>
              </w:rPr>
              <w:t>对大气环境产生不利影响。另厂区发生火灾事故也可能会导致事故废水渗透入土壤中，造成土壤、地下水污染。</w:t>
            </w:r>
          </w:p>
          <w:p w14:paraId="48FA4FA0">
            <w:pPr>
              <w:spacing w:line="360" w:lineRule="auto"/>
              <w:ind w:firstLine="420" w:firstLineChars="200"/>
              <w:rPr>
                <w:rFonts w:hint="eastAsia"/>
              </w:rPr>
            </w:pPr>
            <w:r>
              <w:rPr>
                <w:rFonts w:hint="eastAsia"/>
              </w:rPr>
              <w:t>②伴生/次生污染</w:t>
            </w:r>
          </w:p>
          <w:p w14:paraId="375A81FA">
            <w:pPr>
              <w:spacing w:line="360" w:lineRule="auto"/>
              <w:ind w:firstLine="420" w:firstLineChars="200"/>
              <w:rPr>
                <w:rFonts w:hint="eastAsia"/>
              </w:rPr>
            </w:pPr>
            <w:r>
              <w:rPr>
                <w:rFonts w:hint="eastAsia"/>
              </w:rPr>
              <w:t>危废贮存点、润滑油使用设施等发生火灾爆炸时，有可能引燃周围易燃物质，产生的伴生事故伴生污染物，参考物质化学组分，燃烧产物主要为一氧化碳、氮氧化物等。另外在厂区发生火灾、爆炸事故时，其可能产生的次生污染包括火灾消防水、消防土及燃烧废气等，这些物质可能会对周围地表水、大气等造成一定的影响。</w:t>
            </w:r>
          </w:p>
          <w:p w14:paraId="50F729DA">
            <w:pPr>
              <w:spacing w:line="360" w:lineRule="auto"/>
              <w:ind w:firstLine="420" w:firstLineChars="200"/>
              <w:rPr>
                <w:rFonts w:hint="eastAsia"/>
              </w:rPr>
            </w:pPr>
            <w:r>
              <w:rPr>
                <w:rFonts w:hint="eastAsia"/>
              </w:rPr>
              <w:t>a、对环境空气的影响：</w:t>
            </w:r>
          </w:p>
          <w:p w14:paraId="2BC19AB0">
            <w:pPr>
              <w:spacing w:line="360" w:lineRule="auto"/>
              <w:ind w:firstLine="420" w:firstLineChars="200"/>
              <w:rPr>
                <w:rFonts w:hint="eastAsia" w:eastAsia="宋体"/>
                <w:lang w:eastAsia="zh-CN"/>
              </w:rPr>
            </w:pPr>
            <w:r>
              <w:rPr>
                <w:rFonts w:hint="eastAsia"/>
              </w:rPr>
              <w:t>本项目润滑油及危险废物遇明火则可能发生火灾事故，危废贮存点及车间</w:t>
            </w:r>
            <w:r>
              <w:rPr>
                <w:rFonts w:hint="eastAsia"/>
                <w:lang w:eastAsia="zh-CN"/>
              </w:rPr>
              <w:t>。</w:t>
            </w:r>
          </w:p>
          <w:p w14:paraId="4A5D6079">
            <w:pPr>
              <w:spacing w:line="360" w:lineRule="auto"/>
              <w:ind w:firstLine="420" w:firstLineChars="200"/>
              <w:rPr>
                <w:rFonts w:hint="eastAsia"/>
              </w:rPr>
            </w:pPr>
            <w:r>
              <w:rPr>
                <w:rFonts w:hint="eastAsia"/>
              </w:rPr>
              <w:t>生产区禁止明火，可减少因火灾引起的伴生/次生污染物排放。</w:t>
            </w:r>
          </w:p>
          <w:p w14:paraId="70A263D4">
            <w:pPr>
              <w:spacing w:line="360" w:lineRule="auto"/>
              <w:ind w:firstLine="420" w:firstLineChars="200"/>
              <w:rPr>
                <w:rFonts w:hint="eastAsia" w:ascii="Times New Roman" w:hAnsi="Times New Roman" w:eastAsia="宋体" w:cs="Times New Roman"/>
              </w:rPr>
            </w:pPr>
            <w:r>
              <w:rPr>
                <w:rFonts w:hint="default" w:ascii="Times New Roman" w:hAnsi="Times New Roman" w:eastAsia="宋体" w:cs="Times New Roman"/>
                <w:lang w:val="en-US" w:eastAsia="zh-CN"/>
              </w:rPr>
              <w:t>b</w:t>
            </w:r>
            <w:r>
              <w:rPr>
                <w:rFonts w:hint="eastAsia" w:ascii="Times New Roman" w:hAnsi="Times New Roman" w:eastAsia="宋体" w:cs="Times New Roman"/>
                <w:lang w:val="en-US" w:eastAsia="zh-CN"/>
              </w:rPr>
              <w:t>、对地表水的影响：</w:t>
            </w:r>
          </w:p>
          <w:p w14:paraId="3105CC47">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lang w:val="en-US" w:eastAsia="zh-CN"/>
              </w:rPr>
              <w:t xml:space="preserve">本项目无生产废水排放，生产过程中物料渗漏出的多余水分通过设备下方设置的围堰收集后泵送至前端循环使用，围堰均采取了一定的防渗防漏措施，厂区雨水排口已设置了截止阀；应急事故池平时处于常闭状态，当事故发生时，通过厂区雨水管网流入应急事故池，不会有事故废水进入外环境，因此不会对周边地表水产生不良影响。 </w:t>
            </w:r>
          </w:p>
          <w:p w14:paraId="580CC044">
            <w:pPr>
              <w:spacing w:line="360" w:lineRule="auto"/>
              <w:ind w:firstLine="420" w:firstLineChars="200"/>
              <w:rPr>
                <w:rFonts w:hint="eastAsia" w:ascii="Times New Roman" w:hAnsi="Times New Roman" w:eastAsia="宋体" w:cs="Times New Roman"/>
              </w:rPr>
            </w:pPr>
            <w:r>
              <w:rPr>
                <w:rFonts w:hint="default" w:ascii="Times New Roman" w:hAnsi="Times New Roman" w:eastAsia="宋体" w:cs="Times New Roman"/>
                <w:lang w:val="en-US" w:eastAsia="zh-CN"/>
              </w:rPr>
              <w:t>c</w:t>
            </w:r>
            <w:r>
              <w:rPr>
                <w:rFonts w:hint="eastAsia" w:ascii="Times New Roman" w:hAnsi="Times New Roman" w:eastAsia="宋体" w:cs="Times New Roman"/>
                <w:lang w:val="en-US" w:eastAsia="zh-CN"/>
              </w:rPr>
              <w:t>、对地下水的影响：</w:t>
            </w:r>
          </w:p>
          <w:p w14:paraId="6972B229">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lang w:val="en-US" w:eastAsia="zh-CN"/>
              </w:rPr>
              <w:t>本项目危废贮存点、原辅料区、生产区如不采取相应的防范措施，发生泄漏事故后，泄漏液体不能及时收集，可通过下渗对项目区域及下游地区浅层地下水造成污染。因此工程必须严格落实应急预案，采取严格的防渗措施，及时将泄漏废水收集，避免出现泄漏的废水下渗，避免对地下水环境造成污染。</w:t>
            </w:r>
          </w:p>
          <w:p w14:paraId="080C9548">
            <w:pPr>
              <w:spacing w:line="360" w:lineRule="auto"/>
              <w:ind w:firstLine="420" w:firstLineChars="200"/>
              <w:rPr>
                <w:rFonts w:hint="eastAsia" w:ascii="Times New Roman" w:hAnsi="Times New Roman" w:eastAsia="宋体" w:cs="Times New Roman"/>
              </w:rPr>
            </w:pPr>
            <w:r>
              <w:rPr>
                <w:rFonts w:hint="default" w:ascii="Times New Roman" w:hAnsi="Times New Roman" w:eastAsia="宋体" w:cs="Times New Roman"/>
                <w:lang w:val="en-US" w:eastAsia="zh-CN"/>
              </w:rPr>
              <w:t>d</w:t>
            </w:r>
            <w:r>
              <w:rPr>
                <w:rFonts w:hint="eastAsia" w:ascii="Times New Roman" w:hAnsi="Times New Roman" w:eastAsia="宋体" w:cs="Times New Roman"/>
                <w:lang w:val="en-US" w:eastAsia="zh-CN"/>
              </w:rPr>
              <w:t>、对环境保护敏感目标的影响：</w:t>
            </w:r>
          </w:p>
          <w:p w14:paraId="015D96CD">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lang w:val="en-US" w:eastAsia="zh-CN"/>
              </w:rPr>
              <w:t>本项目生产车间禁止明火，一般工业固废暂存区地面按控制标准的要求做了防渗漏处理，一旦发生泄漏事故及时采取控制措施，环境风险水平在可控制范围内。</w:t>
            </w:r>
          </w:p>
          <w:p w14:paraId="1B68BC76">
            <w:pPr>
              <w:spacing w:line="360" w:lineRule="auto"/>
              <w:ind w:firstLine="420" w:firstLineChars="200"/>
            </w:pPr>
            <w:r>
              <w:rPr>
                <w:rFonts w:hint="eastAsia" w:ascii="Times New Roman" w:hAnsi="Times New Roman" w:eastAsia="宋体" w:cs="Times New Roman"/>
                <w:lang w:val="en-US" w:eastAsia="zh-CN"/>
              </w:rPr>
              <w:t>综上，建设项目若发生少量泄漏事件，可及时收集并能及时处置，影响不会扩散，能够控制厂区内，环境风险可接受。</w:t>
            </w:r>
          </w:p>
          <w:p w14:paraId="3463BC4E">
            <w:pPr>
              <w:widowControl/>
              <w:spacing w:line="360" w:lineRule="auto"/>
              <w:ind w:firstLine="420" w:firstLineChars="200"/>
              <w:jc w:val="left"/>
              <w:rPr>
                <w:color w:val="auto"/>
              </w:rPr>
            </w:pPr>
            <w:r>
              <w:rPr>
                <w:color w:val="auto"/>
              </w:rPr>
              <w:t>（4）环境风险防范措施</w:t>
            </w:r>
          </w:p>
          <w:p w14:paraId="23CF2B04">
            <w:pPr>
              <w:widowControl/>
              <w:spacing w:line="360" w:lineRule="auto"/>
              <w:ind w:firstLine="420" w:firstLineChars="200"/>
              <w:jc w:val="left"/>
              <w:rPr>
                <w:rFonts w:hint="eastAsia"/>
                <w:color w:val="auto"/>
              </w:rPr>
            </w:pPr>
            <w:r>
              <w:rPr>
                <w:rFonts w:hint="eastAsia" w:ascii="宋体" w:hAnsi="宋体" w:eastAsia="宋体" w:cs="宋体"/>
                <w:color w:val="auto"/>
              </w:rPr>
              <w:t>①</w:t>
            </w:r>
            <w:r>
              <w:rPr>
                <w:rFonts w:hint="eastAsia"/>
                <w:color w:val="auto"/>
              </w:rPr>
              <w:t>固废暂存及转移过程环境风险措施</w:t>
            </w:r>
          </w:p>
          <w:p w14:paraId="44AA545F">
            <w:pPr>
              <w:widowControl/>
              <w:spacing w:line="360" w:lineRule="auto"/>
              <w:ind w:firstLine="420" w:firstLineChars="200"/>
              <w:jc w:val="left"/>
              <w:rPr>
                <w:rFonts w:hint="eastAsia"/>
                <w:color w:val="auto"/>
              </w:rPr>
            </w:pPr>
            <w:r>
              <w:rPr>
                <w:rFonts w:hint="eastAsia"/>
                <w:color w:val="auto"/>
              </w:rPr>
              <w:t>参照《一般工业固体废物贮存和填埋污染控制标准》（GB18599-2020）的相关要求做好地面硬化处理，按照《危险废物贮存污染控制标准》（GB18597-2023）的要求做好危废贮存点的防腐防渗工作。加强对固体废弃物管理，做好跟踪管理，建立管理台账，设置警示标识牌。</w:t>
            </w:r>
          </w:p>
          <w:p w14:paraId="286BFB84">
            <w:pPr>
              <w:widowControl/>
              <w:spacing w:line="360" w:lineRule="auto"/>
              <w:ind w:firstLine="420" w:firstLineChars="200"/>
              <w:jc w:val="left"/>
              <w:rPr>
                <w:rFonts w:hint="eastAsia"/>
                <w:color w:val="auto"/>
              </w:rPr>
            </w:pPr>
            <w:r>
              <w:rPr>
                <w:rFonts w:hint="eastAsia" w:ascii="宋体" w:hAnsi="宋体" w:eastAsia="宋体" w:cs="宋体"/>
                <w:color w:val="auto"/>
              </w:rPr>
              <w:t>②</w:t>
            </w:r>
            <w:r>
              <w:rPr>
                <w:rFonts w:hint="eastAsia"/>
                <w:color w:val="auto"/>
              </w:rPr>
              <w:t>为确保处理效率，在车间设备检修期间，废气治理设施也应同时进行检修，日常应有专人负责进行维护。建立健全各类有关消防与安全生产的规章制度，建立岗位责任制，车间严禁明火，配置足量的泡沫或干粉灭火器，并保持完好状态，日常巡查维护，及时更新。</w:t>
            </w:r>
          </w:p>
          <w:p w14:paraId="470DEDF6">
            <w:pPr>
              <w:widowControl/>
              <w:spacing w:line="360" w:lineRule="auto"/>
              <w:ind w:firstLine="420" w:firstLineChars="200"/>
              <w:jc w:val="left"/>
            </w:pPr>
            <w:r>
              <w:t>③</w:t>
            </w:r>
            <w:r>
              <w:rPr>
                <w:rFonts w:hint="eastAsia"/>
              </w:rPr>
              <w:t>火灾事故防范措施</w:t>
            </w:r>
          </w:p>
          <w:p w14:paraId="6B223707">
            <w:pPr>
              <w:widowControl/>
              <w:spacing w:line="360" w:lineRule="auto"/>
              <w:ind w:firstLine="420" w:firstLineChars="200"/>
              <w:jc w:val="left"/>
            </w:pPr>
            <w:r>
              <w:rPr>
                <w:rFonts w:hint="eastAsia"/>
              </w:rPr>
              <w:t>严格按照《建筑设计防火规范》合理布置总图，各生产和辅助装置按功能分别布置，并充分考虑消防和疏散通道等问题，消防隔离带及消防通道要求参照消防有关要求建设、布置，消防通道和建筑物耐火等级应满足消防要求，在危险物品存放区设立警告牌（严禁烟火）。</w:t>
            </w:r>
          </w:p>
          <w:p w14:paraId="04A1FCA1">
            <w:pPr>
              <w:widowControl/>
              <w:spacing w:line="360" w:lineRule="auto"/>
              <w:ind w:firstLine="420" w:firstLineChars="200"/>
              <w:jc w:val="left"/>
            </w:pPr>
            <w:r>
              <w:rPr>
                <w:rFonts w:hint="eastAsia"/>
              </w:rPr>
              <w:t>本项目生产车间等火灾危险场所设置火灾自动报警系统和火灾电话报警。火灾自动报警系统设计符合现行国家标准《火灾自动报警系统设计规范》（GB50116）的规定。生产设备、原料仓库远离火种、热源。工作场所严禁吸烟。各区域按规范设置灭火器、消防设施并定期检查维护。根据企业实际情况购置相应的应急物资。发生火灾事故险情时，第一发现人应立即报告主管负责人，根据事故险情和扑救具体情况采取适当措施，如需外援应立即拨打火警119告知火灾危险严重程度。</w:t>
            </w:r>
          </w:p>
          <w:p w14:paraId="756FEFC9">
            <w:pPr>
              <w:widowControl/>
              <w:spacing w:line="360" w:lineRule="auto"/>
              <w:ind w:firstLine="420" w:firstLineChars="200"/>
              <w:jc w:val="left"/>
            </w:pPr>
            <w:r>
              <w:t>④厂区留有足够的消防通道。生产车间、仓库设置消防给水管道和消防栓。厂部要组织义务消防员，并进行定期的培训和训练。对有火灾危险的场所设置自动报警系统，一旦发生火灾，立即做出应急反应。</w:t>
            </w:r>
          </w:p>
          <w:p w14:paraId="043206D5">
            <w:pPr>
              <w:widowControl/>
              <w:spacing w:line="360" w:lineRule="auto"/>
              <w:ind w:firstLine="420" w:firstLineChars="200"/>
              <w:jc w:val="left"/>
            </w:pPr>
            <w:r>
              <w:t xml:space="preserve">⑤对于危废仓库，建设单位拟设置监控系统，主要在仓库出入口、仓库内、厂门口等关键位置安装视频监控设施，进行实时监控，并与中控室联网。厂区门口拟设置危废信息公开栏，危废仓库外墙及各类危废贮存处墙面设置贮存设施警示标志牌。贮存过程拟在危废暂存场所设置地沟等，发生少量泄漏立即将容器内剩余溶液转移，并收集托盘、地沟内泄漏液体，防止泄漏物料挥发到大气中。 </w:t>
            </w:r>
          </w:p>
          <w:p w14:paraId="58F45845">
            <w:pPr>
              <w:widowControl/>
              <w:spacing w:line="360" w:lineRule="auto"/>
              <w:ind w:firstLine="420" w:firstLineChars="200"/>
              <w:jc w:val="left"/>
            </w:pPr>
            <w:r>
              <w:rPr>
                <w:rFonts w:hint="eastAsia" w:ascii="宋体" w:hAnsi="宋体" w:cs="宋体"/>
              </w:rPr>
              <w:t>⑥</w:t>
            </w:r>
            <w:r>
              <w:t xml:space="preserve">厂区内的雨水管道、事故沟收集系统要严格分开，设置切换阀。 </w:t>
            </w:r>
          </w:p>
          <w:p w14:paraId="6FBDC218">
            <w:pPr>
              <w:widowControl/>
              <w:spacing w:line="360" w:lineRule="auto"/>
              <w:ind w:firstLine="420" w:firstLineChars="200"/>
              <w:jc w:val="left"/>
              <w:rPr>
                <w:rFonts w:hint="eastAsia"/>
              </w:rPr>
            </w:pPr>
            <w:r>
              <w:rPr>
                <w:rFonts w:hint="eastAsia"/>
              </w:rPr>
              <w:t xml:space="preserve">5）建立从污染源头、过程处理和最终排放的三级防控体系： </w:t>
            </w:r>
          </w:p>
          <w:p w14:paraId="5BB437D5">
            <w:pPr>
              <w:widowControl/>
              <w:spacing w:line="360" w:lineRule="auto"/>
              <w:ind w:firstLine="420" w:firstLineChars="200"/>
              <w:jc w:val="left"/>
              <w:rPr>
                <w:rFonts w:hint="eastAsia"/>
                <w:color w:val="auto"/>
              </w:rPr>
            </w:pPr>
            <w:r>
              <w:rPr>
                <w:rFonts w:hint="eastAsia"/>
                <w:color w:val="auto"/>
              </w:rPr>
              <w:t>①一级防控措施：仓库、车间内设置</w:t>
            </w:r>
            <w:r>
              <w:rPr>
                <w:rFonts w:hint="eastAsia"/>
                <w:color w:val="auto"/>
                <w:lang w:eastAsia="zh-CN"/>
              </w:rPr>
              <w:t>截流沟</w:t>
            </w:r>
            <w:r>
              <w:rPr>
                <w:rFonts w:hint="eastAsia"/>
                <w:color w:val="auto"/>
              </w:rPr>
              <w:t>，发生事故时</w:t>
            </w:r>
            <w:r>
              <w:rPr>
                <w:rFonts w:hint="eastAsia"/>
                <w:color w:val="auto"/>
                <w:lang w:eastAsia="zh-CN"/>
              </w:rPr>
              <w:t>通过截流措施将</w:t>
            </w:r>
            <w:r>
              <w:rPr>
                <w:rFonts w:hint="eastAsia"/>
                <w:color w:val="auto"/>
              </w:rPr>
              <w:t>事故废水控制在车间内。</w:t>
            </w:r>
            <w:r>
              <w:rPr>
                <w:rFonts w:hint="eastAsia"/>
                <w:color w:val="auto"/>
                <w:lang w:eastAsia="zh-CN"/>
              </w:rPr>
              <w:t>可采用砂土或其他惰性材料吸附，</w:t>
            </w:r>
            <w:r>
              <w:rPr>
                <w:rFonts w:hint="eastAsia"/>
                <w:color w:val="auto"/>
              </w:rPr>
              <w:t xml:space="preserve">车间地面以及围墙采用防腐、防渗涂层。车间管网能连接至事故应急池，消防废水和事故废水能够通过事故沟排入事故应急池，不会流出园区外。 </w:t>
            </w:r>
          </w:p>
          <w:p w14:paraId="08C7C839">
            <w:pPr>
              <w:widowControl/>
              <w:spacing w:line="360" w:lineRule="auto"/>
              <w:ind w:firstLine="420" w:firstLineChars="200"/>
              <w:jc w:val="left"/>
              <w:rPr>
                <w:rFonts w:hint="eastAsia"/>
                <w:color w:val="auto"/>
              </w:rPr>
            </w:pPr>
            <w:r>
              <w:rPr>
                <w:rFonts w:hint="eastAsia"/>
                <w:color w:val="auto"/>
              </w:rPr>
              <w:t xml:space="preserve">②二级防控体系：必须建设事故应急池及其配套设施（如事故导排系统），防止单套生产装置较大事故泄漏物料和消防废水造成的环境污染；本项目拟设置事故应急池，确保事故情况下危险物质不污染水体，可满足一次性事故废水量。总排污口及雨水排污口处已设置应急阀门，一旦发生事故，紧急关闭，避免事故废水外排，污染环境。 </w:t>
            </w:r>
          </w:p>
          <w:p w14:paraId="2E649767">
            <w:pPr>
              <w:widowControl/>
              <w:spacing w:line="360" w:lineRule="auto"/>
              <w:ind w:firstLine="420" w:firstLineChars="200"/>
              <w:jc w:val="left"/>
              <w:rPr>
                <w:color w:val="auto"/>
              </w:rPr>
            </w:pPr>
            <w:r>
              <w:rPr>
                <w:rFonts w:hint="eastAsia"/>
                <w:color w:val="auto"/>
              </w:rPr>
              <w:t>③三级防控体系：必须与其他企业形成联动，当本项目出现重特大事故时，厂区内设置的事故应急池容量已无法容纳消防废水和事故废水，可考虑使用附近其他企业应急系统收集消防废水和事故废水，杜绝消防废水和事故废水直接排放的情况，避免对纳污水体造成污染，同时应注意加强与</w:t>
            </w:r>
            <w:r>
              <w:rPr>
                <w:rFonts w:hint="eastAsia"/>
                <w:color w:val="auto"/>
                <w:lang w:eastAsia="zh-CN"/>
              </w:rPr>
              <w:t>启东市</w:t>
            </w:r>
            <w:r>
              <w:rPr>
                <w:rFonts w:hint="eastAsia"/>
                <w:color w:val="auto"/>
              </w:rPr>
              <w:t>及河道水利部门联系。</w:t>
            </w:r>
          </w:p>
          <w:p w14:paraId="5537BC5D">
            <w:pPr>
              <w:widowControl/>
              <w:spacing w:line="360" w:lineRule="auto"/>
              <w:ind w:firstLine="420" w:firstLineChars="200"/>
              <w:jc w:val="left"/>
            </w:pPr>
            <w:r>
              <w:t>事故池设计：事故储存设施总有效容积的核算考虑以下几个方面：</w:t>
            </w:r>
          </w:p>
          <w:p w14:paraId="3EC72098">
            <w:pPr>
              <w:jc w:val="center"/>
            </w:pPr>
            <w:r>
              <w:object>
                <v:shape id="_x0000_i1025" o:spt="75" type="#_x0000_t75" style="height:18pt;width:153.75pt;" o:ole="t" filled="f" o:preferrelative="t" stroked="f" coordsize="21600,21600">
                  <v:path/>
                  <v:fill on="f" focussize="0,0"/>
                  <v:stroke on="f" joinstyle="miter"/>
                  <v:imagedata r:id="rId18" o:title=""/>
                  <o:lock v:ext="edit" aspectratio="t"/>
                  <w10:wrap type="none"/>
                  <w10:anchorlock/>
                </v:shape>
                <o:OLEObject Type="Embed" ProgID="Equation.KSEE3" ShapeID="_x0000_i1025" DrawAspect="Content" ObjectID="_1468075725" r:id="rId17">
                  <o:LockedField>false</o:LockedField>
                </o:OLEObject>
              </w:object>
            </w:r>
          </w:p>
          <w:p w14:paraId="38F8230A">
            <w:pPr>
              <w:widowControl/>
              <w:spacing w:line="500" w:lineRule="exact"/>
              <w:ind w:firstLine="420" w:firstLineChars="200"/>
              <w:jc w:val="left"/>
            </w:pPr>
            <w:r>
              <w:t xml:space="preserve">注：（V1+ V2- V3）max是指对收集系统范围内不同罐组或装置分别计算 V1+ V2- </w:t>
            </w:r>
          </w:p>
          <w:p w14:paraId="74931A4A">
            <w:pPr>
              <w:widowControl/>
              <w:spacing w:line="500" w:lineRule="exact"/>
              <w:ind w:firstLine="420" w:firstLineChars="200"/>
              <w:jc w:val="left"/>
            </w:pPr>
            <w:r>
              <w:t xml:space="preserve">V3，取其中最大值。 </w:t>
            </w:r>
          </w:p>
          <w:p w14:paraId="263646E2">
            <w:pPr>
              <w:widowControl/>
              <w:spacing w:line="500" w:lineRule="exact"/>
              <w:ind w:firstLine="420" w:firstLineChars="200"/>
              <w:jc w:val="left"/>
            </w:pPr>
            <w:r>
              <w:t xml:space="preserve">V1—收集系统范围内发生事故的储罐或装置的物料量； </w:t>
            </w:r>
          </w:p>
          <w:p w14:paraId="70EA7A4B">
            <w:pPr>
              <w:widowControl/>
              <w:spacing w:line="500" w:lineRule="exact"/>
              <w:ind w:firstLine="420" w:firstLineChars="200"/>
              <w:jc w:val="left"/>
            </w:pPr>
            <w:r>
              <w:t>V2—发生事故的储罐或装置的消防水量，m</w:t>
            </w:r>
            <w:r>
              <w:rPr>
                <w:vertAlign w:val="superscript"/>
              </w:rPr>
              <w:t>3</w:t>
            </w:r>
            <w:r>
              <w:t>；</w:t>
            </w:r>
          </w:p>
          <w:p w14:paraId="4F30A7F1">
            <w:pPr>
              <w:widowControl/>
              <w:spacing w:line="500" w:lineRule="exact"/>
              <w:ind w:firstLine="420" w:firstLineChars="200"/>
              <w:jc w:val="left"/>
            </w:pPr>
            <w:r>
              <w:t>V3—发生事故时可以转输到其他储存或处理设施的物料量，m</w:t>
            </w:r>
            <w:r>
              <w:rPr>
                <w:vertAlign w:val="superscript"/>
              </w:rPr>
              <w:t>3</w:t>
            </w:r>
            <w:r>
              <w:t xml:space="preserve">； </w:t>
            </w:r>
          </w:p>
          <w:p w14:paraId="3B701B98">
            <w:pPr>
              <w:widowControl/>
              <w:spacing w:line="500" w:lineRule="exact"/>
              <w:ind w:firstLine="420" w:firstLineChars="200"/>
              <w:jc w:val="left"/>
            </w:pPr>
            <w:r>
              <w:t>V4—发生事故时仍必须进入该收集系统的生产废水量，m</w:t>
            </w:r>
            <w:r>
              <w:rPr>
                <w:vertAlign w:val="superscript"/>
              </w:rPr>
              <w:t>3</w:t>
            </w:r>
            <w:r>
              <w:t xml:space="preserve">； </w:t>
            </w:r>
          </w:p>
          <w:p w14:paraId="3F989380">
            <w:pPr>
              <w:widowControl/>
              <w:spacing w:line="500" w:lineRule="exact"/>
              <w:ind w:firstLine="420" w:firstLineChars="200"/>
              <w:jc w:val="left"/>
            </w:pPr>
            <w:r>
              <w:t>V5—发生事故时可能进入该收集系统的降雨量，m</w:t>
            </w:r>
            <w:r>
              <w:rPr>
                <w:vertAlign w:val="superscript"/>
              </w:rPr>
              <w:t>3</w:t>
            </w:r>
            <w:r>
              <w:t xml:space="preserve">。 </w:t>
            </w:r>
          </w:p>
          <w:p w14:paraId="1B2315CF">
            <w:pPr>
              <w:widowControl/>
              <w:spacing w:line="500" w:lineRule="exact"/>
              <w:ind w:firstLine="420" w:firstLineChars="200"/>
              <w:jc w:val="left"/>
            </w:pPr>
            <w:r>
              <w:t>①物料量（V</w:t>
            </w:r>
            <w:r>
              <w:rPr>
                <w:vertAlign w:val="subscript"/>
              </w:rPr>
              <w:t>1</w:t>
            </w:r>
            <w:r>
              <w:t>）：按照液体原料最大存储量泄漏计算，</w:t>
            </w:r>
            <w:r>
              <w:rPr>
                <w:rFonts w:hint="eastAsia"/>
                <w:lang w:eastAsia="zh-CN"/>
              </w:rPr>
              <w:t>最大包装容器为</w:t>
            </w:r>
            <w:r>
              <w:rPr>
                <w:rFonts w:hint="eastAsia"/>
                <w:lang w:val="en-US" w:eastAsia="zh-CN"/>
              </w:rPr>
              <w:t>25kg</w:t>
            </w:r>
            <w:r>
              <w:rPr>
                <w:rFonts w:hint="eastAsia"/>
              </w:rPr>
              <w:t>，</w:t>
            </w:r>
            <w:r>
              <w:t>V</w:t>
            </w:r>
            <w:r>
              <w:rPr>
                <w:vertAlign w:val="subscript"/>
              </w:rPr>
              <w:t>1</w:t>
            </w:r>
            <w:r>
              <w:t>为</w:t>
            </w:r>
            <w:r>
              <w:rPr>
                <w:rFonts w:hint="eastAsia"/>
                <w:lang w:val="en-US" w:eastAsia="zh-CN"/>
              </w:rPr>
              <w:t>0.025</w:t>
            </w:r>
            <w:r>
              <w:t>m</w:t>
            </w:r>
            <w:r>
              <w:rPr>
                <w:vertAlign w:val="superscript"/>
              </w:rPr>
              <w:t>3</w:t>
            </w:r>
            <w:r>
              <w:t>。</w:t>
            </w:r>
          </w:p>
          <w:p w14:paraId="4A8413A9">
            <w:pPr>
              <w:widowControl/>
              <w:spacing w:line="500" w:lineRule="exact"/>
              <w:ind w:firstLine="420" w:firstLineChars="200"/>
              <w:jc w:val="left"/>
            </w:pPr>
            <w:r>
              <w:t>②发生事故车间设备的消防水量（V</w:t>
            </w:r>
            <w:r>
              <w:rPr>
                <w:vertAlign w:val="subscript"/>
              </w:rPr>
              <w:t>2</w:t>
            </w:r>
            <w:r>
              <w:t>）</w:t>
            </w:r>
          </w:p>
          <w:p w14:paraId="6CBD09BC">
            <w:pPr>
              <w:jc w:val="center"/>
            </w:pPr>
            <w:r>
              <w:object>
                <v:shape id="_x0000_i1026" o:spt="75" type="#_x0000_t75" style="height:20.25pt;width:68.25pt;" o:ole="t" filled="f" o:preferrelative="t" stroked="f" coordsize="21600,21600">
                  <v:path/>
                  <v:fill on="f" focussize="0,0"/>
                  <v:stroke on="f" joinstyle="miter"/>
                  <v:imagedata r:id="rId20" o:title=""/>
                  <o:lock v:ext="edit" aspectratio="t"/>
                  <w10:wrap type="none"/>
                  <w10:anchorlock/>
                </v:shape>
                <o:OLEObject Type="Embed" ProgID="Equation.KSEE3" ShapeID="_x0000_i1026" DrawAspect="Content" ObjectID="_1468075726" r:id="rId19">
                  <o:LockedField>false</o:LockedField>
                </o:OLEObject>
              </w:object>
            </w:r>
          </w:p>
          <w:p w14:paraId="39C4B622">
            <w:pPr>
              <w:widowControl/>
              <w:spacing w:line="500" w:lineRule="exact"/>
              <w:ind w:firstLine="420" w:firstLineChars="200"/>
              <w:jc w:val="left"/>
              <w:rPr>
                <w:szCs w:val="21"/>
              </w:rPr>
            </w:pPr>
            <w:r>
              <w:rPr>
                <w:color w:val="000000"/>
                <w:kern w:val="0"/>
                <w:szCs w:val="21"/>
                <w:lang w:bidi="ar"/>
              </w:rPr>
              <w:t>Q</w:t>
            </w:r>
            <w:r>
              <w:rPr>
                <w:color w:val="000000"/>
                <w:kern w:val="0"/>
                <w:szCs w:val="21"/>
                <w:vertAlign w:val="subscript"/>
                <w:lang w:bidi="ar"/>
              </w:rPr>
              <w:t>消</w:t>
            </w:r>
            <w:r>
              <w:rPr>
                <w:color w:val="000000"/>
                <w:kern w:val="0"/>
                <w:szCs w:val="21"/>
                <w:lang w:bidi="ar"/>
              </w:rPr>
              <w:t>——发生事故的储罐或装置的同时使用的消防设施给水流量，m</w:t>
            </w:r>
            <w:r>
              <w:rPr>
                <w:color w:val="000000"/>
                <w:kern w:val="0"/>
                <w:szCs w:val="21"/>
                <w:vertAlign w:val="superscript"/>
                <w:lang w:bidi="ar"/>
              </w:rPr>
              <w:t xml:space="preserve">3 </w:t>
            </w:r>
            <w:r>
              <w:rPr>
                <w:color w:val="000000"/>
                <w:kern w:val="0"/>
                <w:szCs w:val="21"/>
                <w:lang w:bidi="ar"/>
              </w:rPr>
              <w:t xml:space="preserve">/h； </w:t>
            </w:r>
          </w:p>
          <w:p w14:paraId="372D80A7">
            <w:pPr>
              <w:widowControl/>
              <w:spacing w:line="500" w:lineRule="exact"/>
              <w:ind w:firstLine="420" w:firstLineChars="200"/>
              <w:jc w:val="left"/>
              <w:rPr>
                <w:szCs w:val="21"/>
              </w:rPr>
            </w:pPr>
            <w:r>
              <w:rPr>
                <w:color w:val="000000"/>
                <w:kern w:val="0"/>
                <w:szCs w:val="21"/>
                <w:lang w:bidi="ar"/>
              </w:rPr>
              <w:t>t</w:t>
            </w:r>
            <w:r>
              <w:rPr>
                <w:color w:val="000000"/>
                <w:kern w:val="0"/>
                <w:szCs w:val="21"/>
                <w:vertAlign w:val="subscript"/>
                <w:lang w:bidi="ar"/>
              </w:rPr>
              <w:t>消</w:t>
            </w:r>
            <w:r>
              <w:rPr>
                <w:color w:val="000000"/>
                <w:kern w:val="0"/>
                <w:szCs w:val="21"/>
                <w:lang w:bidi="ar"/>
              </w:rPr>
              <w:t xml:space="preserve">——消防设施对应的设计消防历时，h； </w:t>
            </w:r>
          </w:p>
          <w:p w14:paraId="125DC89F">
            <w:pPr>
              <w:spacing w:line="50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企业火灾危险性类别按照</w:t>
            </w:r>
            <w:r>
              <w:rPr>
                <w:rFonts w:hint="eastAsia" w:cs="Times New Roman"/>
                <w:color w:val="auto"/>
                <w:lang w:eastAsia="zh-CN"/>
              </w:rPr>
              <w:t>丁</w:t>
            </w:r>
            <w:r>
              <w:rPr>
                <w:rFonts w:hint="default" w:ascii="Times New Roman" w:hAnsi="Times New Roman" w:eastAsia="宋体" w:cs="Times New Roman"/>
                <w:color w:val="auto"/>
              </w:rPr>
              <w:t>类，根据《消防给水及消火栓系统技术规范》（GB50974-2014）表3.3.2中耐火等级一、二级工业建筑（厂房</w:t>
            </w:r>
            <w:r>
              <w:rPr>
                <w:rFonts w:hint="eastAsia" w:cs="Times New Roman"/>
                <w:color w:val="auto"/>
                <w:lang w:eastAsia="zh-CN"/>
              </w:rPr>
              <w:t>丁</w:t>
            </w:r>
            <w:r>
              <w:rPr>
                <w:rFonts w:hint="default" w:ascii="Times New Roman" w:hAnsi="Times New Roman" w:eastAsia="宋体" w:cs="Times New Roman"/>
                <w:color w:val="auto"/>
              </w:rPr>
              <w:t>类）室外消火栓用水量，企业室外消火栓用水量取20L/s；根据《建筑防火通用规范》（GB55037-2022）表10.1.5建筑物室内消火栓设计流量，消防栓设计流量以10L/s计</w:t>
            </w:r>
            <w:r>
              <w:rPr>
                <w:rFonts w:hint="eastAsia" w:ascii="Times New Roman" w:hAnsi="Times New Roman" w:eastAsia="宋体" w:cs="Times New Roman"/>
                <w:color w:val="auto"/>
                <w:lang w:eastAsia="zh-CN"/>
              </w:rPr>
              <w:t>。根据《建筑防火通用规范》（GB55037-2022）表10.1.5不同建筑的设计火灾延续时间</w:t>
            </w:r>
            <w:r>
              <w:rPr>
                <w:rFonts w:hint="eastAsia" w:cs="Times New Roman"/>
                <w:color w:val="auto"/>
                <w:lang w:eastAsia="zh-CN"/>
              </w:rPr>
              <w:t>丁</w:t>
            </w:r>
            <w:r>
              <w:rPr>
                <w:rFonts w:hint="eastAsia" w:ascii="Times New Roman" w:hAnsi="Times New Roman" w:eastAsia="宋体" w:cs="Times New Roman"/>
                <w:color w:val="auto"/>
                <w:lang w:eastAsia="zh-CN"/>
              </w:rPr>
              <w:t>类厂房火灾延续时间按</w:t>
            </w:r>
            <w:r>
              <w:rPr>
                <w:rFonts w:hint="eastAsia" w:cs="Times New Roman"/>
                <w:color w:val="auto"/>
                <w:lang w:val="en-US" w:eastAsia="zh-CN"/>
              </w:rPr>
              <w:t>2</w:t>
            </w:r>
            <w:r>
              <w:rPr>
                <w:rFonts w:hint="eastAsia" w:ascii="Times New Roman" w:hAnsi="Times New Roman" w:eastAsia="宋体" w:cs="Times New Roman"/>
                <w:color w:val="auto"/>
                <w:lang w:eastAsia="zh-CN"/>
              </w:rPr>
              <w:t>h计算，</w:t>
            </w:r>
            <w:r>
              <w:rPr>
                <w:rFonts w:hint="default" w:ascii="Times New Roman" w:hAnsi="Times New Roman" w:eastAsia="宋体" w:cs="Times New Roman"/>
                <w:color w:val="auto"/>
              </w:rPr>
              <w:t>则消防水量V＝30×</w:t>
            </w:r>
            <w:r>
              <w:rPr>
                <w:rFonts w:hint="eastAsia" w:cs="Times New Roman"/>
                <w:color w:val="auto"/>
                <w:lang w:val="en-US" w:eastAsia="zh-CN"/>
              </w:rPr>
              <w:t>2</w:t>
            </w:r>
            <w:r>
              <w:rPr>
                <w:rFonts w:hint="default" w:ascii="Times New Roman" w:hAnsi="Times New Roman" w:eastAsia="宋体" w:cs="Times New Roman"/>
                <w:color w:val="auto"/>
              </w:rPr>
              <w:t>×3600×0.001＝</w:t>
            </w:r>
            <w:r>
              <w:rPr>
                <w:rFonts w:hint="eastAsia" w:cs="Times New Roman"/>
                <w:color w:val="auto"/>
                <w:lang w:val="en-US" w:eastAsia="zh-CN"/>
              </w:rPr>
              <w:t>216</w:t>
            </w:r>
            <w:r>
              <w:rPr>
                <w:rFonts w:hint="default" w:ascii="Times New Roman" w:hAnsi="Times New Roman" w:eastAsia="宋体" w:cs="Times New Roman"/>
                <w:color w:val="auto"/>
              </w:rPr>
              <w:t>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rPr>
              <w:t>；</w:t>
            </w:r>
          </w:p>
          <w:p w14:paraId="3CBF461A">
            <w:pPr>
              <w:wordWrap w:val="0"/>
              <w:snapToGrid w:val="0"/>
              <w:spacing w:line="580" w:lineRule="exact"/>
              <w:ind w:firstLine="560"/>
              <w:rPr>
                <w:color w:val="000000"/>
                <w:kern w:val="0"/>
                <w:szCs w:val="21"/>
                <w:lang w:bidi="ar"/>
              </w:rPr>
            </w:pPr>
            <w:r>
              <w:rPr>
                <w:color w:val="000000"/>
                <w:kern w:val="0"/>
                <w:szCs w:val="21"/>
                <w:lang w:bidi="ar"/>
              </w:rPr>
              <w:t>③发生事故时可以</w:t>
            </w:r>
            <w:r>
              <w:rPr>
                <w:rFonts w:hint="eastAsia"/>
                <w:color w:val="000000"/>
                <w:kern w:val="0"/>
                <w:szCs w:val="21"/>
                <w:lang w:eastAsia="zh-CN" w:bidi="ar"/>
              </w:rPr>
              <w:t>传</w:t>
            </w:r>
            <w:r>
              <w:rPr>
                <w:color w:val="000000"/>
                <w:kern w:val="0"/>
                <w:szCs w:val="21"/>
                <w:lang w:bidi="ar"/>
              </w:rPr>
              <w:t>输到其他储存或处理设施的物料量（V3）：</w:t>
            </w:r>
            <w:r>
              <w:rPr>
                <w:rFonts w:hint="default" w:ascii="Times New Roman" w:hAnsi="Times New Roman" w:eastAsia="宋体" w:cs="Times New Roman"/>
                <w:color w:val="auto"/>
              </w:rPr>
              <w:t>预计本厂区雨水管道全长700m，直径取0.3m，则V3取值为49.48m</w:t>
            </w:r>
            <w:r>
              <w:rPr>
                <w:rFonts w:hint="default" w:ascii="Times New Roman" w:hAnsi="Times New Roman" w:eastAsia="宋体" w:cs="Times New Roman"/>
                <w:color w:val="auto"/>
                <w:vertAlign w:val="superscript"/>
              </w:rPr>
              <w:t>3</w:t>
            </w:r>
            <w:r>
              <w:rPr>
                <w:rFonts w:hint="eastAsia" w:ascii="Times New Roman" w:hAnsi="Times New Roman" w:eastAsia="宋体" w:cs="Times New Roman"/>
                <w:color w:val="auto"/>
                <w:lang w:eastAsia="zh-CN"/>
              </w:rPr>
              <w:t>，</w:t>
            </w:r>
            <w:r>
              <w:rPr>
                <w:color w:val="000000"/>
                <w:kern w:val="0"/>
                <w:szCs w:val="21"/>
                <w:lang w:bidi="ar"/>
              </w:rPr>
              <w:t>V3为</w:t>
            </w:r>
            <w:r>
              <w:rPr>
                <w:rFonts w:hint="eastAsia"/>
                <w:color w:val="000000"/>
                <w:kern w:val="0"/>
                <w:szCs w:val="21"/>
                <w:lang w:val="en-US" w:eastAsia="zh-CN" w:bidi="ar"/>
              </w:rPr>
              <w:t>49.48</w:t>
            </w:r>
            <w:r>
              <w:rPr>
                <w:color w:val="000000"/>
                <w:kern w:val="0"/>
                <w:szCs w:val="21"/>
                <w:lang w:bidi="ar"/>
              </w:rPr>
              <w:t>m</w:t>
            </w:r>
            <w:r>
              <w:rPr>
                <w:color w:val="000000"/>
                <w:kern w:val="0"/>
                <w:szCs w:val="21"/>
                <w:vertAlign w:val="superscript"/>
                <w:lang w:bidi="ar"/>
              </w:rPr>
              <w:t>3</w:t>
            </w:r>
            <w:r>
              <w:rPr>
                <w:color w:val="000000"/>
                <w:kern w:val="0"/>
                <w:szCs w:val="21"/>
                <w:lang w:bidi="ar"/>
              </w:rPr>
              <w:t xml:space="preserve">。 </w:t>
            </w:r>
          </w:p>
          <w:p w14:paraId="37FA0B80">
            <w:pPr>
              <w:wordWrap w:val="0"/>
              <w:snapToGrid w:val="0"/>
              <w:spacing w:line="580" w:lineRule="exact"/>
              <w:ind w:firstLine="560"/>
              <w:rPr>
                <w:szCs w:val="21"/>
              </w:rPr>
            </w:pPr>
            <w:r>
              <w:rPr>
                <w:color w:val="000000"/>
                <w:kern w:val="0"/>
                <w:szCs w:val="21"/>
                <w:lang w:bidi="ar"/>
              </w:rPr>
              <w:t>④发生事故时仍必须进入该收集系统的生产废水量（V4）：</w:t>
            </w:r>
            <w:r>
              <w:rPr>
                <w:rFonts w:hint="eastAsia"/>
                <w:color w:val="000000"/>
                <w:kern w:val="0"/>
                <w:szCs w:val="21"/>
                <w:lang w:bidi="ar"/>
              </w:rPr>
              <w:t>项目不产生生产废水，</w:t>
            </w:r>
            <w:r>
              <w:rPr>
                <w:color w:val="000000"/>
                <w:kern w:val="0"/>
                <w:szCs w:val="21"/>
                <w:lang w:bidi="ar"/>
              </w:rPr>
              <w:t>V4取</w:t>
            </w:r>
            <w:r>
              <w:rPr>
                <w:rFonts w:hint="eastAsia"/>
                <w:color w:val="000000"/>
                <w:kern w:val="0"/>
                <w:szCs w:val="21"/>
                <w:lang w:bidi="ar"/>
              </w:rPr>
              <w:t>0</w:t>
            </w:r>
            <w:r>
              <w:rPr>
                <w:color w:val="000000"/>
                <w:kern w:val="0"/>
                <w:szCs w:val="21"/>
                <w:lang w:bidi="ar"/>
              </w:rPr>
              <w:t>m</w:t>
            </w:r>
            <w:r>
              <w:rPr>
                <w:color w:val="000000"/>
                <w:kern w:val="0"/>
                <w:szCs w:val="21"/>
                <w:vertAlign w:val="superscript"/>
                <w:lang w:bidi="ar"/>
              </w:rPr>
              <w:t>3</w:t>
            </w:r>
            <w:r>
              <w:rPr>
                <w:color w:val="000000"/>
                <w:kern w:val="0"/>
                <w:szCs w:val="21"/>
                <w:lang w:bidi="ar"/>
              </w:rPr>
              <w:t xml:space="preserve">。 </w:t>
            </w:r>
          </w:p>
          <w:p w14:paraId="2EA84BBC">
            <w:pPr>
              <w:widowControl/>
              <w:spacing w:line="500" w:lineRule="exact"/>
              <w:ind w:firstLine="420" w:firstLineChars="200"/>
              <w:jc w:val="left"/>
              <w:rPr>
                <w:color w:val="000000"/>
                <w:kern w:val="0"/>
                <w:szCs w:val="21"/>
                <w:lang w:bidi="ar"/>
              </w:rPr>
            </w:pPr>
            <w:r>
              <w:rPr>
                <w:color w:val="000000"/>
                <w:kern w:val="0"/>
                <w:szCs w:val="21"/>
                <w:lang w:bidi="ar"/>
              </w:rPr>
              <w:t>⑤发生事故时可能进入该收集系统的降雨量（V5）：</w:t>
            </w:r>
          </w:p>
          <w:p w14:paraId="54F2BB55">
            <w:pPr>
              <w:adjustRightInd w:val="0"/>
              <w:snapToGrid w:val="0"/>
              <w:spacing w:line="500" w:lineRule="exact"/>
              <w:jc w:val="center"/>
              <w:rPr>
                <w:bCs/>
                <w:szCs w:val="21"/>
              </w:rPr>
            </w:pPr>
            <w:r>
              <w:rPr>
                <w:rFonts w:hint="eastAsia"/>
                <w:bCs/>
                <w:szCs w:val="21"/>
              </w:rPr>
              <w:t>V5=10qFt</w:t>
            </w:r>
          </w:p>
          <w:p w14:paraId="3B031B5A">
            <w:pPr>
              <w:adjustRightInd w:val="0"/>
              <w:snapToGrid w:val="0"/>
              <w:spacing w:line="500" w:lineRule="exact"/>
              <w:ind w:firstLine="420" w:firstLineChars="200"/>
              <w:rPr>
                <w:bCs/>
                <w:szCs w:val="21"/>
              </w:rPr>
            </w:pPr>
            <w:r>
              <w:rPr>
                <w:rFonts w:hint="eastAsia"/>
                <w:bCs/>
                <w:szCs w:val="21"/>
              </w:rPr>
              <w:t>q——降雨强度，mm。南通市平均降雨量为1215.6mm，年平均降雨天数按120天计算，则日平均降雨强度为10.13mm；</w:t>
            </w:r>
          </w:p>
          <w:p w14:paraId="0326F965">
            <w:pPr>
              <w:adjustRightInd w:val="0"/>
              <w:snapToGrid w:val="0"/>
              <w:spacing w:line="500" w:lineRule="exact"/>
              <w:ind w:firstLine="420" w:firstLineChars="200"/>
              <w:rPr>
                <w:bCs/>
                <w:szCs w:val="21"/>
              </w:rPr>
            </w:pPr>
            <w:r>
              <w:rPr>
                <w:rFonts w:hint="eastAsia"/>
                <w:bCs/>
                <w:szCs w:val="21"/>
              </w:rPr>
              <w:t>F——汇水面积，F=</w:t>
            </w:r>
            <w:r>
              <w:rPr>
                <w:rFonts w:hint="eastAsia"/>
                <w:bCs/>
                <w:szCs w:val="21"/>
                <w:lang w:val="en-US" w:eastAsia="zh-CN"/>
              </w:rPr>
              <w:t>1.22h</w:t>
            </w:r>
            <w:r>
              <w:rPr>
                <w:bCs/>
                <w:szCs w:val="21"/>
              </w:rPr>
              <w:t>m</w:t>
            </w:r>
            <w:r>
              <w:rPr>
                <w:bCs/>
                <w:szCs w:val="21"/>
                <w:vertAlign w:val="superscript"/>
              </w:rPr>
              <w:t>2</w:t>
            </w:r>
            <w:r>
              <w:rPr>
                <w:bCs/>
                <w:szCs w:val="21"/>
              </w:rPr>
              <w:t>。</w:t>
            </w:r>
          </w:p>
          <w:p w14:paraId="25B192D6">
            <w:pPr>
              <w:adjustRightInd w:val="0"/>
              <w:snapToGrid w:val="0"/>
              <w:spacing w:line="500" w:lineRule="exact"/>
              <w:ind w:firstLine="420" w:firstLineChars="200"/>
              <w:rPr>
                <w:bCs/>
                <w:szCs w:val="21"/>
              </w:rPr>
            </w:pPr>
            <w:r>
              <w:rPr>
                <w:rFonts w:hint="eastAsia"/>
                <w:bCs/>
                <w:szCs w:val="21"/>
              </w:rPr>
              <w:t>t——降雨时间，按2小时计算。</w:t>
            </w:r>
          </w:p>
          <w:p w14:paraId="177C6775">
            <w:pPr>
              <w:adjustRightInd w:val="0"/>
              <w:snapToGrid w:val="0"/>
              <w:spacing w:line="500" w:lineRule="exact"/>
              <w:ind w:firstLine="420" w:firstLineChars="200"/>
              <w:rPr>
                <w:szCs w:val="21"/>
              </w:rPr>
            </w:pPr>
            <w:r>
              <w:rPr>
                <w:rFonts w:hint="eastAsia"/>
                <w:bCs/>
                <w:szCs w:val="21"/>
              </w:rPr>
              <w:t>V5=10·10.13·</w:t>
            </w:r>
            <w:r>
              <w:rPr>
                <w:rFonts w:hint="eastAsia"/>
                <w:bCs/>
                <w:szCs w:val="21"/>
                <w:lang w:val="en-US" w:eastAsia="zh-CN"/>
              </w:rPr>
              <w:t>1.22</w:t>
            </w:r>
            <w:r>
              <w:rPr>
                <w:rFonts w:hint="eastAsia"/>
                <w:bCs/>
                <w:szCs w:val="21"/>
              </w:rPr>
              <w:t>·2/</w:t>
            </w:r>
            <w:r>
              <w:rPr>
                <w:rFonts w:hint="eastAsia"/>
                <w:bCs/>
                <w:szCs w:val="21"/>
                <w:lang w:val="en-US" w:eastAsia="zh-CN"/>
              </w:rPr>
              <w:t>8</w:t>
            </w:r>
            <w:r>
              <w:rPr>
                <w:rFonts w:hint="eastAsia"/>
                <w:bCs/>
                <w:szCs w:val="21"/>
              </w:rPr>
              <w:t>=</w:t>
            </w:r>
            <w:r>
              <w:rPr>
                <w:rFonts w:hint="eastAsia"/>
                <w:bCs/>
                <w:szCs w:val="21"/>
                <w:lang w:val="en-US" w:eastAsia="zh-CN"/>
              </w:rPr>
              <w:t>30.9</w:t>
            </w:r>
            <w:r>
              <w:rPr>
                <w:rFonts w:hint="eastAsia"/>
                <w:bCs/>
                <w:szCs w:val="21"/>
              </w:rPr>
              <w:t>m</w:t>
            </w:r>
            <w:r>
              <w:rPr>
                <w:rFonts w:hint="eastAsia"/>
                <w:bCs/>
                <w:szCs w:val="21"/>
                <w:vertAlign w:val="superscript"/>
              </w:rPr>
              <w:t>3</w:t>
            </w:r>
          </w:p>
          <w:p w14:paraId="06AB112A">
            <w:pPr>
              <w:widowControl/>
              <w:spacing w:line="500" w:lineRule="exact"/>
              <w:ind w:firstLine="420" w:firstLineChars="200"/>
              <w:jc w:val="left"/>
              <w:rPr>
                <w:szCs w:val="21"/>
              </w:rPr>
            </w:pPr>
            <w:r>
              <w:rPr>
                <w:color w:val="000000"/>
                <w:kern w:val="0"/>
                <w:szCs w:val="21"/>
                <w:lang w:bidi="ar"/>
              </w:rPr>
              <w:t>V总=（V1+ V2- V3）max+V4+V5=（</w:t>
            </w:r>
            <w:r>
              <w:rPr>
                <w:rFonts w:hint="eastAsia"/>
                <w:color w:val="000000"/>
                <w:kern w:val="0"/>
                <w:szCs w:val="21"/>
                <w:lang w:val="en-US" w:eastAsia="zh-CN" w:bidi="ar"/>
              </w:rPr>
              <w:t>0.025</w:t>
            </w:r>
            <w:r>
              <w:rPr>
                <w:color w:val="000000"/>
                <w:kern w:val="0"/>
                <w:szCs w:val="21"/>
                <w:lang w:bidi="ar"/>
              </w:rPr>
              <w:t>+</w:t>
            </w:r>
            <w:r>
              <w:rPr>
                <w:rFonts w:hint="eastAsia"/>
                <w:color w:val="000000"/>
                <w:kern w:val="0"/>
                <w:szCs w:val="21"/>
                <w:lang w:val="en-US" w:eastAsia="zh-CN" w:bidi="ar"/>
              </w:rPr>
              <w:t>216</w:t>
            </w:r>
            <w:r>
              <w:rPr>
                <w:color w:val="000000"/>
                <w:kern w:val="0"/>
                <w:szCs w:val="21"/>
                <w:lang w:bidi="ar"/>
              </w:rPr>
              <w:t>–</w:t>
            </w:r>
            <w:r>
              <w:rPr>
                <w:rFonts w:hint="eastAsia"/>
                <w:color w:val="000000"/>
                <w:kern w:val="0"/>
                <w:szCs w:val="21"/>
                <w:lang w:val="en-US" w:eastAsia="zh-CN" w:bidi="ar"/>
              </w:rPr>
              <w:t>49.48</w:t>
            </w:r>
            <w:r>
              <w:rPr>
                <w:color w:val="000000"/>
                <w:kern w:val="0"/>
                <w:szCs w:val="21"/>
                <w:lang w:bidi="ar"/>
              </w:rPr>
              <w:t>）+</w:t>
            </w:r>
            <w:r>
              <w:rPr>
                <w:rFonts w:hint="eastAsia"/>
                <w:color w:val="000000"/>
                <w:kern w:val="0"/>
                <w:szCs w:val="21"/>
                <w:lang w:bidi="ar"/>
              </w:rPr>
              <w:t>0</w:t>
            </w:r>
            <w:r>
              <w:rPr>
                <w:color w:val="000000"/>
                <w:kern w:val="0"/>
                <w:szCs w:val="21"/>
                <w:lang w:bidi="ar"/>
              </w:rPr>
              <w:t>+</w:t>
            </w:r>
            <w:r>
              <w:rPr>
                <w:rFonts w:hint="eastAsia"/>
                <w:color w:val="000000"/>
                <w:kern w:val="0"/>
                <w:szCs w:val="21"/>
                <w:lang w:val="en-US" w:eastAsia="zh-CN" w:bidi="ar"/>
              </w:rPr>
              <w:t>30.9</w:t>
            </w:r>
            <w:r>
              <w:rPr>
                <w:color w:val="000000"/>
                <w:kern w:val="0"/>
                <w:szCs w:val="21"/>
                <w:lang w:bidi="ar"/>
              </w:rPr>
              <w:t>=</w:t>
            </w:r>
            <w:r>
              <w:rPr>
                <w:rFonts w:hint="eastAsia"/>
                <w:color w:val="000000"/>
                <w:kern w:val="0"/>
                <w:szCs w:val="21"/>
                <w:lang w:val="en-US" w:eastAsia="zh-CN" w:bidi="ar"/>
              </w:rPr>
              <w:t>197.45</w:t>
            </w:r>
            <w:r>
              <w:rPr>
                <w:color w:val="000000"/>
                <w:kern w:val="0"/>
                <w:szCs w:val="21"/>
                <w:lang w:bidi="ar"/>
              </w:rPr>
              <w:t>m</w:t>
            </w:r>
            <w:r>
              <w:rPr>
                <w:color w:val="000000"/>
                <w:kern w:val="0"/>
                <w:szCs w:val="21"/>
                <w:vertAlign w:val="superscript"/>
                <w:lang w:bidi="ar"/>
              </w:rPr>
              <w:t>3</w:t>
            </w:r>
            <w:r>
              <w:rPr>
                <w:color w:val="000000"/>
                <w:kern w:val="0"/>
                <w:szCs w:val="21"/>
                <w:lang w:bidi="ar"/>
              </w:rPr>
              <w:t xml:space="preserve">。 </w:t>
            </w:r>
          </w:p>
          <w:p w14:paraId="4A0B8ACD">
            <w:pPr>
              <w:widowControl/>
              <w:spacing w:line="500" w:lineRule="exact"/>
              <w:ind w:firstLine="420" w:firstLineChars="200"/>
              <w:jc w:val="left"/>
              <w:rPr>
                <w:szCs w:val="21"/>
              </w:rPr>
            </w:pPr>
            <w:r>
              <w:rPr>
                <w:color w:val="000000"/>
                <w:kern w:val="0"/>
                <w:szCs w:val="21"/>
                <w:lang w:bidi="ar"/>
              </w:rPr>
              <w:t>经计算，厂区所需事故池总容积为</w:t>
            </w:r>
            <w:r>
              <w:rPr>
                <w:rFonts w:hint="eastAsia"/>
                <w:color w:val="000000"/>
                <w:kern w:val="0"/>
                <w:szCs w:val="21"/>
                <w:lang w:val="en-US" w:eastAsia="zh-CN" w:bidi="ar"/>
              </w:rPr>
              <w:t>197.45</w:t>
            </w:r>
            <w:r>
              <w:rPr>
                <w:color w:val="000000"/>
                <w:kern w:val="0"/>
                <w:szCs w:val="21"/>
                <w:lang w:bidi="ar"/>
              </w:rPr>
              <w:t>m</w:t>
            </w:r>
            <w:r>
              <w:rPr>
                <w:color w:val="000000"/>
                <w:kern w:val="0"/>
                <w:szCs w:val="21"/>
                <w:vertAlign w:val="superscript"/>
                <w:lang w:bidi="ar"/>
              </w:rPr>
              <w:t>3</w:t>
            </w:r>
            <w:r>
              <w:rPr>
                <w:color w:val="000000"/>
                <w:kern w:val="0"/>
                <w:szCs w:val="21"/>
                <w:lang w:bidi="ar"/>
              </w:rPr>
              <w:t>，因此，本项目</w:t>
            </w:r>
            <w:r>
              <w:rPr>
                <w:rFonts w:hint="eastAsia"/>
                <w:color w:val="000000"/>
                <w:kern w:val="0"/>
                <w:szCs w:val="21"/>
                <w:lang w:eastAsia="zh-CN" w:bidi="ar"/>
              </w:rPr>
              <w:t>拟建</w:t>
            </w:r>
            <w:r>
              <w:rPr>
                <w:color w:val="000000"/>
                <w:kern w:val="0"/>
                <w:szCs w:val="21"/>
                <w:lang w:bidi="ar"/>
              </w:rPr>
              <w:t>一座</w:t>
            </w:r>
            <w:r>
              <w:rPr>
                <w:rFonts w:hint="eastAsia"/>
                <w:color w:val="000000"/>
                <w:kern w:val="0"/>
                <w:szCs w:val="21"/>
                <w:lang w:val="en-US" w:eastAsia="zh-CN" w:bidi="ar"/>
              </w:rPr>
              <w:t>200</w:t>
            </w:r>
            <w:r>
              <w:rPr>
                <w:color w:val="000000"/>
                <w:kern w:val="0"/>
                <w:szCs w:val="21"/>
                <w:lang w:bidi="ar"/>
              </w:rPr>
              <w:t>m</w:t>
            </w:r>
            <w:r>
              <w:rPr>
                <w:color w:val="000000"/>
                <w:kern w:val="0"/>
                <w:szCs w:val="21"/>
                <w:vertAlign w:val="superscript"/>
                <w:lang w:bidi="ar"/>
              </w:rPr>
              <w:t>3</w:t>
            </w:r>
            <w:r>
              <w:rPr>
                <w:color w:val="000000"/>
                <w:kern w:val="0"/>
                <w:szCs w:val="21"/>
                <w:lang w:bidi="ar"/>
              </w:rPr>
              <w:t>的事故应急池，完全能满足事故废水收集的要求。</w:t>
            </w:r>
            <w:r>
              <w:rPr>
                <w:rFonts w:hint="eastAsia"/>
                <w:color w:val="000000"/>
                <w:kern w:val="0"/>
                <w:szCs w:val="21"/>
                <w:lang w:bidi="ar"/>
              </w:rPr>
              <w:t>事故池设计采取钢筋混凝土结构，采用相应的防渗措施，为地下式，事故池标高要求小于其他设施标高，发生事故时，废水经收集系统进入事故池，完全可满足全厂事故废水的收集。</w:t>
            </w:r>
          </w:p>
          <w:p w14:paraId="020E2513">
            <w:pPr>
              <w:widowControl/>
              <w:spacing w:line="500" w:lineRule="exact"/>
              <w:ind w:firstLine="420" w:firstLineChars="200"/>
              <w:jc w:val="left"/>
              <w:rPr>
                <w:rFonts w:hint="eastAsia"/>
                <w:color w:val="000000"/>
                <w:kern w:val="0"/>
                <w:szCs w:val="21"/>
                <w:lang w:bidi="ar"/>
              </w:rPr>
            </w:pPr>
            <w:r>
              <w:rPr>
                <w:rFonts w:hint="eastAsia"/>
                <w:color w:val="000000"/>
                <w:kern w:val="0"/>
                <w:szCs w:val="21"/>
                <w:lang w:bidi="ar"/>
              </w:rPr>
              <w:t>厂区雨污分流，本项目无生产废水外排。正常生产情况下，阀门1开启，阀门2关闭，对于初期雨水的收集可通过关闭阀门1，开启阀门2进行收集。事故状况下，阀门1关闭，阀门2开启，对消防废水和事故废水进行收集，收集后的事故废水委托有资质单位处置。具有雨水系统总排口监视及关闭设施，在紧急情况下有专人负责关闭雨水系统总排口，防止雨水、消防水和泄漏物进入外环境。</w:t>
            </w:r>
          </w:p>
          <w:p w14:paraId="22B7E9A7">
            <w:pPr>
              <w:widowControl/>
              <w:spacing w:line="500" w:lineRule="exact"/>
              <w:ind w:firstLine="420" w:firstLineChars="200"/>
              <w:jc w:val="left"/>
              <w:rPr>
                <w:rFonts w:hint="eastAsia"/>
                <w:color w:val="000000"/>
                <w:kern w:val="0"/>
                <w:szCs w:val="21"/>
                <w:lang w:bidi="ar"/>
              </w:rPr>
            </w:pPr>
            <w:r>
              <w:rPr>
                <w:rFonts w:hint="eastAsia"/>
                <w:color w:val="000000"/>
                <w:kern w:val="0"/>
                <w:szCs w:val="21"/>
                <w:lang w:bidi="ar"/>
              </w:rPr>
              <w:t>事故情况下，各废水走向情况见下图。</w:t>
            </w:r>
          </w:p>
          <w:p w14:paraId="41784CDB">
            <w:pPr>
              <w:widowControl/>
              <w:spacing w:line="500" w:lineRule="exact"/>
              <w:ind w:firstLine="420" w:firstLineChars="200"/>
              <w:jc w:val="left"/>
              <w:rPr>
                <w:color w:val="000000"/>
                <w:kern w:val="0"/>
                <w:szCs w:val="21"/>
                <w:lang w:bidi="ar"/>
              </w:rPr>
            </w:pPr>
            <w:r>
              <w:rPr>
                <w:color w:val="auto"/>
                <w:highlight w:val="none"/>
              </w:rPr>
              <mc:AlternateContent>
                <mc:Choice Requires="wpg">
                  <w:drawing>
                    <wp:anchor distT="0" distB="0" distL="114300" distR="114300" simplePos="0" relativeHeight="251660288" behindDoc="0" locked="0" layoutInCell="1" allowOverlap="1">
                      <wp:simplePos x="0" y="0"/>
                      <wp:positionH relativeFrom="column">
                        <wp:posOffset>800735</wp:posOffset>
                      </wp:positionH>
                      <wp:positionV relativeFrom="paragraph">
                        <wp:posOffset>48895</wp:posOffset>
                      </wp:positionV>
                      <wp:extent cx="3618230" cy="2240915"/>
                      <wp:effectExtent l="0" t="0" r="1270" b="6985"/>
                      <wp:wrapNone/>
                      <wp:docPr id="19" name="组合 19"/>
                      <wp:cNvGraphicFramePr/>
                      <a:graphic xmlns:a="http://schemas.openxmlformats.org/drawingml/2006/main">
                        <a:graphicData uri="http://schemas.microsoft.com/office/word/2010/wordprocessingGroup">
                          <wpg:wgp>
                            <wpg:cNvGrpSpPr/>
                            <wpg:grpSpPr>
                              <a:xfrm>
                                <a:off x="1633220" y="3981450"/>
                                <a:ext cx="3618230" cy="2240915"/>
                                <a:chOff x="2855" y="596392"/>
                                <a:chExt cx="6297" cy="4353"/>
                              </a:xfrm>
                              <a:effectLst/>
                            </wpg:grpSpPr>
                            <pic:pic xmlns:pic="http://schemas.openxmlformats.org/drawingml/2006/picture">
                              <pic:nvPicPr>
                                <pic:cNvPr id="14" name="图片 26" descr="1f40f3a46a79f8e3f1fea2a4139686e"/>
                                <pic:cNvPicPr>
                                  <a:picLocks noChangeAspect="1"/>
                                </pic:cNvPicPr>
                              </pic:nvPicPr>
                              <pic:blipFill>
                                <a:blip r:embed="rId21"/>
                                <a:stretch>
                                  <a:fillRect/>
                                </a:stretch>
                              </pic:blipFill>
                              <pic:spPr>
                                <a:xfrm>
                                  <a:off x="2855" y="596392"/>
                                  <a:ext cx="6297" cy="4353"/>
                                </a:xfrm>
                                <a:prstGeom prst="rect">
                                  <a:avLst/>
                                </a:prstGeom>
                                <a:noFill/>
                                <a:ln>
                                  <a:noFill/>
                                </a:ln>
                                <a:effectLst/>
                              </pic:spPr>
                            </pic:pic>
                            <wps:wsp>
                              <wps:cNvPr id="15" name="文本框 7"/>
                              <wps:cNvSpPr txBox="1"/>
                              <wps:spPr>
                                <a:xfrm>
                                  <a:off x="4173" y="596999"/>
                                  <a:ext cx="1289" cy="550"/>
                                </a:xfrm>
                                <a:prstGeom prst="rect">
                                  <a:avLst/>
                                </a:prstGeom>
                                <a:solidFill>
                                  <a:srgbClr val="FFFFFF"/>
                                </a:solidFill>
                                <a:ln w="6350">
                                  <a:solidFill>
                                    <a:prstClr val="black"/>
                                  </a:solidFill>
                                </a:ln>
                                <a:effectLst/>
                              </wps:spPr>
                              <wps:txbx>
                                <w:txbxContent>
                                  <w:p w14:paraId="19E18882">
                                    <w:pPr>
                                      <w:rPr>
                                        <w:rFonts w:ascii="宋体" w:hAnsi="宋体" w:cs="宋体"/>
                                      </w:rPr>
                                    </w:pPr>
                                    <w:r>
                                      <w:rPr>
                                        <w:rFonts w:hint="eastAsia" w:ascii="宋体" w:hAnsi="宋体" w:cs="宋体"/>
                                      </w:rPr>
                                      <w:t>雨水系统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文本框 8"/>
                              <wps:cNvSpPr txBox="1"/>
                              <wps:spPr>
                                <a:xfrm>
                                  <a:off x="5658" y="597490"/>
                                  <a:ext cx="1289" cy="575"/>
                                </a:xfrm>
                                <a:prstGeom prst="rect">
                                  <a:avLst/>
                                </a:prstGeom>
                                <a:solidFill>
                                  <a:srgbClr val="FFFFFF"/>
                                </a:solidFill>
                                <a:ln w="6350">
                                  <a:solidFill>
                                    <a:prstClr val="black"/>
                                  </a:solidFill>
                                  <a:prstDash val="dash"/>
                                </a:ln>
                                <a:effectLst/>
                              </wps:spPr>
                              <wps:txbx>
                                <w:txbxContent>
                                  <w:p w14:paraId="44E6AB63">
                                    <w:pPr>
                                      <w:rPr>
                                        <w:rFonts w:ascii="宋体" w:hAnsi="宋体" w:cs="宋体"/>
                                      </w:rPr>
                                    </w:pPr>
                                    <w:r>
                                      <w:rPr>
                                        <w:rFonts w:hint="eastAsia" w:ascii="宋体" w:hAnsi="宋体" w:cs="宋体"/>
                                      </w:rPr>
                                      <w:t>雨水排口</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63.05pt;margin-top:3.85pt;height:176.45pt;width:284.9pt;z-index:251660288;mso-width-relative:page;mso-height-relative:page;" coordorigin="2855,596392" coordsize="6297,4353" o:gfxdata="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">
                      <o:lock v:ext="edit" aspectratio="f"/>
                      <v:shape id="图片 26" o:spid="_x0000_s1026" o:spt="75" alt="1f40f3a46a79f8e3f1fea2a4139686e" type="#_x0000_t75" style="position:absolute;left:2855;top:596392;height:4353;width:6297;" filled="f" o:preferrelative="t" stroked="f" coordsize="21600,21600" o:gfxdata="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a4QV8twAAANsAAAAP&#10;AAAAAAAAAAEAIAAAACIAAABkcnMvZG93bnJldi54bWxQSwECFAAUAAAACACHTuJAMy8FnjsAAAA5&#10;AAAAEAAAAAAAAAABACAAAAAGAQAAZHJzL3NoYXBleG1sLnhtbFBLBQYAAAAABgAGAFsBAACwAwAA&#10;AAA=&#10;">
                        <v:fill on="f" focussize="0,0"/>
                        <v:stroke on="f"/>
                        <v:imagedata r:id="rId21" o:title=""/>
                        <o:lock v:ext="edit" aspectratio="t"/>
                      </v:shape>
                      <v:shape id="文本框 7" o:spid="_x0000_s1026" o:spt="202" type="#_x0000_t202" style="position:absolute;left:4173;top:596999;height:550;width:1289;" fillcolor="#FFFFFF"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14:paraId="19E18882">
                              <w:pPr>
                                <w:rPr>
                                  <w:rFonts w:ascii="宋体" w:hAnsi="宋体" w:cs="宋体"/>
                                </w:rPr>
                              </w:pPr>
                              <w:r>
                                <w:rPr>
                                  <w:rFonts w:hint="eastAsia" w:ascii="宋体" w:hAnsi="宋体" w:cs="宋体"/>
                                </w:rPr>
                                <w:t>雨水系统</w:t>
                              </w:r>
                            </w:p>
                          </w:txbxContent>
                        </v:textbox>
                      </v:shape>
                      <v:shape id="文本框 8" o:spid="_x0000_s1026" o:spt="202" type="#_x0000_t202" style="position:absolute;left:5658;top:597490;height:575;width:1289;" fillcolor="#FFFFFF" filled="t" stroked="t" coordsize="21600,21600" o:gfxdata="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YuF2LsAAADb&#10;AAAADwAAAAAAAAABACAAAAAiAAAAZHJzL2Rvd25yZXYueG1sUEsBAhQAFAAAAAgAh07iQDMvBZ47&#10;AAAAOQAAABAAAAAAAAAAAQAgAAAACgEAAGRycy9zaGFwZXhtbC54bWxQSwUGAAAAAAYABgBbAQAA&#10;tAMAAAAA&#10;">
                        <v:fill on="t" focussize="0,0"/>
                        <v:stroke weight="0.5pt" color="#000000" joinstyle="round" dashstyle="dash"/>
                        <v:imagedata o:title=""/>
                        <o:lock v:ext="edit" aspectratio="f"/>
                        <v:textbox>
                          <w:txbxContent>
                            <w:p w14:paraId="44E6AB63">
                              <w:pPr>
                                <w:rPr>
                                  <w:rFonts w:ascii="宋体" w:hAnsi="宋体" w:cs="宋体"/>
                                </w:rPr>
                              </w:pPr>
                              <w:r>
                                <w:rPr>
                                  <w:rFonts w:hint="eastAsia" w:ascii="宋体" w:hAnsi="宋体" w:cs="宋体"/>
                                </w:rPr>
                                <w:t>雨水排口</w:t>
                              </w:r>
                            </w:p>
                          </w:txbxContent>
                        </v:textbox>
                      </v:shape>
                    </v:group>
                  </w:pict>
                </mc:Fallback>
              </mc:AlternateContent>
            </w:r>
          </w:p>
          <w:p w14:paraId="38AEDD12">
            <w:pPr>
              <w:widowControl/>
              <w:spacing w:line="500" w:lineRule="exact"/>
              <w:ind w:firstLine="420" w:firstLineChars="200"/>
              <w:jc w:val="left"/>
              <w:rPr>
                <w:color w:val="000000"/>
                <w:kern w:val="0"/>
                <w:szCs w:val="21"/>
                <w:lang w:bidi="ar"/>
              </w:rPr>
            </w:pPr>
          </w:p>
          <w:p w14:paraId="3D97C524">
            <w:pPr>
              <w:widowControl/>
              <w:spacing w:line="500" w:lineRule="exact"/>
              <w:ind w:firstLine="420" w:firstLineChars="200"/>
              <w:jc w:val="left"/>
              <w:rPr>
                <w:color w:val="000000"/>
                <w:kern w:val="0"/>
                <w:szCs w:val="21"/>
                <w:lang w:bidi="ar"/>
              </w:rPr>
            </w:pPr>
          </w:p>
          <w:p w14:paraId="2D97D2E8">
            <w:pPr>
              <w:widowControl/>
              <w:spacing w:line="500" w:lineRule="exact"/>
              <w:ind w:firstLine="420" w:firstLineChars="200"/>
              <w:jc w:val="left"/>
              <w:rPr>
                <w:color w:val="000000"/>
                <w:kern w:val="0"/>
                <w:szCs w:val="21"/>
                <w:lang w:bidi="ar"/>
              </w:rPr>
            </w:pPr>
          </w:p>
          <w:p w14:paraId="2610C703">
            <w:pPr>
              <w:widowControl/>
              <w:spacing w:line="500" w:lineRule="exact"/>
              <w:jc w:val="left"/>
              <w:rPr>
                <w:rFonts w:hint="eastAsia" w:eastAsia="宋体"/>
                <w:color w:val="000000"/>
                <w:kern w:val="0"/>
                <w:szCs w:val="21"/>
                <w:lang w:eastAsia="zh-CN" w:bidi="ar"/>
              </w:rPr>
            </w:pPr>
          </w:p>
          <w:p w14:paraId="605454F5">
            <w:pPr>
              <w:widowControl/>
              <w:spacing w:line="500" w:lineRule="exact"/>
              <w:ind w:firstLine="420" w:firstLineChars="200"/>
              <w:jc w:val="left"/>
              <w:rPr>
                <w:color w:val="000000"/>
                <w:kern w:val="0"/>
                <w:szCs w:val="21"/>
                <w:lang w:bidi="ar"/>
              </w:rPr>
            </w:pPr>
          </w:p>
          <w:p w14:paraId="7B285E24">
            <w:pPr>
              <w:widowControl/>
              <w:spacing w:line="500" w:lineRule="exact"/>
              <w:jc w:val="left"/>
              <w:rPr>
                <w:color w:val="000000"/>
                <w:kern w:val="0"/>
                <w:szCs w:val="21"/>
                <w:lang w:bidi="ar"/>
              </w:rPr>
            </w:pPr>
          </w:p>
          <w:p w14:paraId="0BC49AB0">
            <w:pPr>
              <w:widowControl w:val="0"/>
              <w:adjustRightInd w:val="0"/>
              <w:snapToGrid w:val="0"/>
              <w:spacing w:line="500" w:lineRule="exact"/>
              <w:jc w:val="center"/>
              <w:rPr>
                <w:b/>
                <w:color w:val="auto"/>
                <w:szCs w:val="21"/>
                <w:highlight w:val="none"/>
              </w:rPr>
            </w:pPr>
            <w:r>
              <w:rPr>
                <w:b/>
                <w:color w:val="auto"/>
                <w:szCs w:val="21"/>
                <w:highlight w:val="none"/>
              </w:rPr>
              <w:t>图</w:t>
            </w:r>
            <w:r>
              <w:rPr>
                <w:rFonts w:hint="eastAsia"/>
                <w:b/>
                <w:color w:val="auto"/>
                <w:szCs w:val="21"/>
                <w:highlight w:val="none"/>
                <w:lang w:val="en-US" w:eastAsia="zh-CN"/>
              </w:rPr>
              <w:t>4-3</w:t>
            </w:r>
            <w:r>
              <w:rPr>
                <w:b/>
                <w:color w:val="auto"/>
                <w:szCs w:val="21"/>
                <w:highlight w:val="none"/>
              </w:rPr>
              <w:t xml:space="preserve">    事故情况各废水截流走向图</w:t>
            </w:r>
          </w:p>
          <w:p w14:paraId="39CBE187">
            <w:pPr>
              <w:widowControl/>
              <w:spacing w:line="500" w:lineRule="exact"/>
              <w:ind w:firstLine="420" w:firstLineChars="200"/>
              <w:jc w:val="left"/>
              <w:rPr>
                <w:szCs w:val="21"/>
              </w:rPr>
            </w:pPr>
            <w:r>
              <w:rPr>
                <w:color w:val="000000"/>
                <w:kern w:val="0"/>
                <w:szCs w:val="21"/>
                <w:lang w:bidi="ar"/>
              </w:rPr>
              <w:t>综上分析，在各项环境风险防范措施落实到位的情况下，可降低本项目的环境风险，最大程度减少对环境可能造成的危害，项目对环境的风险影响可接受。</w:t>
            </w:r>
          </w:p>
          <w:p w14:paraId="7D51028B">
            <w:pPr>
              <w:spacing w:line="500" w:lineRule="exact"/>
              <w:ind w:firstLine="420"/>
              <w:rPr>
                <w:rFonts w:hint="eastAsia" w:ascii="Times New Roman" w:hAnsi="Times New Roman" w:eastAsia="宋体" w:cs="Times New Roman"/>
                <w:lang w:eastAsia="zh-CN"/>
              </w:rPr>
            </w:pPr>
            <w:r>
              <w:rPr>
                <w:rFonts w:hint="default" w:ascii="Times New Roman" w:hAnsi="Times New Roman" w:eastAsia="宋体" w:cs="Times New Roman"/>
              </w:rPr>
              <w:t>（</w:t>
            </w:r>
            <w:r>
              <w:rPr>
                <w:rFonts w:hint="eastAsia" w:ascii="Times New Roman" w:hAnsi="Times New Roman" w:eastAsia="宋体" w:cs="Times New Roman"/>
                <w:lang w:val="en-US" w:eastAsia="zh-CN"/>
              </w:rPr>
              <w:t>6</w:t>
            </w:r>
            <w:r>
              <w:rPr>
                <w:rFonts w:hint="default" w:ascii="Times New Roman" w:hAnsi="Times New Roman" w:eastAsia="宋体" w:cs="Times New Roman"/>
              </w:rPr>
              <w:t>）风险处理应急</w:t>
            </w:r>
            <w:r>
              <w:rPr>
                <w:rFonts w:hint="eastAsia" w:ascii="Times New Roman" w:hAnsi="Times New Roman" w:eastAsia="宋体" w:cs="Times New Roman"/>
                <w:lang w:eastAsia="zh-CN"/>
              </w:rPr>
              <w:t>管理制度</w:t>
            </w:r>
          </w:p>
          <w:p w14:paraId="001C60A0">
            <w:pPr>
              <w:spacing w:line="500" w:lineRule="exact"/>
              <w:ind w:firstLine="420"/>
              <w:rPr>
                <w:rFonts w:hint="default" w:ascii="Times New Roman" w:hAnsi="Times New Roman" w:eastAsia="宋体" w:cs="Times New Roman"/>
              </w:rPr>
            </w:pPr>
            <w:r>
              <w:rPr>
                <w:rFonts w:hint="eastAsia"/>
                <w:lang w:val="en-US" w:eastAsia="zh-CN"/>
              </w:rPr>
              <w:t>根据江苏省突发环境事件应急预案管理办法，实施“一图两单两卡”管理，即绘制预案管理“一张图”，编制环境风险辨识、环境风险防范措施“两个清单”，实行环境安全职责承诺、应急处置措施“两张卡”。按规定对应急预案和风险评估报告进行回顾性评估和修订，开展验证演练，其中较大以上风险企业每年至少开展一次。</w:t>
            </w:r>
          </w:p>
          <w:p w14:paraId="49DFDE38">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为预防事故风险和风险应急处理后对环境造成的污染影响，必须采取积极主动的防范措施。</w:t>
            </w:r>
          </w:p>
          <w:p w14:paraId="4A018F36">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消防系统：</w:t>
            </w:r>
          </w:p>
          <w:p w14:paraId="2D23F5E9">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a、根据火灾危险性等级和防火、防爆要求，建筑物的防火等级均应采用国家现行规范要求按一、二级耐火等级设计，满足建筑防火要求。凡禁火区均设置明显标志牌。各种易燃易爆物料均储存在阴凉、通风处，远离火源，避免与强氧化剂接触。安全出口及安全疏散距离应符合《建筑设计防火规范》（GB50016-2014）的要求。</w:t>
            </w:r>
          </w:p>
          <w:p w14:paraId="2E5A68BA">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b、消防水是独立的稳高压消防水管网，消防水管道沿装置及辅助生产设施周围布置，在管道上按照规范要求配置消火栓及消防水炮。一旦发生火灾，需使用泡沫或干粉灭火器材，消防用水仅对燃烧区附近的容器作表面降温处理。车间地面为水泥地面，不易渗水，消防水经生产装置周边的地沟进入事故池而不设排放口。</w:t>
            </w:r>
          </w:p>
          <w:p w14:paraId="77E85795">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c、火灾报警系统：全厂采用电话报警，报警至消防站。消防泵房与消防站设置直通电话。根据需要设置火灾自动报警装置。</w:t>
            </w:r>
          </w:p>
          <w:p w14:paraId="7275A119">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个体防护设备：根据保障现场职工安全及卫生的需要，厂区应按照《工业企业设计卫生标准》的要求配备了相应的劳动防护用品，存放位置根据其工作活动范围合理布置。</w:t>
            </w:r>
          </w:p>
          <w:p w14:paraId="621A6735">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w:t>
            </w:r>
            <w:r>
              <w:rPr>
                <w:rFonts w:hint="eastAsia" w:ascii="Times New Roman" w:hAnsi="Times New Roman" w:eastAsia="宋体" w:cs="Times New Roman"/>
                <w:lang w:val="en-US" w:eastAsia="zh-CN"/>
              </w:rPr>
              <w:t>7</w:t>
            </w:r>
            <w:r>
              <w:rPr>
                <w:rFonts w:hint="default" w:ascii="Times New Roman" w:hAnsi="Times New Roman" w:eastAsia="宋体" w:cs="Times New Roman"/>
              </w:rPr>
              <w:t>）风险应急预案</w:t>
            </w:r>
          </w:p>
          <w:p w14:paraId="6F9622B3">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通过类比事故调查，结合该厂生产工艺、管理水平和自然灾害等因素，事故风险主要来自于物料危险性和生产装置、储存装置的危险性，危害其安全的潜在危险因素主要有违反操作规程、设备缺陷、防护装置缺陷、保险装置缺陷、自然灾害、腐蚀环境、设计及施工问题等。</w:t>
            </w:r>
          </w:p>
          <w:p w14:paraId="2A4BE696">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针对上述风险事故，本项目制定了一系列事故应急预案和响应计划，并定期演练，以减少对生命、财产、公众和环境的危害。</w:t>
            </w:r>
          </w:p>
          <w:p w14:paraId="0E9AC3BF">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①应急计划区</w:t>
            </w:r>
          </w:p>
          <w:p w14:paraId="5E6B4B41">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建设单位将根据所发生的事故类型，对应相应级别的预案，并开启同级别的相应程序，应急计划区也将随之有所变化。根据本项目的实际情况和区位特点，应急计划区由小到大依次为：事故现场区、工厂及其周边区域。</w:t>
            </w:r>
          </w:p>
          <w:p w14:paraId="08C937A1">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②应急组织机构、人员</w:t>
            </w:r>
          </w:p>
          <w:p w14:paraId="3DC72472">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厂区紧急事故的组织系统机构指由关键人员组成的采取规范化行动处理紧急事故的人员和活动系统。由于建设单位人员较少，因此由生产负责人统一组织应急小组，主要职责为负责现场抢险工作的指挥。同时兼任抢险救援、通讯联络、物资调度等工作。</w:t>
            </w:r>
          </w:p>
          <w:p w14:paraId="35F709E8">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③预案分级响应条件</w:t>
            </w:r>
          </w:p>
          <w:p w14:paraId="108B13E6">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根据项目可能发生的风险事故严重性作出分级预案：日常应急救援预案、严重事故应急预案、特大事故应急预案。对日常操作事故，现场人员应当机立断，迅速的在车间内直接处理或由日常应急救援办公室负责处理，防止事故扩大，并向总指挥部汇报；对于厂内严重事故，应向总指挥部和现场指挥部及时汇报，由总指挥部协调处理，严防事故扩大，迅速遏制泄漏源扩散、流失；在发生特大事故，应立即启动应急预案，迅速准确的报警、报告地方政府和环保机构和相关主管部门，并根据实际情况，请求应急救援，统一现场指挥。</w:t>
            </w:r>
          </w:p>
          <w:p w14:paraId="1CA9B725">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④应急状态分类及应急响应程序</w:t>
            </w:r>
          </w:p>
          <w:p w14:paraId="29FF85DC">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a、三级风险防控体系</w:t>
            </w:r>
          </w:p>
          <w:p w14:paraId="31C72A9F">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本项目根据可能发生的事故具体情形分为三级防控体系，详细分类见下表：</w:t>
            </w:r>
          </w:p>
          <w:p w14:paraId="4332F9C7">
            <w:pPr>
              <w:spacing w:line="500" w:lineRule="exact"/>
              <w:ind w:firstLine="420"/>
              <w:jc w:val="center"/>
              <w:rPr>
                <w:rFonts w:hint="default" w:ascii="Times New Roman" w:hAnsi="Times New Roman" w:eastAsia="宋体" w:cs="Times New Roman"/>
                <w:b/>
                <w:bCs/>
              </w:rPr>
            </w:pPr>
            <w:r>
              <w:rPr>
                <w:rFonts w:hint="default" w:ascii="Times New Roman" w:hAnsi="Times New Roman" w:eastAsia="宋体" w:cs="Times New Roman"/>
                <w:b/>
                <w:bCs/>
              </w:rPr>
              <w:t>表4-</w:t>
            </w:r>
            <w:r>
              <w:rPr>
                <w:rFonts w:hint="eastAsia" w:cs="Times New Roman"/>
                <w:b/>
                <w:bCs/>
                <w:lang w:val="en-US" w:eastAsia="zh-CN"/>
              </w:rPr>
              <w:t>36</w:t>
            </w:r>
            <w:r>
              <w:rPr>
                <w:rFonts w:hint="default" w:ascii="Times New Roman" w:hAnsi="Times New Roman" w:eastAsia="宋体" w:cs="Times New Roman"/>
                <w:b/>
                <w:bCs/>
              </w:rPr>
              <w:t xml:space="preserve"> 事故风险应急三级防控体系一览表</w:t>
            </w:r>
          </w:p>
          <w:tbl>
            <w:tblPr>
              <w:tblStyle w:val="19"/>
              <w:tblW w:w="785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87"/>
              <w:gridCol w:w="2218"/>
              <w:gridCol w:w="1484"/>
              <w:gridCol w:w="769"/>
            </w:tblGrid>
            <w:tr w14:paraId="5A52AA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00" w:type="dxa"/>
                  <w:noWrap w:val="0"/>
                  <w:vAlign w:val="center"/>
                </w:tcPr>
                <w:p w14:paraId="233CA455">
                  <w:pPr>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等级</w:t>
                  </w:r>
                </w:p>
              </w:tc>
              <w:tc>
                <w:tcPr>
                  <w:tcW w:w="2187" w:type="dxa"/>
                  <w:noWrap w:val="0"/>
                  <w:vAlign w:val="center"/>
                </w:tcPr>
                <w:p w14:paraId="5B70AC3E">
                  <w:pPr>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一级防控体系</w:t>
                  </w:r>
                </w:p>
              </w:tc>
              <w:tc>
                <w:tcPr>
                  <w:tcW w:w="2218" w:type="dxa"/>
                  <w:noWrap w:val="0"/>
                  <w:vAlign w:val="center"/>
                </w:tcPr>
                <w:p w14:paraId="56AF4EE5">
                  <w:pPr>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一级防控体系</w:t>
                  </w:r>
                </w:p>
              </w:tc>
              <w:tc>
                <w:tcPr>
                  <w:tcW w:w="1484" w:type="dxa"/>
                  <w:noWrap w:val="0"/>
                  <w:vAlign w:val="center"/>
                </w:tcPr>
                <w:p w14:paraId="18E03DB6">
                  <w:pPr>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一级防控体系</w:t>
                  </w:r>
                </w:p>
              </w:tc>
              <w:tc>
                <w:tcPr>
                  <w:tcW w:w="769" w:type="dxa"/>
                  <w:noWrap w:val="0"/>
                  <w:vAlign w:val="center"/>
                </w:tcPr>
                <w:p w14:paraId="750A85C2">
                  <w:pPr>
                    <w:jc w:val="center"/>
                    <w:rPr>
                      <w:rFonts w:hint="default" w:ascii="Times New Roman" w:hAnsi="Times New Roman" w:eastAsia="宋体" w:cs="Times New Roman"/>
                      <w:b/>
                      <w:bCs/>
                      <w:sz w:val="18"/>
                      <w:szCs w:val="18"/>
                    </w:rPr>
                  </w:pPr>
                  <w:r>
                    <w:rPr>
                      <w:rFonts w:hint="default" w:ascii="Times New Roman" w:hAnsi="Times New Roman" w:eastAsia="宋体" w:cs="Times New Roman"/>
                      <w:b/>
                      <w:bCs/>
                      <w:sz w:val="18"/>
                      <w:szCs w:val="18"/>
                    </w:rPr>
                    <w:t>其他</w:t>
                  </w:r>
                </w:p>
              </w:tc>
            </w:tr>
            <w:tr w14:paraId="57F779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200" w:type="dxa"/>
                  <w:noWrap w:val="0"/>
                  <w:vAlign w:val="center"/>
                </w:tcPr>
                <w:p w14:paraId="350D54D7">
                  <w:pPr>
                    <w:pStyle w:val="27"/>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负责人</w:t>
                  </w:r>
                </w:p>
              </w:tc>
              <w:tc>
                <w:tcPr>
                  <w:tcW w:w="2187" w:type="dxa"/>
                  <w:noWrap w:val="0"/>
                  <w:vAlign w:val="center"/>
                </w:tcPr>
                <w:p w14:paraId="24C02CA4">
                  <w:pPr>
                    <w:pStyle w:val="27"/>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总经理 </w:t>
                  </w:r>
                </w:p>
              </w:tc>
              <w:tc>
                <w:tcPr>
                  <w:tcW w:w="2218" w:type="dxa"/>
                  <w:noWrap w:val="0"/>
                  <w:vAlign w:val="center"/>
                </w:tcPr>
                <w:p w14:paraId="226F9894">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车间主任</w:t>
                  </w:r>
                </w:p>
              </w:tc>
              <w:tc>
                <w:tcPr>
                  <w:tcW w:w="1484" w:type="dxa"/>
                  <w:noWrap w:val="0"/>
                  <w:vAlign w:val="center"/>
                </w:tcPr>
                <w:p w14:paraId="59031491">
                  <w:pPr>
                    <w:pStyle w:val="27"/>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担当人</w:t>
                  </w:r>
                </w:p>
              </w:tc>
              <w:tc>
                <w:tcPr>
                  <w:tcW w:w="769" w:type="dxa"/>
                  <w:vMerge w:val="restart"/>
                  <w:noWrap w:val="0"/>
                  <w:vAlign w:val="center"/>
                </w:tcPr>
                <w:p w14:paraId="04FF030B">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其他细分/由现场管理者</w:t>
                  </w:r>
                  <w:r>
                    <w:rPr>
                      <w:rFonts w:hint="eastAsia" w:cs="Times New Roman"/>
                      <w:sz w:val="18"/>
                      <w:szCs w:val="18"/>
                      <w:lang w:eastAsia="zh-CN"/>
                    </w:rPr>
                    <w:t>自</w:t>
                  </w:r>
                  <w:r>
                    <w:rPr>
                      <w:rFonts w:hint="default" w:ascii="Times New Roman" w:hAnsi="Times New Roman" w:eastAsia="宋体" w:cs="Times New Roman"/>
                      <w:sz w:val="18"/>
                      <w:szCs w:val="18"/>
                    </w:rPr>
                    <w:t>行判断解决</w:t>
                  </w:r>
                </w:p>
              </w:tc>
            </w:tr>
            <w:tr w14:paraId="760940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200" w:type="dxa"/>
                  <w:noWrap w:val="0"/>
                  <w:vAlign w:val="center"/>
                </w:tcPr>
                <w:p w14:paraId="66A58BBE">
                  <w:pPr>
                    <w:pStyle w:val="27"/>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应急范围</w:t>
                  </w:r>
                </w:p>
              </w:tc>
              <w:tc>
                <w:tcPr>
                  <w:tcW w:w="2187" w:type="dxa"/>
                  <w:noWrap w:val="0"/>
                  <w:vAlign w:val="center"/>
                </w:tcPr>
                <w:p w14:paraId="04213ABB">
                  <w:pPr>
                    <w:pStyle w:val="27"/>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全公司</w:t>
                  </w:r>
                </w:p>
              </w:tc>
              <w:tc>
                <w:tcPr>
                  <w:tcW w:w="2218" w:type="dxa"/>
                  <w:noWrap w:val="0"/>
                  <w:vAlign w:val="center"/>
                </w:tcPr>
                <w:p w14:paraId="1F3DE5C0">
                  <w:pPr>
                    <w:jc w:val="center"/>
                    <w:rPr>
                      <w:rFonts w:hint="default" w:ascii="Times New Roman" w:hAnsi="Times New Roman" w:eastAsia="宋体" w:cs="Times New Roman"/>
                      <w:kern w:val="0"/>
                      <w:sz w:val="18"/>
                      <w:szCs w:val="18"/>
                    </w:rPr>
                  </w:pPr>
                  <w:r>
                    <w:rPr>
                      <w:rFonts w:hint="default" w:ascii="Times New Roman" w:hAnsi="Times New Roman" w:eastAsia="宋体" w:cs="Times New Roman"/>
                      <w:sz w:val="18"/>
                      <w:szCs w:val="18"/>
                    </w:rPr>
                    <w:t>车间</w:t>
                  </w:r>
                </w:p>
              </w:tc>
              <w:tc>
                <w:tcPr>
                  <w:tcW w:w="1484" w:type="dxa"/>
                  <w:noWrap w:val="0"/>
                  <w:vAlign w:val="center"/>
                </w:tcPr>
                <w:p w14:paraId="2D19EB0D">
                  <w:pPr>
                    <w:pStyle w:val="27"/>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相关部门</w:t>
                  </w:r>
                </w:p>
              </w:tc>
              <w:tc>
                <w:tcPr>
                  <w:tcW w:w="769" w:type="dxa"/>
                  <w:vMerge w:val="continue"/>
                  <w:noWrap w:val="0"/>
                  <w:vAlign w:val="center"/>
                </w:tcPr>
                <w:p w14:paraId="4CDD5AE2">
                  <w:pPr>
                    <w:jc w:val="center"/>
                    <w:rPr>
                      <w:rFonts w:hint="default" w:ascii="Times New Roman" w:hAnsi="Times New Roman" w:eastAsia="宋体" w:cs="Times New Roman"/>
                      <w:sz w:val="18"/>
                      <w:szCs w:val="18"/>
                    </w:rPr>
                  </w:pPr>
                </w:p>
              </w:tc>
            </w:tr>
            <w:tr w14:paraId="0B8E7C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200" w:type="dxa"/>
                  <w:noWrap w:val="0"/>
                  <w:vAlign w:val="center"/>
                </w:tcPr>
                <w:p w14:paraId="5610A143">
                  <w:pPr>
                    <w:pStyle w:val="27"/>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火灾、爆炸</w:t>
                  </w:r>
                </w:p>
                <w:p w14:paraId="139E0BEB">
                  <w:pPr>
                    <w:pStyle w:val="27"/>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情形</w:t>
                  </w:r>
                </w:p>
              </w:tc>
              <w:tc>
                <w:tcPr>
                  <w:tcW w:w="2187" w:type="dxa"/>
                  <w:noWrap w:val="0"/>
                  <w:vAlign w:val="center"/>
                </w:tcPr>
                <w:p w14:paraId="3CA305A5">
                  <w:pPr>
                    <w:pStyle w:val="27"/>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需要消防队支援，有向厂外扩散可能，火灾发生后5分钟灾情继续扩大</w:t>
                  </w:r>
                </w:p>
              </w:tc>
              <w:tc>
                <w:tcPr>
                  <w:tcW w:w="2218" w:type="dxa"/>
                  <w:noWrap w:val="0"/>
                  <w:vAlign w:val="center"/>
                </w:tcPr>
                <w:p w14:paraId="4C6EF15F">
                  <w:pPr>
                    <w:jc w:val="center"/>
                    <w:rPr>
                      <w:rFonts w:hint="default" w:ascii="Times New Roman" w:hAnsi="Times New Roman" w:eastAsia="宋体" w:cs="Times New Roman"/>
                      <w:kern w:val="0"/>
                      <w:sz w:val="18"/>
                      <w:szCs w:val="18"/>
                    </w:rPr>
                  </w:pPr>
                  <w:r>
                    <w:rPr>
                      <w:rFonts w:hint="default" w:ascii="Times New Roman" w:hAnsi="Times New Roman" w:eastAsia="宋体" w:cs="Times New Roman"/>
                      <w:sz w:val="18"/>
                      <w:szCs w:val="18"/>
                    </w:rPr>
                    <w:t>车间救援组启动，可在5分钟内灭火，无车间污染及扩散的可能</w:t>
                  </w:r>
                </w:p>
              </w:tc>
              <w:tc>
                <w:tcPr>
                  <w:tcW w:w="1484" w:type="dxa"/>
                  <w:noWrap w:val="0"/>
                  <w:vAlign w:val="center"/>
                </w:tcPr>
                <w:p w14:paraId="4ECBCE3B">
                  <w:pPr>
                    <w:pStyle w:val="27"/>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可用灭火器灭火</w:t>
                  </w:r>
                </w:p>
              </w:tc>
              <w:tc>
                <w:tcPr>
                  <w:tcW w:w="769" w:type="dxa"/>
                  <w:vMerge w:val="continue"/>
                  <w:noWrap w:val="0"/>
                  <w:vAlign w:val="center"/>
                </w:tcPr>
                <w:p w14:paraId="74AEA63B">
                  <w:pPr>
                    <w:jc w:val="center"/>
                    <w:rPr>
                      <w:rFonts w:hint="default" w:ascii="Times New Roman" w:hAnsi="Times New Roman" w:eastAsia="宋体" w:cs="Times New Roman"/>
                      <w:sz w:val="18"/>
                      <w:szCs w:val="18"/>
                    </w:rPr>
                  </w:pPr>
                </w:p>
              </w:tc>
            </w:tr>
            <w:tr w14:paraId="336646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200" w:type="dxa"/>
                  <w:noWrap w:val="0"/>
                  <w:vAlign w:val="center"/>
                </w:tcPr>
                <w:p w14:paraId="7354DD4F">
                  <w:pPr>
                    <w:pStyle w:val="27"/>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伤亡</w:t>
                  </w:r>
                </w:p>
              </w:tc>
              <w:tc>
                <w:tcPr>
                  <w:tcW w:w="2187" w:type="dxa"/>
                  <w:noWrap w:val="0"/>
                  <w:vAlign w:val="center"/>
                </w:tcPr>
                <w:p w14:paraId="185FEBED">
                  <w:pPr>
                    <w:pStyle w:val="27"/>
                    <w:rPr>
                      <w:rFonts w:hint="default" w:ascii="Times New Roman" w:hAnsi="Times New Roman" w:eastAsia="宋体" w:cs="Times New Roman"/>
                      <w:sz w:val="18"/>
                      <w:szCs w:val="18"/>
                    </w:rPr>
                  </w:pPr>
                  <w:r>
                    <w:rPr>
                      <w:rFonts w:hint="default" w:ascii="Times New Roman" w:hAnsi="Times New Roman" w:eastAsia="宋体" w:cs="Times New Roman"/>
                      <w:snapToGrid w:val="0"/>
                      <w:sz w:val="18"/>
                      <w:szCs w:val="18"/>
                    </w:rPr>
                    <w:t>死亡事故/重大伤亡人</w:t>
                  </w:r>
                </w:p>
              </w:tc>
              <w:tc>
                <w:tcPr>
                  <w:tcW w:w="2218" w:type="dxa"/>
                  <w:noWrap w:val="0"/>
                  <w:vAlign w:val="center"/>
                </w:tcPr>
                <w:p w14:paraId="46088651">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工伤</w:t>
                  </w:r>
                </w:p>
              </w:tc>
              <w:tc>
                <w:tcPr>
                  <w:tcW w:w="1484" w:type="dxa"/>
                  <w:noWrap w:val="0"/>
                  <w:vAlign w:val="center"/>
                </w:tcPr>
                <w:p w14:paraId="4B8AF95E">
                  <w:pPr>
                    <w:pStyle w:val="27"/>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轻伤</w:t>
                  </w:r>
                </w:p>
              </w:tc>
              <w:tc>
                <w:tcPr>
                  <w:tcW w:w="769" w:type="dxa"/>
                  <w:vMerge w:val="continue"/>
                  <w:noWrap w:val="0"/>
                  <w:vAlign w:val="center"/>
                </w:tcPr>
                <w:p w14:paraId="7BACDF98">
                  <w:pPr>
                    <w:jc w:val="center"/>
                    <w:rPr>
                      <w:rFonts w:hint="default" w:ascii="Times New Roman" w:hAnsi="Times New Roman" w:eastAsia="宋体" w:cs="Times New Roman"/>
                      <w:sz w:val="18"/>
                      <w:szCs w:val="18"/>
                    </w:rPr>
                  </w:pPr>
                </w:p>
              </w:tc>
            </w:tr>
            <w:tr w14:paraId="628A58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00" w:type="dxa"/>
                  <w:noWrap w:val="0"/>
                  <w:vAlign w:val="center"/>
                </w:tcPr>
                <w:p w14:paraId="1E0D8017">
                  <w:pPr>
                    <w:pStyle w:val="27"/>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环境事故</w:t>
                  </w:r>
                </w:p>
              </w:tc>
              <w:tc>
                <w:tcPr>
                  <w:tcW w:w="2187" w:type="dxa"/>
                  <w:noWrap w:val="0"/>
                  <w:vAlign w:val="center"/>
                </w:tcPr>
                <w:p w14:paraId="3A642BE2">
                  <w:pPr>
                    <w:pStyle w:val="27"/>
                    <w:rPr>
                      <w:rFonts w:hint="default" w:ascii="Times New Roman" w:hAnsi="Times New Roman" w:eastAsia="宋体" w:cs="Times New Roman"/>
                      <w:snapToGrid w:val="0"/>
                      <w:sz w:val="18"/>
                      <w:szCs w:val="18"/>
                    </w:rPr>
                  </w:pPr>
                  <w:r>
                    <w:rPr>
                      <w:rFonts w:hint="default" w:ascii="Times New Roman" w:hAnsi="Times New Roman" w:eastAsia="宋体" w:cs="Times New Roman"/>
                      <w:snapToGrid w:val="0"/>
                      <w:sz w:val="18"/>
                      <w:szCs w:val="18"/>
                    </w:rPr>
                    <w:t>环保设备运行中断涉及厂区以外舆论</w:t>
                  </w:r>
                </w:p>
              </w:tc>
              <w:tc>
                <w:tcPr>
                  <w:tcW w:w="2218" w:type="dxa"/>
                  <w:noWrap w:val="0"/>
                  <w:vAlign w:val="center"/>
                </w:tcPr>
                <w:p w14:paraId="16FB9329">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环境设备受损/部分中断，系统运行中断</w:t>
                  </w:r>
                </w:p>
              </w:tc>
              <w:tc>
                <w:tcPr>
                  <w:tcW w:w="1484" w:type="dxa"/>
                  <w:noWrap w:val="0"/>
                  <w:vAlign w:val="center"/>
                </w:tcPr>
                <w:p w14:paraId="46D54012">
                  <w:pPr>
                    <w:pStyle w:val="27"/>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局部污染物外泄</w:t>
                  </w:r>
                </w:p>
              </w:tc>
              <w:tc>
                <w:tcPr>
                  <w:tcW w:w="769" w:type="dxa"/>
                  <w:vMerge w:val="continue"/>
                  <w:noWrap w:val="0"/>
                  <w:vAlign w:val="center"/>
                </w:tcPr>
                <w:p w14:paraId="527763F0">
                  <w:pPr>
                    <w:jc w:val="center"/>
                    <w:rPr>
                      <w:rFonts w:hint="default" w:ascii="Times New Roman" w:hAnsi="Times New Roman" w:eastAsia="宋体" w:cs="Times New Roman"/>
                      <w:sz w:val="18"/>
                      <w:szCs w:val="18"/>
                    </w:rPr>
                  </w:pPr>
                </w:p>
              </w:tc>
            </w:tr>
            <w:tr w14:paraId="4C2761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noWrap w:val="0"/>
                  <w:vAlign w:val="center"/>
                </w:tcPr>
                <w:p w14:paraId="61A90817">
                  <w:pPr>
                    <w:pStyle w:val="27"/>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停电事故</w:t>
                  </w:r>
                </w:p>
              </w:tc>
              <w:tc>
                <w:tcPr>
                  <w:tcW w:w="2187" w:type="dxa"/>
                  <w:noWrap w:val="0"/>
                  <w:vAlign w:val="center"/>
                </w:tcPr>
                <w:p w14:paraId="21741645">
                  <w:pPr>
                    <w:pStyle w:val="27"/>
                    <w:rPr>
                      <w:rFonts w:hint="default" w:ascii="Times New Roman" w:hAnsi="Times New Roman" w:eastAsia="宋体" w:cs="Times New Roman"/>
                      <w:snapToGrid w:val="0"/>
                      <w:sz w:val="18"/>
                      <w:szCs w:val="18"/>
                    </w:rPr>
                  </w:pPr>
                  <w:r>
                    <w:rPr>
                      <w:rFonts w:hint="default" w:ascii="Times New Roman" w:hAnsi="Times New Roman" w:eastAsia="宋体" w:cs="Times New Roman"/>
                      <w:snapToGrid w:val="0"/>
                      <w:sz w:val="18"/>
                      <w:szCs w:val="18"/>
                    </w:rPr>
                    <w:t>全厂停电</w:t>
                  </w:r>
                </w:p>
              </w:tc>
              <w:tc>
                <w:tcPr>
                  <w:tcW w:w="2218" w:type="dxa"/>
                  <w:noWrap w:val="0"/>
                  <w:vAlign w:val="center"/>
                </w:tcPr>
                <w:p w14:paraId="2ADCD457">
                  <w:pPr>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局部停电</w:t>
                  </w:r>
                </w:p>
              </w:tc>
              <w:tc>
                <w:tcPr>
                  <w:tcW w:w="1484" w:type="dxa"/>
                  <w:noWrap w:val="0"/>
                  <w:vAlign w:val="center"/>
                </w:tcPr>
                <w:p w14:paraId="39536959">
                  <w:pPr>
                    <w:pStyle w:val="27"/>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瞬间停电</w:t>
                  </w:r>
                </w:p>
              </w:tc>
              <w:tc>
                <w:tcPr>
                  <w:tcW w:w="769" w:type="dxa"/>
                  <w:vMerge w:val="continue"/>
                  <w:noWrap w:val="0"/>
                  <w:vAlign w:val="center"/>
                </w:tcPr>
                <w:p w14:paraId="34D3D3A2">
                  <w:pPr>
                    <w:jc w:val="center"/>
                    <w:rPr>
                      <w:rFonts w:hint="default" w:ascii="Times New Roman" w:hAnsi="Times New Roman" w:eastAsia="宋体" w:cs="Times New Roman"/>
                      <w:sz w:val="18"/>
                      <w:szCs w:val="18"/>
                    </w:rPr>
                  </w:pPr>
                </w:p>
              </w:tc>
            </w:tr>
          </w:tbl>
          <w:p w14:paraId="6256D5C0">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b、应急响应程序</w:t>
            </w:r>
          </w:p>
          <w:p w14:paraId="67F63306">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在生产过程中，生产车间和储存区发生小规模火灾事故后，岗位操作人员应立即向生产主管、值班长、厂部值班人员汇报并采取相应措施，予以处理。</w:t>
            </w:r>
          </w:p>
          <w:p w14:paraId="59BD2C5D">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当处理无效，火势扩大趋势时，应及时向公司主管报告；公司主管在接到报告后，下达按应急救援预案处置的指令，立即通知公司应急救援领导小组成员到达现场，并迅速成立应急指挥部，各专业组按各自职责开展应急救援工作。</w:t>
            </w:r>
          </w:p>
          <w:p w14:paraId="0F7D74F8">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当发生重大事故，难以控制时，指挥部成员通知各自所在部门，按专业对口迅速向工业集中区安全部门以及当地安监局、公安局、环保局、卫生局等上级领导机关报告事故情况。</w:t>
            </w:r>
          </w:p>
          <w:p w14:paraId="71CC7B2B">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⑤应急设施、设备、材料</w:t>
            </w:r>
          </w:p>
          <w:p w14:paraId="345A7140">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根据项目可能发生的风险事故，在厂内配备各种生产性卫生设施、个人防护用品，如：灭火器、劳保用品，保证应急预案实施的物质条件。</w:t>
            </w:r>
          </w:p>
          <w:p w14:paraId="67C795B4">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⑥应急通讯、通知和交通</w:t>
            </w:r>
          </w:p>
          <w:p w14:paraId="37EF72BE">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厂内公布负责人的紧急通讯号码，确保事故讯息的快速上报。调度或总机在接到报警后按照预案通知应急救援指挥部，并通知各专业队各司其责，火速赶赴现场。指挥部成员根据事故类别迅速向总公司主管部门、公安、劳动等上级领导机关报告。</w:t>
            </w:r>
          </w:p>
          <w:p w14:paraId="4F49428F">
            <w:pPr>
              <w:spacing w:line="500" w:lineRule="exact"/>
              <w:ind w:firstLine="420"/>
              <w:rPr>
                <w:rFonts w:hint="default" w:ascii="Times New Roman" w:hAnsi="Times New Roman" w:eastAsia="宋体" w:cs="Times New Roman"/>
              </w:rPr>
            </w:pPr>
            <w:r>
              <w:rPr>
                <w:rFonts w:hint="default" w:ascii="Times New Roman" w:hAnsi="Times New Roman" w:eastAsia="宋体" w:cs="Times New Roman"/>
              </w:rPr>
              <w:t>成立交通警戒组，负责布置安全警戒，配备传呼系统，在事故发生时，及时通知警戒组负责部门。禁止无关人员和车辆进入危险区域。负责厂区内交通管制；负责对现场及周围人员进行防护指挥；负责指引社会援助消防车辆。</w:t>
            </w:r>
          </w:p>
          <w:p w14:paraId="72C136BC">
            <w:pPr>
              <w:spacing w:line="500" w:lineRule="exact"/>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8</w:t>
            </w:r>
            <w:r>
              <w:rPr>
                <w:rFonts w:hint="eastAsia" w:ascii="Times New Roman" w:hAnsi="Times New Roman" w:eastAsia="宋体" w:cs="Times New Roman"/>
                <w:lang w:eastAsia="zh-CN"/>
              </w:rPr>
              <w:t>）建立与</w:t>
            </w:r>
            <w:r>
              <w:rPr>
                <w:rFonts w:hint="eastAsia" w:cs="Times New Roman"/>
                <w:color w:val="000000"/>
                <w:kern w:val="0"/>
                <w:szCs w:val="21"/>
                <w:lang w:val="en-US" w:eastAsia="zh-CN" w:bidi="ar"/>
              </w:rPr>
              <w:t>启东市</w:t>
            </w:r>
            <w:r>
              <w:rPr>
                <w:rFonts w:hint="eastAsia" w:ascii="Times New Roman" w:hAnsi="Times New Roman" w:eastAsia="宋体" w:cs="Times New Roman"/>
                <w:lang w:eastAsia="zh-CN"/>
              </w:rPr>
              <w:t>对接、联动的环境风险防范体系</w:t>
            </w:r>
          </w:p>
          <w:p w14:paraId="7549C9AC">
            <w:pPr>
              <w:spacing w:line="500" w:lineRule="exact"/>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企业环境风险防范应建立与</w:t>
            </w:r>
            <w:r>
              <w:rPr>
                <w:rFonts w:hint="eastAsia" w:cs="Times New Roman"/>
                <w:lang w:eastAsia="zh-CN"/>
              </w:rPr>
              <w:t>启东市</w:t>
            </w:r>
            <w:r>
              <w:rPr>
                <w:rFonts w:hint="eastAsia" w:ascii="Times New Roman" w:hAnsi="Times New Roman" w:eastAsia="宋体" w:cs="Times New Roman"/>
                <w:lang w:eastAsia="zh-CN"/>
              </w:rPr>
              <w:t>对接、联动的风险防范体系，可以从以下几个方面进行：</w:t>
            </w:r>
          </w:p>
          <w:p w14:paraId="5AC9E32C">
            <w:pPr>
              <w:spacing w:line="500" w:lineRule="exact"/>
              <w:ind w:firstLine="420" w:firstLineChars="200"/>
              <w:rPr>
                <w:rFonts w:ascii="Times New Roman" w:hAnsi="Times New Roman" w:eastAsia="宋体" w:cs="Times New Roman"/>
              </w:rPr>
            </w:pPr>
            <w:r>
              <w:rPr>
                <w:rFonts w:hint="default" w:ascii="Times New Roman" w:hAnsi="Times New Roman" w:eastAsia="宋体" w:cs="Times New Roman"/>
                <w:lang w:val="en-US" w:eastAsia="zh-CN"/>
              </w:rPr>
              <w:t>1</w:t>
            </w:r>
            <w:r>
              <w:rPr>
                <w:rFonts w:hint="eastAsia" w:ascii="Times New Roman" w:hAnsi="Times New Roman" w:eastAsia="宋体" w:cs="Times New Roman"/>
                <w:lang w:val="en-US" w:eastAsia="zh-CN"/>
              </w:rPr>
              <w:t xml:space="preserve">）应急组织机构、人员的衔接 </w:t>
            </w:r>
          </w:p>
          <w:p w14:paraId="7D93FCDC">
            <w:pPr>
              <w:spacing w:line="500" w:lineRule="exact"/>
              <w:ind w:firstLine="420" w:firstLineChars="200"/>
              <w:rPr>
                <w:rFonts w:ascii="Times New Roman" w:hAnsi="Times New Roman" w:eastAsia="宋体" w:cs="Times New Roman"/>
                <w:color w:val="000000"/>
                <w:kern w:val="0"/>
                <w:szCs w:val="21"/>
                <w:lang w:bidi="ar"/>
              </w:rPr>
            </w:pPr>
            <w:r>
              <w:rPr>
                <w:rFonts w:hint="eastAsia" w:ascii="Times New Roman" w:hAnsi="Times New Roman" w:eastAsia="宋体" w:cs="Times New Roman"/>
                <w:lang w:val="en-US" w:eastAsia="zh-CN"/>
              </w:rPr>
              <w:t>当发生风险事故时，项目对外联络组应及时承担</w:t>
            </w:r>
            <w:r>
              <w:rPr>
                <w:rFonts w:hint="eastAsia" w:ascii="Times New Roman" w:hAnsi="Times New Roman" w:eastAsia="宋体" w:cs="Times New Roman"/>
                <w:color w:val="000000"/>
                <w:kern w:val="0"/>
                <w:szCs w:val="21"/>
                <w:lang w:val="en-US" w:eastAsia="zh-CN" w:bidi="ar"/>
              </w:rPr>
              <w:t>起与当地区域或各职能管理部门应急指挥机构的联系工作，及时将事故发生情况及最新进展向有关部门汇报，并将上级指挥机构的命令及时向项目应急指挥小组汇报，编制环境污染事故报告，并将报告向上级部门汇报。</w:t>
            </w:r>
          </w:p>
          <w:p w14:paraId="4E2D6B2B">
            <w:pPr>
              <w:widowControl/>
              <w:spacing w:line="500" w:lineRule="exact"/>
              <w:ind w:firstLine="420" w:firstLineChars="200"/>
              <w:jc w:val="left"/>
              <w:rPr>
                <w:rFonts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w:t>
            </w:r>
            <w:r>
              <w:rPr>
                <w:rFonts w:hint="eastAsia" w:ascii="Times New Roman" w:hAnsi="Times New Roman" w:eastAsia="宋体" w:cs="Times New Roman"/>
                <w:color w:val="000000"/>
                <w:kern w:val="0"/>
                <w:szCs w:val="21"/>
                <w:lang w:val="en-US" w:eastAsia="zh-CN" w:bidi="ar"/>
              </w:rPr>
              <w:t xml:space="preserve">）预案分级响应的衔接 </w:t>
            </w:r>
          </w:p>
          <w:p w14:paraId="5709488B">
            <w:pPr>
              <w:widowControl/>
              <w:spacing w:line="500" w:lineRule="exact"/>
              <w:ind w:firstLine="420" w:firstLineChars="200"/>
              <w:jc w:val="left"/>
              <w:rPr>
                <w:rFonts w:hint="eastAsia" w:ascii="Times New Roman" w:hAnsi="Times New Roman" w:eastAsia="宋体" w:cs="Times New Roman"/>
                <w:color w:val="000000"/>
                <w:kern w:val="0"/>
                <w:szCs w:val="21"/>
                <w:lang w:val="en-US" w:eastAsia="zh-CN" w:bidi="ar"/>
              </w:rPr>
            </w:pPr>
            <w:r>
              <w:rPr>
                <w:rFonts w:hint="eastAsia" w:ascii="Times New Roman" w:hAnsi="Times New Roman" w:eastAsia="宋体" w:cs="Times New Roman"/>
                <w:color w:val="000000"/>
                <w:kern w:val="0"/>
                <w:szCs w:val="21"/>
                <w:lang w:val="en-US" w:eastAsia="zh-CN" w:bidi="ar"/>
              </w:rPr>
              <w:t>①一般污染事故：在污染事故现场处置妥当后，经应急指挥小组研究确定后，向当地环保部门和</w:t>
            </w:r>
            <w:r>
              <w:rPr>
                <w:rFonts w:hint="eastAsia" w:cs="Times New Roman"/>
                <w:color w:val="000000"/>
                <w:kern w:val="0"/>
                <w:szCs w:val="21"/>
                <w:lang w:val="en-US" w:eastAsia="zh-CN" w:bidi="ar"/>
              </w:rPr>
              <w:t>启东市</w:t>
            </w:r>
            <w:r>
              <w:rPr>
                <w:rFonts w:hint="eastAsia" w:ascii="Times New Roman" w:hAnsi="Times New Roman" w:eastAsia="宋体" w:cs="Times New Roman"/>
                <w:color w:val="000000"/>
                <w:kern w:val="0"/>
                <w:szCs w:val="21"/>
                <w:lang w:val="en-US" w:eastAsia="zh-CN" w:bidi="ar"/>
              </w:rPr>
              <w:t>事故应急指挥中心报告处理结果。</w:t>
            </w:r>
          </w:p>
          <w:p w14:paraId="7042B365">
            <w:pPr>
              <w:widowControl/>
              <w:spacing w:line="500" w:lineRule="exact"/>
              <w:ind w:firstLine="420" w:firstLineChars="200"/>
              <w:jc w:val="left"/>
              <w:rPr>
                <w:rFonts w:hint="eastAsia" w:ascii="Times New Roman" w:hAnsi="Times New Roman" w:eastAsia="宋体" w:cs="Times New Roman"/>
                <w:color w:val="000000"/>
                <w:kern w:val="0"/>
                <w:szCs w:val="21"/>
                <w:lang w:val="en-US" w:eastAsia="zh-CN" w:bidi="ar"/>
              </w:rPr>
            </w:pPr>
            <w:r>
              <w:rPr>
                <w:rFonts w:hint="eastAsia" w:ascii="Times New Roman" w:hAnsi="Times New Roman" w:eastAsia="宋体" w:cs="Times New Roman"/>
                <w:color w:val="000000"/>
                <w:kern w:val="0"/>
                <w:szCs w:val="21"/>
                <w:lang w:val="en-US" w:eastAsia="zh-CN" w:bidi="ar"/>
              </w:rPr>
              <w:t>②较大或重大污染事故：应急指挥小组在接到事故报警后，及时向</w:t>
            </w:r>
            <w:r>
              <w:rPr>
                <w:rFonts w:hint="eastAsia" w:cs="Times New Roman"/>
                <w:color w:val="000000"/>
                <w:kern w:val="0"/>
                <w:szCs w:val="21"/>
                <w:lang w:val="en-US" w:eastAsia="zh-CN" w:bidi="ar"/>
              </w:rPr>
              <w:t>启东市</w:t>
            </w:r>
            <w:r>
              <w:rPr>
                <w:rFonts w:hint="eastAsia" w:ascii="Times New Roman" w:hAnsi="Times New Roman" w:eastAsia="宋体" w:cs="Times New Roman"/>
                <w:color w:val="000000"/>
                <w:kern w:val="0"/>
                <w:szCs w:val="21"/>
                <w:lang w:val="en-US" w:eastAsia="zh-CN" w:bidi="ar"/>
              </w:rPr>
              <w:t>事故应急指挥部、</w:t>
            </w:r>
            <w:r>
              <w:rPr>
                <w:rFonts w:hint="eastAsia" w:cs="Times New Roman"/>
                <w:color w:val="000000"/>
                <w:kern w:val="0"/>
                <w:szCs w:val="21"/>
                <w:lang w:val="en-US" w:eastAsia="zh-CN" w:bidi="ar"/>
              </w:rPr>
              <w:t>启东市</w:t>
            </w:r>
            <w:r>
              <w:rPr>
                <w:rFonts w:hint="eastAsia" w:ascii="Times New Roman" w:hAnsi="Times New Roman" w:eastAsia="宋体" w:cs="Times New Roman"/>
                <w:color w:val="000000"/>
                <w:kern w:val="0"/>
                <w:szCs w:val="21"/>
                <w:lang w:val="en-US" w:eastAsia="zh-CN" w:bidi="ar"/>
              </w:rPr>
              <w:t>应急指挥中心报告，并请求支援；</w:t>
            </w:r>
            <w:r>
              <w:rPr>
                <w:rFonts w:hint="eastAsia" w:cs="Times New Roman"/>
                <w:color w:val="000000"/>
                <w:kern w:val="0"/>
                <w:szCs w:val="21"/>
                <w:lang w:val="en-US" w:eastAsia="zh-CN" w:bidi="ar"/>
              </w:rPr>
              <w:t>启东市</w:t>
            </w:r>
            <w:r>
              <w:rPr>
                <w:rFonts w:hint="eastAsia" w:ascii="Times New Roman" w:hAnsi="Times New Roman" w:eastAsia="宋体" w:cs="Times New Roman"/>
                <w:color w:val="000000"/>
                <w:kern w:val="0"/>
                <w:szCs w:val="21"/>
                <w:lang w:val="en-US" w:eastAsia="zh-CN" w:bidi="ar"/>
              </w:rPr>
              <w:t>应急指挥部进行紧急动员，适时启动区域的环境污染事故应急预案迅速调集救援力量，指挥各</w:t>
            </w:r>
            <w:r>
              <w:rPr>
                <w:rFonts w:hint="eastAsia" w:cs="Times New Roman"/>
                <w:color w:val="000000"/>
                <w:kern w:val="0"/>
                <w:szCs w:val="21"/>
                <w:lang w:val="en-US" w:eastAsia="zh-CN" w:bidi="ar"/>
              </w:rPr>
              <w:t>启东市</w:t>
            </w:r>
            <w:r>
              <w:rPr>
                <w:rFonts w:hint="eastAsia" w:ascii="Times New Roman" w:hAnsi="Times New Roman" w:eastAsia="宋体" w:cs="Times New Roman"/>
                <w:color w:val="000000"/>
                <w:kern w:val="0"/>
                <w:szCs w:val="21"/>
                <w:lang w:val="en-US" w:eastAsia="zh-CN" w:bidi="ar"/>
              </w:rPr>
              <w:t>成员单位、相关职能部门，根据应急预案组成各个应急行动小组，按照各自的职责和现场救援具体方案开展抢险救援工作，厂内应急小组听从开发区现场指挥部的领导。应急指挥中心同时将有关进展情况向</w:t>
            </w:r>
            <w:r>
              <w:rPr>
                <w:rFonts w:hint="eastAsia" w:cs="Times New Roman"/>
                <w:color w:val="000000"/>
                <w:kern w:val="0"/>
                <w:szCs w:val="21"/>
                <w:lang w:val="en-US" w:eastAsia="zh-CN" w:bidi="ar"/>
              </w:rPr>
              <w:t>启东市</w:t>
            </w:r>
            <w:r>
              <w:rPr>
                <w:rFonts w:hint="eastAsia" w:ascii="Times New Roman" w:hAnsi="Times New Roman" w:eastAsia="宋体" w:cs="Times New Roman"/>
                <w:color w:val="000000"/>
                <w:kern w:val="0"/>
                <w:szCs w:val="21"/>
                <w:lang w:val="en-US" w:eastAsia="zh-CN" w:bidi="ar"/>
              </w:rPr>
              <w:t>、南通市应急指挥部汇报；污染事故基本控制稳定后，应急指挥中心将根据专家意见，迅速调集后援力量展开事故处置工作，现场应急处理结束。当污染事故有进一步扩大、发展趋势，或因事故衍生问题造成重大社会不稳定事态，应急指挥中心将根据事态发展，及时调整应急响应级别，发布预警信息，同时向</w:t>
            </w:r>
            <w:r>
              <w:rPr>
                <w:rFonts w:hint="eastAsia" w:cs="Times New Roman"/>
                <w:color w:val="000000"/>
                <w:kern w:val="0"/>
                <w:szCs w:val="21"/>
                <w:lang w:val="en-US" w:eastAsia="zh-CN" w:bidi="ar"/>
              </w:rPr>
              <w:t>启东市</w:t>
            </w:r>
            <w:r>
              <w:rPr>
                <w:rFonts w:hint="eastAsia" w:ascii="Times New Roman" w:hAnsi="Times New Roman" w:eastAsia="宋体" w:cs="Times New Roman"/>
                <w:color w:val="000000"/>
                <w:kern w:val="0"/>
                <w:szCs w:val="21"/>
                <w:lang w:val="en-US" w:eastAsia="zh-CN" w:bidi="ar"/>
              </w:rPr>
              <w:t>应急指挥部、南通市应急指挥部和省环境污染事故应急指挥部请求援助。</w:t>
            </w:r>
          </w:p>
          <w:p w14:paraId="24883B43">
            <w:pPr>
              <w:widowControl/>
              <w:spacing w:line="500" w:lineRule="exact"/>
              <w:ind w:firstLine="420" w:firstLineChars="200"/>
              <w:jc w:val="left"/>
              <w:rPr>
                <w:rFonts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3</w:t>
            </w:r>
            <w:r>
              <w:rPr>
                <w:rFonts w:hint="eastAsia" w:ascii="Times New Roman" w:hAnsi="Times New Roman" w:eastAsia="宋体" w:cs="Times New Roman"/>
                <w:color w:val="000000"/>
                <w:kern w:val="0"/>
                <w:szCs w:val="21"/>
                <w:lang w:val="en-US" w:eastAsia="zh-CN" w:bidi="ar"/>
              </w:rPr>
              <w:t>）应急</w:t>
            </w:r>
            <w:r>
              <w:rPr>
                <w:rFonts w:hint="eastAsia" w:cs="Times New Roman"/>
                <w:color w:val="000000"/>
                <w:kern w:val="0"/>
                <w:szCs w:val="21"/>
                <w:lang w:val="en-US" w:eastAsia="zh-CN" w:bidi="ar"/>
              </w:rPr>
              <w:t>救</w:t>
            </w:r>
            <w:r>
              <w:rPr>
                <w:rFonts w:hint="eastAsia" w:ascii="Times New Roman" w:hAnsi="Times New Roman" w:eastAsia="宋体" w:cs="Times New Roman"/>
                <w:color w:val="000000"/>
                <w:kern w:val="0"/>
                <w:szCs w:val="21"/>
                <w:lang w:val="en-US" w:eastAsia="zh-CN" w:bidi="ar"/>
              </w:rPr>
              <w:t xml:space="preserve">援保障的衔接 </w:t>
            </w:r>
          </w:p>
          <w:p w14:paraId="19EAE884">
            <w:pPr>
              <w:widowControl/>
              <w:spacing w:line="500" w:lineRule="exact"/>
              <w:ind w:firstLine="420" w:firstLineChars="200"/>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val="en-US" w:eastAsia="zh-CN" w:bidi="ar"/>
              </w:rPr>
              <w:t>①单位互助体系：建设单位和周边企业建立良好的应急互助关系，在重大事故发生后，相互支援。②公共援助力量：厂区还可以联系</w:t>
            </w:r>
            <w:r>
              <w:rPr>
                <w:rFonts w:hint="eastAsia" w:cs="Times New Roman"/>
                <w:color w:val="000000"/>
                <w:kern w:val="0"/>
                <w:szCs w:val="21"/>
                <w:lang w:val="en-US" w:eastAsia="zh-CN" w:bidi="ar"/>
              </w:rPr>
              <w:t>启东市</w:t>
            </w:r>
            <w:r>
              <w:rPr>
                <w:rFonts w:hint="eastAsia" w:ascii="Times New Roman" w:hAnsi="Times New Roman" w:eastAsia="宋体" w:cs="Times New Roman"/>
                <w:color w:val="000000"/>
                <w:kern w:val="0"/>
                <w:szCs w:val="21"/>
                <w:lang w:val="en-US" w:eastAsia="zh-CN" w:bidi="ar"/>
              </w:rPr>
              <w:t>公安消防队、医院、公安、交通、安监局以及各相关职能部门，请求救援力量、设备的支持。</w:t>
            </w:r>
          </w:p>
          <w:p w14:paraId="42C15512">
            <w:pPr>
              <w:widowControl/>
              <w:spacing w:line="500" w:lineRule="exact"/>
              <w:ind w:firstLine="420" w:firstLineChars="200"/>
              <w:jc w:val="left"/>
              <w:rPr>
                <w:rFonts w:hint="eastAsia" w:ascii="Times New Roman" w:hAnsi="Times New Roman" w:eastAsia="宋体" w:cs="Times New Roman"/>
                <w:color w:val="000000"/>
                <w:kern w:val="0"/>
                <w:szCs w:val="21"/>
                <w:lang w:val="en-US" w:eastAsia="zh-CN" w:bidi="ar"/>
              </w:rPr>
            </w:pPr>
            <w:r>
              <w:rPr>
                <w:rFonts w:hint="eastAsia" w:ascii="Times New Roman" w:hAnsi="Times New Roman" w:eastAsia="宋体" w:cs="Times New Roman"/>
                <w:color w:val="000000"/>
                <w:kern w:val="0"/>
                <w:szCs w:val="21"/>
                <w:lang w:val="en-US" w:eastAsia="zh-CN" w:bidi="ar"/>
              </w:rPr>
              <w:t>③专家援助：企业可建立风险事故救援专家库，紧急情况下可获取救援支持。</w:t>
            </w:r>
          </w:p>
          <w:p w14:paraId="1D103D52">
            <w:pPr>
              <w:widowControl/>
              <w:spacing w:line="500" w:lineRule="exact"/>
              <w:ind w:firstLine="420" w:firstLineChars="200"/>
              <w:jc w:val="left"/>
              <w:rPr>
                <w:rFonts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4</w:t>
            </w:r>
            <w:r>
              <w:rPr>
                <w:rFonts w:hint="eastAsia" w:ascii="Times New Roman" w:hAnsi="Times New Roman" w:eastAsia="宋体" w:cs="Times New Roman"/>
                <w:color w:val="000000"/>
                <w:kern w:val="0"/>
                <w:szCs w:val="21"/>
                <w:lang w:val="en-US" w:eastAsia="zh-CN" w:bidi="ar"/>
              </w:rPr>
              <w:t xml:space="preserve">）应急培训计划的衔接 </w:t>
            </w:r>
          </w:p>
          <w:p w14:paraId="1DE5789D">
            <w:pPr>
              <w:widowControl/>
              <w:spacing w:line="500" w:lineRule="exact"/>
              <w:ind w:firstLine="420" w:firstLineChars="200"/>
              <w:jc w:val="left"/>
              <w:rPr>
                <w:rFonts w:hint="eastAsia" w:ascii="Times New Roman" w:hAnsi="Times New Roman" w:eastAsia="宋体" w:cs="Times New Roman"/>
                <w:color w:val="000000"/>
                <w:kern w:val="0"/>
                <w:szCs w:val="21"/>
                <w:lang w:val="en-US" w:eastAsia="zh-CN" w:bidi="ar"/>
              </w:rPr>
            </w:pPr>
            <w:r>
              <w:rPr>
                <w:rFonts w:hint="eastAsia" w:ascii="Times New Roman" w:hAnsi="Times New Roman" w:eastAsia="宋体" w:cs="Times New Roman"/>
                <w:color w:val="000000"/>
                <w:kern w:val="0"/>
                <w:szCs w:val="21"/>
                <w:lang w:val="en-US" w:eastAsia="zh-CN" w:bidi="ar"/>
              </w:rPr>
              <w:t>企业在开展应急培训计划的同时，还应积极配合</w:t>
            </w:r>
            <w:r>
              <w:rPr>
                <w:rFonts w:hint="eastAsia" w:cs="Times New Roman"/>
                <w:color w:val="000000"/>
                <w:kern w:val="0"/>
                <w:szCs w:val="21"/>
                <w:lang w:val="en-US" w:eastAsia="zh-CN" w:bidi="ar"/>
              </w:rPr>
              <w:t>启东市</w:t>
            </w:r>
            <w:r>
              <w:rPr>
                <w:rFonts w:hint="eastAsia" w:ascii="Times New Roman" w:hAnsi="Times New Roman" w:eastAsia="宋体" w:cs="Times New Roman"/>
                <w:color w:val="000000"/>
                <w:kern w:val="0"/>
                <w:szCs w:val="21"/>
                <w:lang w:val="en-US" w:eastAsia="zh-CN" w:bidi="ar"/>
              </w:rPr>
              <w:t>开展的应急培训计划，在发生风险事故时，及时与</w:t>
            </w:r>
            <w:r>
              <w:rPr>
                <w:rFonts w:hint="eastAsia" w:cs="Times New Roman"/>
                <w:color w:val="000000"/>
                <w:kern w:val="0"/>
                <w:szCs w:val="21"/>
                <w:lang w:val="en-US" w:eastAsia="zh-CN" w:bidi="ar"/>
              </w:rPr>
              <w:t>启东市</w:t>
            </w:r>
            <w:r>
              <w:rPr>
                <w:rFonts w:hint="eastAsia" w:ascii="Times New Roman" w:hAnsi="Times New Roman" w:eastAsia="宋体" w:cs="Times New Roman"/>
                <w:color w:val="000000"/>
                <w:kern w:val="0"/>
                <w:szCs w:val="21"/>
                <w:lang w:val="en-US" w:eastAsia="zh-CN" w:bidi="ar"/>
              </w:rPr>
              <w:t>应急组织取得联系。</w:t>
            </w:r>
          </w:p>
          <w:p w14:paraId="5939DBA0">
            <w:pPr>
              <w:widowControl/>
              <w:spacing w:line="500" w:lineRule="exact"/>
              <w:ind w:firstLine="420" w:firstLineChars="200"/>
              <w:jc w:val="left"/>
              <w:rPr>
                <w:rFonts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5</w:t>
            </w:r>
            <w:r>
              <w:rPr>
                <w:rFonts w:hint="eastAsia" w:ascii="Times New Roman" w:hAnsi="Times New Roman" w:eastAsia="宋体" w:cs="Times New Roman"/>
                <w:color w:val="000000"/>
                <w:kern w:val="0"/>
                <w:szCs w:val="21"/>
                <w:lang w:val="en-US" w:eastAsia="zh-CN" w:bidi="ar"/>
              </w:rPr>
              <w:t xml:space="preserve">）信息通报系统 </w:t>
            </w:r>
          </w:p>
          <w:p w14:paraId="7AC5AD3E">
            <w:pPr>
              <w:widowControl/>
              <w:spacing w:line="500" w:lineRule="exact"/>
              <w:ind w:firstLine="420" w:firstLineChars="200"/>
              <w:jc w:val="left"/>
            </w:pPr>
            <w:r>
              <w:rPr>
                <w:rFonts w:hint="eastAsia" w:ascii="Times New Roman" w:hAnsi="Times New Roman" w:eastAsia="宋体" w:cs="Times New Roman"/>
                <w:color w:val="000000"/>
                <w:kern w:val="0"/>
                <w:szCs w:val="21"/>
                <w:lang w:val="en-US" w:eastAsia="zh-CN" w:bidi="ar"/>
              </w:rPr>
              <w:t>建设畅通的信息通道，公司应急指挥部必须与周边企业、园区管委会等保持</w:t>
            </w:r>
            <w:r>
              <w:rPr>
                <w:rFonts w:hint="default" w:ascii="Times New Roman" w:hAnsi="Times New Roman" w:eastAsia="宋体" w:cs="Times New Roman"/>
                <w:color w:val="000000"/>
                <w:kern w:val="0"/>
                <w:szCs w:val="21"/>
                <w:lang w:val="en-US" w:eastAsia="zh-CN" w:bidi="ar"/>
              </w:rPr>
              <w:t>24h</w:t>
            </w:r>
            <w:r>
              <w:rPr>
                <w:rFonts w:hint="eastAsia" w:ascii="Times New Roman" w:hAnsi="Times New Roman" w:eastAsia="宋体" w:cs="Times New Roman"/>
                <w:color w:val="000000"/>
                <w:kern w:val="0"/>
                <w:szCs w:val="21"/>
                <w:lang w:val="en-US" w:eastAsia="zh-CN" w:bidi="ar"/>
              </w:rPr>
              <w:t>的电话联系。一旦发生风险事故，可在第一时间通知相关单位组织居民疏散、搬离。</w:t>
            </w:r>
          </w:p>
          <w:p w14:paraId="47F9A404">
            <w:pPr>
              <w:widowControl/>
              <w:spacing w:line="500" w:lineRule="exact"/>
              <w:ind w:firstLine="420" w:firstLineChars="200"/>
              <w:jc w:val="left"/>
              <w:rPr>
                <w:rFonts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6</w:t>
            </w:r>
            <w:r>
              <w:rPr>
                <w:rFonts w:hint="eastAsia" w:ascii="Times New Roman" w:hAnsi="Times New Roman" w:eastAsia="宋体" w:cs="Times New Roman"/>
                <w:color w:val="000000"/>
                <w:kern w:val="0"/>
                <w:szCs w:val="21"/>
                <w:lang w:val="en-US" w:eastAsia="zh-CN" w:bidi="ar"/>
              </w:rPr>
              <w:t xml:space="preserve">）公众教育的衔接 </w:t>
            </w:r>
          </w:p>
          <w:p w14:paraId="6A67B7CE">
            <w:pPr>
              <w:widowControl/>
              <w:spacing w:line="500" w:lineRule="exact"/>
              <w:ind w:firstLine="420" w:firstLineChars="200"/>
              <w:jc w:val="left"/>
              <w:rPr>
                <w:rFonts w:hint="default"/>
                <w:lang w:val="en-US" w:eastAsia="zh-CN"/>
              </w:rPr>
            </w:pPr>
            <w:r>
              <w:rPr>
                <w:rFonts w:hint="eastAsia" w:ascii="Times New Roman" w:hAnsi="Times New Roman" w:eastAsia="宋体" w:cs="Times New Roman"/>
                <w:color w:val="000000"/>
                <w:kern w:val="0"/>
                <w:szCs w:val="21"/>
                <w:lang w:val="en-US" w:eastAsia="zh-CN" w:bidi="ar"/>
              </w:rPr>
              <w:t>企业对厂内和附近地区公众开展教育、培训时，应加强与周边公众和园区相关单位的交流，如发生事故，可更好的疏散，防护污染。</w:t>
            </w:r>
          </w:p>
          <w:p w14:paraId="544DBAEC">
            <w:pPr>
              <w:numPr>
                <w:ilvl w:val="0"/>
                <w:numId w:val="0"/>
              </w:numPr>
              <w:spacing w:line="500" w:lineRule="exact"/>
              <w:ind w:firstLine="420" w:firstLineChars="200"/>
              <w:jc w:val="both"/>
              <w:rPr>
                <w:rFonts w:hint="default" w:ascii="Times New Roman" w:hAnsi="Times New Roman" w:eastAsia="宋体" w:cs="Times New Roman"/>
                <w:bCs/>
                <w:szCs w:val="21"/>
              </w:rPr>
            </w:pPr>
            <w:r>
              <w:rPr>
                <w:rFonts w:hint="default" w:ascii="Times New Roman" w:hAnsi="Times New Roman" w:eastAsia="宋体" w:cs="Times New Roman"/>
                <w:bCs/>
                <w:szCs w:val="21"/>
              </w:rPr>
              <w:t>（</w:t>
            </w:r>
            <w:r>
              <w:rPr>
                <w:rFonts w:hint="eastAsia" w:ascii="Times New Roman" w:hAnsi="Times New Roman" w:eastAsia="宋体" w:cs="Times New Roman"/>
                <w:bCs/>
                <w:szCs w:val="21"/>
                <w:lang w:val="en-US" w:eastAsia="zh-CN"/>
              </w:rPr>
              <w:t>9</w:t>
            </w:r>
            <w:r>
              <w:rPr>
                <w:rFonts w:hint="default" w:ascii="Times New Roman" w:hAnsi="Times New Roman" w:eastAsia="宋体" w:cs="Times New Roman"/>
                <w:bCs/>
                <w:szCs w:val="21"/>
              </w:rPr>
              <w:t>）与《全省生态环境安全与应急管理“强基提能”三年行动计划》（苏环发〔2023〕5 号）、</w:t>
            </w:r>
            <w:r>
              <w:rPr>
                <w:rFonts w:hint="eastAsia"/>
                <w:b w:val="0"/>
                <w:bCs w:val="0"/>
                <w:lang w:val="en-US" w:eastAsia="zh-CN"/>
              </w:rPr>
              <w:t>与市生态环境局关于印发《南通市生态环境安全与应急管理“强基提能”三年行动实施方案》的通知（通环办〔2023〕160号）</w:t>
            </w:r>
            <w:r>
              <w:rPr>
                <w:rFonts w:hint="default" w:ascii="Times New Roman" w:hAnsi="Times New Roman" w:eastAsia="宋体" w:cs="Times New Roman"/>
                <w:bCs/>
                <w:szCs w:val="21"/>
              </w:rPr>
              <w:t>相符性分析</w:t>
            </w:r>
          </w:p>
          <w:p w14:paraId="78945140">
            <w:pPr>
              <w:adjustRightInd w:val="0"/>
              <w:snapToGrid w:val="0"/>
              <w:spacing w:line="500" w:lineRule="exact"/>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rPr>
              <w:t>本项目建成后拟建立企业环境安全责任“三落实三必须”机制。落实主要负责人环境安全第一责任人责任，对企业环境风险物质和点位全部知晓、风险防控体系全部明晰；落实环保负责人主管责任，对企业风险源防控应对措施、应急物资和救援力量情况全部知晓；落实岗位人员直接责任，对应急处置措施、应急设施设备操作规程熟练掌握。</w:t>
            </w:r>
          </w:p>
          <w:p w14:paraId="08BC217D">
            <w:pPr>
              <w:numPr>
                <w:ilvl w:val="0"/>
                <w:numId w:val="0"/>
              </w:numPr>
              <w:spacing w:line="500" w:lineRule="exact"/>
              <w:ind w:firstLine="420" w:firstLineChars="200"/>
              <w:jc w:val="both"/>
              <w:rPr>
                <w:rFonts w:hint="default" w:ascii="Times New Roman" w:hAnsi="Times New Roman" w:eastAsia="宋体" w:cs="Times New Roman"/>
                <w:bCs/>
                <w:szCs w:val="21"/>
              </w:rPr>
            </w:pPr>
            <w:r>
              <w:rPr>
                <w:rFonts w:hint="default" w:ascii="Times New Roman" w:hAnsi="Times New Roman" w:eastAsia="宋体" w:cs="Times New Roman"/>
                <w:bCs/>
                <w:szCs w:val="21"/>
              </w:rPr>
              <w:t>综上，企业符合《全省生态环境安全与应急管理“强基提能”三年行动计划》（苏环发〔2023〕5 号）、</w:t>
            </w:r>
            <w:r>
              <w:rPr>
                <w:rFonts w:hint="eastAsia"/>
                <w:b w:val="0"/>
                <w:bCs w:val="0"/>
                <w:lang w:val="en-US" w:eastAsia="zh-CN"/>
              </w:rPr>
              <w:t>与市生态环境局关于印发《南通市生态环境安全与应急管理“强基提能”三年行动实施方案》的通知（通环办〔2023〕160号）</w:t>
            </w:r>
            <w:r>
              <w:rPr>
                <w:rFonts w:hint="default" w:ascii="Times New Roman" w:hAnsi="Times New Roman" w:eastAsia="宋体" w:cs="Times New Roman"/>
                <w:bCs/>
                <w:szCs w:val="21"/>
              </w:rPr>
              <w:t>文中相关要求。</w:t>
            </w:r>
          </w:p>
          <w:p w14:paraId="45D2186D">
            <w:pPr>
              <w:spacing w:line="500" w:lineRule="exact"/>
              <w:ind w:firstLine="420" w:firstLineChars="200"/>
            </w:pPr>
            <w:r>
              <w:t>（</w:t>
            </w:r>
            <w:r>
              <w:rPr>
                <w:rFonts w:hint="eastAsia"/>
                <w:lang w:val="en-US" w:eastAsia="zh-CN"/>
              </w:rPr>
              <w:t>10</w:t>
            </w:r>
            <w:r>
              <w:t>）风险结论</w:t>
            </w:r>
          </w:p>
          <w:p w14:paraId="54ECCF97">
            <w:pPr>
              <w:spacing w:line="500" w:lineRule="exact"/>
              <w:ind w:firstLine="420" w:firstLineChars="200"/>
            </w:pPr>
            <w:r>
              <w:t>在各环境风险防范措施落实到位的情况下，可降低建设项目的环境风险，最大程度减少对环境可能造成的危害，</w:t>
            </w:r>
            <w:r>
              <w:rPr>
                <w:rFonts w:hint="eastAsia"/>
              </w:rPr>
              <w:t>由此本项目环境风险可控</w:t>
            </w:r>
            <w:r>
              <w:t>。</w:t>
            </w:r>
          </w:p>
          <w:p w14:paraId="4DA34B42">
            <w:pPr>
              <w:adjustRightInd w:val="0"/>
              <w:snapToGrid w:val="0"/>
              <w:spacing w:line="500" w:lineRule="exact"/>
              <w:ind w:firstLine="422" w:firstLineChars="200"/>
              <w:rPr>
                <w:b/>
                <w:szCs w:val="21"/>
              </w:rPr>
            </w:pPr>
            <w:r>
              <w:rPr>
                <w:b/>
                <w:szCs w:val="21"/>
              </w:rPr>
              <w:t>八、电磁辐射</w:t>
            </w:r>
          </w:p>
          <w:p w14:paraId="79D43044">
            <w:pPr>
              <w:adjustRightInd w:val="0"/>
              <w:snapToGrid w:val="0"/>
              <w:spacing w:line="500" w:lineRule="exact"/>
              <w:ind w:firstLine="420" w:firstLineChars="200"/>
            </w:pPr>
            <w:r>
              <w:rPr>
                <w:bCs/>
                <w:szCs w:val="21"/>
              </w:rPr>
              <w:t>本项目不涉及电磁辐射设施的使用。</w:t>
            </w:r>
          </w:p>
          <w:p w14:paraId="0EAB32F4">
            <w:pPr>
              <w:spacing w:line="500" w:lineRule="exact"/>
              <w:ind w:firstLine="422" w:firstLineChars="200"/>
              <w:rPr>
                <w:b/>
                <w:bCs/>
              </w:rPr>
            </w:pPr>
            <w:r>
              <w:rPr>
                <w:b/>
                <w:bCs/>
              </w:rPr>
              <w:t>九、“三同时”验收监测方案和环境应急监测方案</w:t>
            </w:r>
          </w:p>
          <w:p w14:paraId="55C63D67">
            <w:pPr>
              <w:spacing w:line="500" w:lineRule="exact"/>
              <w:ind w:firstLine="420" w:firstLineChars="200"/>
            </w:pPr>
            <w:r>
              <w:t>（1）</w:t>
            </w:r>
            <w:r>
              <w:rPr>
                <w:rFonts w:hint="eastAsia"/>
              </w:rPr>
              <w:t>“</w:t>
            </w:r>
            <w:r>
              <w:t>三同时</w:t>
            </w:r>
            <w:r>
              <w:rPr>
                <w:rFonts w:hint="eastAsia"/>
              </w:rPr>
              <w:t>”</w:t>
            </w:r>
            <w:r>
              <w:t>验收监测一览表</w:t>
            </w:r>
          </w:p>
          <w:p w14:paraId="3EB2DCDF">
            <w:pPr>
              <w:spacing w:line="500" w:lineRule="exact"/>
              <w:ind w:firstLine="420" w:firstLineChars="200"/>
              <w:rPr>
                <w:rFonts w:hint="default" w:eastAsia="宋体"/>
                <w:lang w:val="en-US" w:eastAsia="zh-CN"/>
              </w:rPr>
            </w:pPr>
            <w:r>
              <w:t>项目“三同时”验收监测一览表见表4-</w:t>
            </w:r>
            <w:r>
              <w:rPr>
                <w:rFonts w:hint="eastAsia"/>
                <w:lang w:val="en-US" w:eastAsia="zh-CN"/>
              </w:rPr>
              <w:t>37</w:t>
            </w:r>
          </w:p>
          <w:p w14:paraId="28A9479B">
            <w:pPr>
              <w:spacing w:line="500" w:lineRule="exact"/>
              <w:ind w:firstLine="422" w:firstLineChars="200"/>
              <w:jc w:val="center"/>
              <w:rPr>
                <w:b/>
                <w:bCs/>
              </w:rPr>
            </w:pPr>
            <w:r>
              <w:rPr>
                <w:b/>
                <w:bCs/>
              </w:rPr>
              <w:t>表 4-</w:t>
            </w:r>
            <w:r>
              <w:rPr>
                <w:rFonts w:hint="eastAsia"/>
                <w:b/>
                <w:bCs/>
                <w:lang w:val="en-US" w:eastAsia="zh-CN"/>
              </w:rPr>
              <w:t>37</w:t>
            </w:r>
            <w:r>
              <w:rPr>
                <w:rFonts w:hint="eastAsia"/>
                <w:b/>
                <w:bCs/>
              </w:rPr>
              <w:t xml:space="preserve">  </w:t>
            </w:r>
            <w:r>
              <w:rPr>
                <w:b/>
                <w:bCs/>
              </w:rPr>
              <w:t>“三同时”验收监测一览表</w:t>
            </w:r>
          </w:p>
          <w:tbl>
            <w:tblPr>
              <w:tblStyle w:val="19"/>
              <w:tblW w:w="8099"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902"/>
              <w:gridCol w:w="3823"/>
              <w:gridCol w:w="1405"/>
            </w:tblGrid>
            <w:tr w14:paraId="6BB102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969" w:type="dxa"/>
                  <w:vAlign w:val="center"/>
                </w:tcPr>
                <w:p w14:paraId="55D0B82D">
                  <w:pPr>
                    <w:jc w:val="center"/>
                    <w:rPr>
                      <w:sz w:val="18"/>
                      <w:szCs w:val="18"/>
                    </w:rPr>
                  </w:pPr>
                  <w:r>
                    <w:rPr>
                      <w:sz w:val="18"/>
                      <w:szCs w:val="18"/>
                    </w:rPr>
                    <w:t>污染种类</w:t>
                  </w:r>
                </w:p>
              </w:tc>
              <w:tc>
                <w:tcPr>
                  <w:tcW w:w="1902" w:type="dxa"/>
                  <w:vAlign w:val="center"/>
                </w:tcPr>
                <w:p w14:paraId="1C4E3CC4">
                  <w:pPr>
                    <w:jc w:val="center"/>
                    <w:rPr>
                      <w:sz w:val="18"/>
                      <w:szCs w:val="18"/>
                    </w:rPr>
                  </w:pPr>
                  <w:r>
                    <w:rPr>
                      <w:sz w:val="18"/>
                      <w:szCs w:val="18"/>
                    </w:rPr>
                    <w:t>监测点位置</w:t>
                  </w:r>
                </w:p>
              </w:tc>
              <w:tc>
                <w:tcPr>
                  <w:tcW w:w="3823" w:type="dxa"/>
                  <w:vAlign w:val="center"/>
                </w:tcPr>
                <w:p w14:paraId="5A3C9C4C">
                  <w:pPr>
                    <w:jc w:val="center"/>
                    <w:rPr>
                      <w:sz w:val="18"/>
                      <w:szCs w:val="18"/>
                    </w:rPr>
                  </w:pPr>
                  <w:r>
                    <w:rPr>
                      <w:sz w:val="18"/>
                      <w:szCs w:val="18"/>
                    </w:rPr>
                    <w:t>监测项目</w:t>
                  </w:r>
                </w:p>
              </w:tc>
              <w:tc>
                <w:tcPr>
                  <w:tcW w:w="1405" w:type="dxa"/>
                  <w:vAlign w:val="center"/>
                </w:tcPr>
                <w:p w14:paraId="4DB79069">
                  <w:pPr>
                    <w:jc w:val="center"/>
                    <w:rPr>
                      <w:sz w:val="18"/>
                      <w:szCs w:val="18"/>
                    </w:rPr>
                  </w:pPr>
                  <w:r>
                    <w:rPr>
                      <w:sz w:val="18"/>
                      <w:szCs w:val="18"/>
                    </w:rPr>
                    <w:t>监测频次</w:t>
                  </w:r>
                </w:p>
              </w:tc>
            </w:tr>
            <w:tr w14:paraId="0202A4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69" w:type="dxa"/>
                  <w:vMerge w:val="restart"/>
                  <w:vAlign w:val="center"/>
                </w:tcPr>
                <w:p w14:paraId="117FE0E8">
                  <w:pPr>
                    <w:jc w:val="center"/>
                    <w:rPr>
                      <w:rFonts w:hint="eastAsia" w:eastAsia="宋体"/>
                      <w:sz w:val="18"/>
                      <w:szCs w:val="18"/>
                      <w:lang w:eastAsia="zh-CN"/>
                    </w:rPr>
                  </w:pPr>
                  <w:r>
                    <w:rPr>
                      <w:rFonts w:hint="eastAsia"/>
                      <w:sz w:val="18"/>
                      <w:szCs w:val="18"/>
                      <w:lang w:eastAsia="zh-CN"/>
                    </w:rPr>
                    <w:t>废气</w:t>
                  </w:r>
                </w:p>
              </w:tc>
              <w:tc>
                <w:tcPr>
                  <w:tcW w:w="1902" w:type="dxa"/>
                  <w:vAlign w:val="center"/>
                </w:tcPr>
                <w:p w14:paraId="71072542">
                  <w:pPr>
                    <w:jc w:val="center"/>
                    <w:rPr>
                      <w:rFonts w:hint="default" w:eastAsia="宋体"/>
                      <w:color w:val="auto"/>
                      <w:sz w:val="18"/>
                      <w:szCs w:val="18"/>
                      <w:lang w:val="en-US" w:eastAsia="zh-CN"/>
                    </w:rPr>
                  </w:pPr>
                  <w:r>
                    <w:rPr>
                      <w:rFonts w:hint="eastAsia"/>
                      <w:color w:val="auto"/>
                      <w:sz w:val="18"/>
                      <w:szCs w:val="18"/>
                      <w:lang w:val="en-US" w:eastAsia="zh-CN"/>
                    </w:rPr>
                    <w:t>油烟管道</w:t>
                  </w:r>
                </w:p>
              </w:tc>
              <w:tc>
                <w:tcPr>
                  <w:tcW w:w="3823" w:type="dxa"/>
                  <w:vAlign w:val="center"/>
                </w:tcPr>
                <w:p w14:paraId="561D59AB">
                  <w:pPr>
                    <w:jc w:val="center"/>
                    <w:rPr>
                      <w:rFonts w:hint="eastAsia" w:eastAsia="宋体"/>
                      <w:color w:val="auto"/>
                      <w:sz w:val="18"/>
                      <w:szCs w:val="18"/>
                      <w:lang w:eastAsia="zh-CN"/>
                    </w:rPr>
                  </w:pPr>
                  <w:r>
                    <w:rPr>
                      <w:rFonts w:hint="eastAsia"/>
                      <w:color w:val="auto"/>
                      <w:sz w:val="18"/>
                      <w:szCs w:val="18"/>
                      <w:lang w:eastAsia="zh-CN"/>
                    </w:rPr>
                    <w:t>油烟</w:t>
                  </w:r>
                </w:p>
              </w:tc>
              <w:tc>
                <w:tcPr>
                  <w:tcW w:w="1405" w:type="dxa"/>
                  <w:vAlign w:val="center"/>
                </w:tcPr>
                <w:p w14:paraId="0A56DF03">
                  <w:pPr>
                    <w:jc w:val="center"/>
                    <w:rPr>
                      <w:sz w:val="18"/>
                      <w:szCs w:val="18"/>
                    </w:rPr>
                  </w:pPr>
                  <w:r>
                    <w:rPr>
                      <w:sz w:val="18"/>
                      <w:szCs w:val="18"/>
                    </w:rPr>
                    <w:t>2天×</w:t>
                  </w:r>
                  <w:r>
                    <w:rPr>
                      <w:rFonts w:hint="eastAsia"/>
                      <w:sz w:val="18"/>
                      <w:szCs w:val="18"/>
                      <w:lang w:val="en-US" w:eastAsia="zh-CN"/>
                    </w:rPr>
                    <w:t>5</w:t>
                  </w:r>
                  <w:r>
                    <w:rPr>
                      <w:sz w:val="18"/>
                      <w:szCs w:val="18"/>
                    </w:rPr>
                    <w:t>次/天</w:t>
                  </w:r>
                </w:p>
              </w:tc>
            </w:tr>
            <w:tr w14:paraId="2AD0A8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69" w:type="dxa"/>
                  <w:vMerge w:val="continue"/>
                  <w:vAlign w:val="center"/>
                </w:tcPr>
                <w:p w14:paraId="65D4036B">
                  <w:pPr>
                    <w:jc w:val="center"/>
                    <w:rPr>
                      <w:sz w:val="18"/>
                      <w:szCs w:val="18"/>
                    </w:rPr>
                  </w:pPr>
                </w:p>
              </w:tc>
              <w:tc>
                <w:tcPr>
                  <w:tcW w:w="1902" w:type="dxa"/>
                  <w:vAlign w:val="center"/>
                </w:tcPr>
                <w:p w14:paraId="75F0BF0C">
                  <w:pPr>
                    <w:jc w:val="center"/>
                    <w:rPr>
                      <w:sz w:val="18"/>
                      <w:szCs w:val="18"/>
                    </w:rPr>
                  </w:pPr>
                  <w:r>
                    <w:rPr>
                      <w:sz w:val="18"/>
                      <w:szCs w:val="18"/>
                    </w:rPr>
                    <w:t>厂界</w:t>
                  </w:r>
                </w:p>
              </w:tc>
              <w:tc>
                <w:tcPr>
                  <w:tcW w:w="3823" w:type="dxa"/>
                  <w:vAlign w:val="center"/>
                </w:tcPr>
                <w:p w14:paraId="489FBA05">
                  <w:pPr>
                    <w:jc w:val="center"/>
                    <w:rPr>
                      <w:rFonts w:hint="eastAsia" w:eastAsia="宋体"/>
                      <w:sz w:val="18"/>
                      <w:szCs w:val="18"/>
                      <w:lang w:eastAsia="zh-CN"/>
                    </w:rPr>
                  </w:pPr>
                  <w:r>
                    <w:rPr>
                      <w:rFonts w:hint="eastAsia"/>
                      <w:sz w:val="18"/>
                      <w:szCs w:val="18"/>
                      <w:lang w:eastAsia="zh-CN"/>
                    </w:rPr>
                    <w:t>颗粒物</w:t>
                  </w:r>
                </w:p>
              </w:tc>
              <w:tc>
                <w:tcPr>
                  <w:tcW w:w="1405" w:type="dxa"/>
                  <w:vAlign w:val="center"/>
                </w:tcPr>
                <w:p w14:paraId="271E1CFB">
                  <w:pPr>
                    <w:jc w:val="center"/>
                    <w:rPr>
                      <w:sz w:val="18"/>
                      <w:szCs w:val="18"/>
                    </w:rPr>
                  </w:pPr>
                  <w:r>
                    <w:rPr>
                      <w:sz w:val="18"/>
                      <w:szCs w:val="18"/>
                    </w:rPr>
                    <w:t>2天×3次/天</w:t>
                  </w:r>
                </w:p>
              </w:tc>
            </w:tr>
            <w:tr w14:paraId="00476F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69" w:type="dxa"/>
                  <w:vAlign w:val="center"/>
                </w:tcPr>
                <w:p w14:paraId="2860BECE">
                  <w:pPr>
                    <w:jc w:val="center"/>
                    <w:rPr>
                      <w:sz w:val="18"/>
                      <w:szCs w:val="18"/>
                    </w:rPr>
                  </w:pPr>
                  <w:r>
                    <w:rPr>
                      <w:sz w:val="18"/>
                      <w:szCs w:val="18"/>
                    </w:rPr>
                    <w:t>废水</w:t>
                  </w:r>
                </w:p>
              </w:tc>
              <w:tc>
                <w:tcPr>
                  <w:tcW w:w="1902" w:type="dxa"/>
                  <w:vAlign w:val="center"/>
                </w:tcPr>
                <w:p w14:paraId="0D5CB46B">
                  <w:pPr>
                    <w:jc w:val="center"/>
                    <w:rPr>
                      <w:rFonts w:hint="eastAsia" w:eastAsia="宋体"/>
                      <w:color w:val="auto"/>
                      <w:sz w:val="18"/>
                      <w:szCs w:val="18"/>
                      <w:lang w:eastAsia="zh-CN"/>
                    </w:rPr>
                  </w:pPr>
                  <w:r>
                    <w:rPr>
                      <w:rFonts w:hint="eastAsia"/>
                      <w:color w:val="auto"/>
                      <w:sz w:val="18"/>
                      <w:szCs w:val="18"/>
                      <w:lang w:eastAsia="zh-CN"/>
                    </w:rPr>
                    <w:t>厂区总排口</w:t>
                  </w:r>
                </w:p>
              </w:tc>
              <w:tc>
                <w:tcPr>
                  <w:tcW w:w="3823" w:type="dxa"/>
                  <w:vAlign w:val="center"/>
                </w:tcPr>
                <w:p w14:paraId="339F73E8">
                  <w:pPr>
                    <w:widowControl/>
                    <w:jc w:val="center"/>
                    <w:rPr>
                      <w:rFonts w:hint="eastAsia" w:eastAsia="宋体"/>
                      <w:color w:val="auto"/>
                      <w:sz w:val="18"/>
                      <w:szCs w:val="18"/>
                      <w:lang w:eastAsia="zh-CN"/>
                    </w:rPr>
                  </w:pPr>
                  <w:r>
                    <w:rPr>
                      <w:color w:val="auto"/>
                      <w:kern w:val="0"/>
                      <w:sz w:val="18"/>
                      <w:szCs w:val="18"/>
                      <w:lang w:bidi="ar"/>
                    </w:rPr>
                    <w:t>pH、COD、SS、TP、NH</w:t>
                  </w:r>
                  <w:r>
                    <w:rPr>
                      <w:color w:val="auto"/>
                      <w:kern w:val="0"/>
                      <w:sz w:val="18"/>
                      <w:szCs w:val="18"/>
                      <w:vertAlign w:val="subscript"/>
                      <w:lang w:bidi="ar"/>
                    </w:rPr>
                    <w:t>3</w:t>
                  </w:r>
                  <w:r>
                    <w:rPr>
                      <w:color w:val="auto"/>
                      <w:kern w:val="0"/>
                      <w:sz w:val="18"/>
                      <w:szCs w:val="18"/>
                      <w:lang w:bidi="ar"/>
                    </w:rPr>
                    <w:t>-N、TN</w:t>
                  </w:r>
                  <w:r>
                    <w:rPr>
                      <w:rFonts w:hint="eastAsia"/>
                      <w:color w:val="auto"/>
                      <w:kern w:val="0"/>
                      <w:sz w:val="18"/>
                      <w:szCs w:val="18"/>
                      <w:lang w:eastAsia="zh-CN" w:bidi="ar"/>
                    </w:rPr>
                    <w:t>、动植物油</w:t>
                  </w:r>
                </w:p>
              </w:tc>
              <w:tc>
                <w:tcPr>
                  <w:tcW w:w="1405" w:type="dxa"/>
                  <w:vAlign w:val="center"/>
                </w:tcPr>
                <w:p w14:paraId="3E1AB7BD">
                  <w:pPr>
                    <w:jc w:val="center"/>
                    <w:rPr>
                      <w:sz w:val="18"/>
                      <w:szCs w:val="18"/>
                    </w:rPr>
                  </w:pPr>
                  <w:r>
                    <w:rPr>
                      <w:sz w:val="18"/>
                      <w:szCs w:val="18"/>
                    </w:rPr>
                    <w:t>2天×4次/天</w:t>
                  </w:r>
                </w:p>
              </w:tc>
            </w:tr>
            <w:tr w14:paraId="10E04A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9" w:type="dxa"/>
                  <w:vAlign w:val="center"/>
                </w:tcPr>
                <w:p w14:paraId="43CC33DF">
                  <w:pPr>
                    <w:jc w:val="center"/>
                    <w:rPr>
                      <w:sz w:val="18"/>
                      <w:szCs w:val="18"/>
                    </w:rPr>
                  </w:pPr>
                  <w:r>
                    <w:rPr>
                      <w:sz w:val="18"/>
                      <w:szCs w:val="18"/>
                    </w:rPr>
                    <w:t>噪声</w:t>
                  </w:r>
                </w:p>
              </w:tc>
              <w:tc>
                <w:tcPr>
                  <w:tcW w:w="1902" w:type="dxa"/>
                  <w:vAlign w:val="center"/>
                </w:tcPr>
                <w:p w14:paraId="6B4FE013">
                  <w:pPr>
                    <w:jc w:val="center"/>
                    <w:rPr>
                      <w:rFonts w:hint="eastAsia" w:eastAsia="宋体"/>
                      <w:sz w:val="18"/>
                      <w:szCs w:val="18"/>
                      <w:lang w:eastAsia="zh-CN"/>
                    </w:rPr>
                  </w:pPr>
                  <w:r>
                    <w:rPr>
                      <w:sz w:val="18"/>
                      <w:szCs w:val="18"/>
                    </w:rPr>
                    <w:t>厂界四周</w:t>
                  </w:r>
                </w:p>
              </w:tc>
              <w:tc>
                <w:tcPr>
                  <w:tcW w:w="3823" w:type="dxa"/>
                  <w:vAlign w:val="center"/>
                </w:tcPr>
                <w:p w14:paraId="29F6C7DA">
                  <w:pPr>
                    <w:widowControl/>
                    <w:jc w:val="center"/>
                    <w:rPr>
                      <w:sz w:val="18"/>
                      <w:szCs w:val="18"/>
                    </w:rPr>
                  </w:pPr>
                  <w:r>
                    <w:rPr>
                      <w:color w:val="000000"/>
                      <w:kern w:val="0"/>
                      <w:sz w:val="18"/>
                      <w:szCs w:val="18"/>
                      <w:lang w:bidi="ar"/>
                    </w:rPr>
                    <w:t>等效声级 Leq（A）</w:t>
                  </w:r>
                </w:p>
              </w:tc>
              <w:tc>
                <w:tcPr>
                  <w:tcW w:w="1405" w:type="dxa"/>
                  <w:vAlign w:val="center"/>
                </w:tcPr>
                <w:p w14:paraId="6ED4787C">
                  <w:pPr>
                    <w:jc w:val="center"/>
                    <w:rPr>
                      <w:sz w:val="18"/>
                      <w:szCs w:val="18"/>
                    </w:rPr>
                  </w:pPr>
                  <w:r>
                    <w:rPr>
                      <w:sz w:val="18"/>
                      <w:szCs w:val="18"/>
                    </w:rPr>
                    <w:t>2天×1次/天</w:t>
                  </w:r>
                </w:p>
              </w:tc>
            </w:tr>
          </w:tbl>
          <w:p w14:paraId="3DD00552">
            <w:pPr>
              <w:widowControl/>
              <w:spacing w:line="500" w:lineRule="exact"/>
              <w:ind w:firstLine="420" w:firstLineChars="200"/>
              <w:jc w:val="left"/>
              <w:rPr>
                <w:szCs w:val="21"/>
              </w:rPr>
            </w:pPr>
            <w:r>
              <w:rPr>
                <w:color w:val="000000"/>
                <w:kern w:val="0"/>
                <w:szCs w:val="21"/>
                <w:lang w:bidi="ar"/>
              </w:rPr>
              <w:t>（2）应急监测计划</w:t>
            </w:r>
          </w:p>
          <w:p w14:paraId="0E0BB041">
            <w:pPr>
              <w:widowControl/>
              <w:spacing w:line="500" w:lineRule="exact"/>
              <w:ind w:firstLine="420" w:firstLineChars="200"/>
              <w:jc w:val="left"/>
              <w:rPr>
                <w:szCs w:val="21"/>
              </w:rPr>
            </w:pPr>
            <w:r>
              <w:rPr>
                <w:color w:val="000000"/>
                <w:kern w:val="0"/>
                <w:szCs w:val="21"/>
                <w:lang w:bidi="ar"/>
              </w:rPr>
              <w:t>根据事故类型等因素确定最终的监测因子，具体的风险应急监测方案如下：</w:t>
            </w:r>
          </w:p>
          <w:p w14:paraId="5FE3697A">
            <w:pPr>
              <w:widowControl/>
              <w:spacing w:line="500" w:lineRule="exact"/>
              <w:ind w:firstLine="420" w:firstLineChars="200"/>
              <w:jc w:val="left"/>
              <w:rPr>
                <w:szCs w:val="21"/>
              </w:rPr>
            </w:pPr>
            <w:r>
              <w:rPr>
                <w:color w:val="000000"/>
                <w:kern w:val="0"/>
                <w:szCs w:val="21"/>
                <w:lang w:bidi="ar"/>
              </w:rPr>
              <w:t xml:space="preserve">①大气环境监测 </w:t>
            </w:r>
          </w:p>
          <w:p w14:paraId="5671D479">
            <w:pPr>
              <w:widowControl/>
              <w:spacing w:line="500" w:lineRule="exact"/>
              <w:ind w:firstLine="420" w:firstLineChars="200"/>
              <w:jc w:val="left"/>
              <w:rPr>
                <w:szCs w:val="21"/>
              </w:rPr>
            </w:pPr>
            <w:r>
              <w:rPr>
                <w:color w:val="000000"/>
                <w:kern w:val="0"/>
                <w:szCs w:val="21"/>
                <w:lang w:bidi="ar"/>
              </w:rPr>
              <w:t>监测因子：颗粒物、CO。</w:t>
            </w:r>
          </w:p>
          <w:p w14:paraId="54487141">
            <w:pPr>
              <w:widowControl/>
              <w:spacing w:line="500" w:lineRule="exact"/>
              <w:ind w:firstLine="420" w:firstLineChars="200"/>
              <w:jc w:val="left"/>
              <w:rPr>
                <w:szCs w:val="21"/>
              </w:rPr>
            </w:pPr>
            <w:r>
              <w:rPr>
                <w:color w:val="000000"/>
                <w:kern w:val="0"/>
                <w:szCs w:val="21"/>
                <w:lang w:bidi="ar"/>
              </w:rPr>
              <w:t>监测时间和频次：按照事故持续时间决定监测时间，根据事故严重性决定监测频次。一般情况下每小时取样一次。随事故控制减弱，适当减少监测频次。</w:t>
            </w:r>
          </w:p>
          <w:p w14:paraId="0D4A3024">
            <w:pPr>
              <w:widowControl/>
              <w:spacing w:line="500" w:lineRule="exact"/>
              <w:ind w:firstLine="420" w:firstLineChars="200"/>
              <w:jc w:val="left"/>
              <w:rPr>
                <w:szCs w:val="21"/>
              </w:rPr>
            </w:pPr>
            <w:r>
              <w:rPr>
                <w:color w:val="000000"/>
                <w:kern w:val="0"/>
                <w:szCs w:val="21"/>
                <w:lang w:bidi="ar"/>
              </w:rPr>
              <w:t xml:space="preserve">监测布点：按事故发生时的主导风向的下风向，考虑区域功能设置1个测点，厂界设监控点。 </w:t>
            </w:r>
          </w:p>
          <w:p w14:paraId="391E89D0">
            <w:pPr>
              <w:widowControl/>
              <w:spacing w:line="500" w:lineRule="exact"/>
              <w:ind w:firstLine="420" w:firstLineChars="200"/>
              <w:jc w:val="left"/>
              <w:rPr>
                <w:szCs w:val="21"/>
              </w:rPr>
            </w:pPr>
            <w:r>
              <w:rPr>
                <w:color w:val="000000"/>
                <w:kern w:val="0"/>
                <w:szCs w:val="21"/>
                <w:lang w:bidi="ar"/>
              </w:rPr>
              <w:t xml:space="preserve">②水环境监测 </w:t>
            </w:r>
          </w:p>
          <w:p w14:paraId="7D6ADD8D">
            <w:pPr>
              <w:widowControl/>
              <w:spacing w:line="500" w:lineRule="exact"/>
              <w:ind w:firstLine="420" w:firstLineChars="200"/>
              <w:jc w:val="left"/>
              <w:rPr>
                <w:szCs w:val="21"/>
              </w:rPr>
            </w:pPr>
            <w:r>
              <w:rPr>
                <w:color w:val="000000"/>
                <w:kern w:val="0"/>
                <w:szCs w:val="21"/>
                <w:lang w:bidi="ar"/>
              </w:rPr>
              <w:t>监测因子：pH、COD、SS、TP、NH</w:t>
            </w:r>
            <w:r>
              <w:rPr>
                <w:color w:val="000000"/>
                <w:kern w:val="0"/>
                <w:szCs w:val="21"/>
                <w:vertAlign w:val="subscript"/>
                <w:lang w:bidi="ar"/>
              </w:rPr>
              <w:t>3</w:t>
            </w:r>
            <w:r>
              <w:rPr>
                <w:color w:val="000000"/>
                <w:kern w:val="0"/>
                <w:szCs w:val="21"/>
                <w:lang w:bidi="ar"/>
              </w:rPr>
              <w:t>-N、T</w:t>
            </w:r>
            <w:r>
              <w:rPr>
                <w:rFonts w:ascii="Times New Roman" w:hAnsi="Times New Roman" w:eastAsia="宋体" w:cs="Times New Roman"/>
                <w:color w:val="000000"/>
                <w:kern w:val="0"/>
                <w:szCs w:val="21"/>
                <w:lang w:bidi="ar"/>
              </w:rPr>
              <w:t>N</w:t>
            </w:r>
            <w:r>
              <w:rPr>
                <w:rFonts w:hint="eastAsia" w:ascii="Times New Roman" w:hAnsi="Times New Roman" w:eastAsia="宋体" w:cs="Times New Roman"/>
                <w:color w:val="000000"/>
                <w:kern w:val="0"/>
                <w:szCs w:val="21"/>
                <w:lang w:eastAsia="zh-CN" w:bidi="ar"/>
              </w:rPr>
              <w:t>、</w:t>
            </w:r>
            <w:r>
              <w:rPr>
                <w:rFonts w:hint="eastAsia" w:cs="Times New Roman"/>
                <w:color w:val="000000"/>
                <w:kern w:val="0"/>
                <w:szCs w:val="21"/>
                <w:lang w:eastAsia="zh-CN" w:bidi="ar"/>
              </w:rPr>
              <w:t>动植物油</w:t>
            </w:r>
            <w:r>
              <w:rPr>
                <w:rFonts w:ascii="Times New Roman" w:hAnsi="Times New Roman" w:eastAsia="宋体" w:cs="Times New Roman"/>
                <w:color w:val="000000"/>
                <w:kern w:val="0"/>
                <w:szCs w:val="21"/>
                <w:lang w:bidi="ar"/>
              </w:rPr>
              <w:t>。</w:t>
            </w:r>
          </w:p>
          <w:p w14:paraId="541D4DA2">
            <w:pPr>
              <w:widowControl/>
              <w:spacing w:line="500" w:lineRule="exact"/>
              <w:ind w:firstLine="420" w:firstLineChars="200"/>
              <w:jc w:val="left"/>
              <w:rPr>
                <w:szCs w:val="21"/>
              </w:rPr>
            </w:pPr>
            <w:r>
              <w:rPr>
                <w:color w:val="000000"/>
                <w:kern w:val="0"/>
                <w:szCs w:val="21"/>
                <w:lang w:bidi="ar"/>
              </w:rPr>
              <w:t>监测时间和频次：采样1次/30min。</w:t>
            </w:r>
          </w:p>
          <w:p w14:paraId="08324E36">
            <w:pPr>
              <w:widowControl/>
              <w:spacing w:line="500" w:lineRule="exact"/>
              <w:ind w:firstLine="420" w:firstLineChars="200"/>
              <w:jc w:val="left"/>
            </w:pPr>
            <w:r>
              <w:rPr>
                <w:color w:val="000000"/>
                <w:kern w:val="0"/>
                <w:szCs w:val="21"/>
                <w:lang w:bidi="ar"/>
              </w:rPr>
              <w:t>监测布点：根据事故类型和事故废水走向，确定监测范围。主要监测点位为：应急事故池内、厂区雨水总排放口、厂区废水总排放口、受影响河流排入口的上游和下游处。</w:t>
            </w:r>
          </w:p>
        </w:tc>
      </w:tr>
    </w:tbl>
    <w:p w14:paraId="7CCB3C6C">
      <w:pPr>
        <w:spacing w:before="157" w:beforeLines="50" w:after="157" w:afterLines="50"/>
        <w:jc w:val="center"/>
        <w:outlineLvl w:val="0"/>
        <w:rPr>
          <w:rFonts w:ascii="黑体" w:hAnsi="黑体" w:eastAsia="黑体"/>
          <w:sz w:val="30"/>
          <w:szCs w:val="30"/>
        </w:rPr>
      </w:pPr>
      <w:r>
        <w:rPr>
          <w:rFonts w:hint="eastAsia" w:ascii="黑体" w:hAnsi="黑体" w:eastAsia="黑体"/>
          <w:sz w:val="30"/>
          <w:szCs w:val="30"/>
        </w:rPr>
        <w:t>五、环境保护措施监督检查清单</w:t>
      </w:r>
    </w:p>
    <w:tbl>
      <w:tblPr>
        <w:tblStyle w:val="19"/>
        <w:tblW w:w="890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480"/>
        <w:gridCol w:w="1652"/>
        <w:gridCol w:w="1538"/>
        <w:gridCol w:w="2751"/>
      </w:tblGrid>
      <w:tr w14:paraId="2F308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488" w:type="dxa"/>
            <w:tcBorders>
              <w:tl2br w:val="single" w:color="auto" w:sz="4" w:space="0"/>
            </w:tcBorders>
          </w:tcPr>
          <w:p w14:paraId="6DE7B145">
            <w:pPr>
              <w:adjustRightInd w:val="0"/>
              <w:snapToGrid w:val="0"/>
              <w:ind w:firstLine="840"/>
              <w:rPr>
                <w:szCs w:val="21"/>
              </w:rPr>
            </w:pPr>
            <w:r>
              <w:rPr>
                <w:szCs w:val="21"/>
              </w:rPr>
              <w:t>内容</w:t>
            </w:r>
          </w:p>
          <w:p w14:paraId="1C7306CA">
            <w:pPr>
              <w:adjustRightInd w:val="0"/>
              <w:snapToGrid w:val="0"/>
              <w:rPr>
                <w:szCs w:val="21"/>
              </w:rPr>
            </w:pPr>
          </w:p>
          <w:p w14:paraId="4DC99D10">
            <w:pPr>
              <w:adjustRightInd w:val="0"/>
              <w:snapToGrid w:val="0"/>
              <w:rPr>
                <w:szCs w:val="21"/>
              </w:rPr>
            </w:pPr>
            <w:r>
              <w:rPr>
                <w:szCs w:val="21"/>
              </w:rPr>
              <w:t>要素</w:t>
            </w:r>
          </w:p>
        </w:tc>
        <w:tc>
          <w:tcPr>
            <w:tcW w:w="1480" w:type="dxa"/>
            <w:vAlign w:val="center"/>
          </w:tcPr>
          <w:p w14:paraId="22E91839">
            <w:pPr>
              <w:adjustRightInd w:val="0"/>
              <w:snapToGrid w:val="0"/>
              <w:jc w:val="center"/>
              <w:rPr>
                <w:szCs w:val="21"/>
              </w:rPr>
            </w:pPr>
            <w:r>
              <w:rPr>
                <w:szCs w:val="21"/>
              </w:rPr>
              <w:t>排放口（编号、</w:t>
            </w:r>
          </w:p>
          <w:p w14:paraId="7F09AA47">
            <w:pPr>
              <w:adjustRightInd w:val="0"/>
              <w:snapToGrid w:val="0"/>
              <w:jc w:val="center"/>
              <w:rPr>
                <w:szCs w:val="21"/>
              </w:rPr>
            </w:pPr>
            <w:r>
              <w:rPr>
                <w:szCs w:val="21"/>
              </w:rPr>
              <w:t>名称）/污染源</w:t>
            </w:r>
          </w:p>
        </w:tc>
        <w:tc>
          <w:tcPr>
            <w:tcW w:w="1652" w:type="dxa"/>
            <w:vAlign w:val="center"/>
          </w:tcPr>
          <w:p w14:paraId="25C4F459">
            <w:pPr>
              <w:adjustRightInd w:val="0"/>
              <w:snapToGrid w:val="0"/>
              <w:jc w:val="center"/>
              <w:rPr>
                <w:szCs w:val="21"/>
              </w:rPr>
            </w:pPr>
            <w:r>
              <w:rPr>
                <w:szCs w:val="21"/>
              </w:rPr>
              <w:t>污染物项目</w:t>
            </w:r>
          </w:p>
        </w:tc>
        <w:tc>
          <w:tcPr>
            <w:tcW w:w="1538" w:type="dxa"/>
            <w:vAlign w:val="center"/>
          </w:tcPr>
          <w:p w14:paraId="3F5DB624">
            <w:pPr>
              <w:adjustRightInd w:val="0"/>
              <w:snapToGrid w:val="0"/>
              <w:jc w:val="center"/>
              <w:rPr>
                <w:szCs w:val="21"/>
              </w:rPr>
            </w:pPr>
            <w:r>
              <w:rPr>
                <w:szCs w:val="21"/>
              </w:rPr>
              <w:t>环境保护措施</w:t>
            </w:r>
          </w:p>
        </w:tc>
        <w:tc>
          <w:tcPr>
            <w:tcW w:w="2751" w:type="dxa"/>
            <w:vAlign w:val="center"/>
          </w:tcPr>
          <w:p w14:paraId="229BD91F">
            <w:pPr>
              <w:adjustRightInd w:val="0"/>
              <w:snapToGrid w:val="0"/>
              <w:jc w:val="center"/>
              <w:rPr>
                <w:szCs w:val="21"/>
              </w:rPr>
            </w:pPr>
            <w:r>
              <w:rPr>
                <w:szCs w:val="21"/>
              </w:rPr>
              <w:t>执行标准</w:t>
            </w:r>
          </w:p>
        </w:tc>
      </w:tr>
      <w:tr w14:paraId="1E3C4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88" w:type="dxa"/>
            <w:vMerge w:val="restart"/>
            <w:vAlign w:val="center"/>
          </w:tcPr>
          <w:p w14:paraId="086BC5EB">
            <w:pPr>
              <w:adjustRightInd w:val="0"/>
              <w:snapToGrid w:val="0"/>
              <w:jc w:val="center"/>
              <w:rPr>
                <w:rFonts w:hint="eastAsia" w:eastAsia="宋体"/>
                <w:szCs w:val="21"/>
                <w:lang w:eastAsia="zh-CN"/>
              </w:rPr>
            </w:pPr>
            <w:r>
              <w:rPr>
                <w:rFonts w:hint="eastAsia"/>
                <w:szCs w:val="21"/>
                <w:lang w:eastAsia="zh-CN"/>
              </w:rPr>
              <w:t>大气环境</w:t>
            </w:r>
          </w:p>
        </w:tc>
        <w:tc>
          <w:tcPr>
            <w:tcW w:w="1480" w:type="dxa"/>
            <w:vAlign w:val="center"/>
          </w:tcPr>
          <w:p w14:paraId="746D21A2">
            <w:pPr>
              <w:adjustRightInd w:val="0"/>
              <w:snapToGrid w:val="0"/>
              <w:jc w:val="center"/>
              <w:rPr>
                <w:rFonts w:hint="eastAsia"/>
                <w:szCs w:val="21"/>
              </w:rPr>
            </w:pPr>
            <w:r>
              <w:rPr>
                <w:rFonts w:hint="eastAsia"/>
                <w:szCs w:val="21"/>
                <w:lang w:val="en-US" w:eastAsia="zh-CN"/>
              </w:rPr>
              <w:t>油烟管道</w:t>
            </w:r>
          </w:p>
        </w:tc>
        <w:tc>
          <w:tcPr>
            <w:tcW w:w="1652" w:type="dxa"/>
            <w:vAlign w:val="center"/>
          </w:tcPr>
          <w:p w14:paraId="5A202CD6">
            <w:pPr>
              <w:adjustRightInd w:val="0"/>
              <w:snapToGrid w:val="0"/>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油烟</w:t>
            </w:r>
          </w:p>
        </w:tc>
        <w:tc>
          <w:tcPr>
            <w:tcW w:w="1538" w:type="dxa"/>
            <w:vAlign w:val="center"/>
          </w:tcPr>
          <w:p w14:paraId="7EC673CE">
            <w:pPr>
              <w:adjustRightInd w:val="0"/>
              <w:snapToGrid w:val="0"/>
              <w:jc w:val="center"/>
              <w:rPr>
                <w:rFonts w:hint="eastAsia" w:eastAsia="宋体"/>
                <w:szCs w:val="21"/>
                <w:lang w:eastAsia="zh-CN"/>
              </w:rPr>
            </w:pPr>
            <w:r>
              <w:rPr>
                <w:rFonts w:hint="eastAsia"/>
                <w:szCs w:val="21"/>
                <w:lang w:eastAsia="zh-CN"/>
              </w:rPr>
              <w:t>油烟净化器</w:t>
            </w:r>
          </w:p>
        </w:tc>
        <w:tc>
          <w:tcPr>
            <w:tcW w:w="2751" w:type="dxa"/>
            <w:vAlign w:val="center"/>
          </w:tcPr>
          <w:p w14:paraId="53A37AD7">
            <w:pPr>
              <w:adjustRightInd w:val="0"/>
              <w:snapToGrid w:val="0"/>
              <w:jc w:val="center"/>
            </w:pPr>
            <w:r>
              <w:rPr>
                <w:rFonts w:hint="default" w:ascii="Times New Roman" w:hAnsi="Times New Roman" w:eastAsia="宋体" w:cs="Times New Roman"/>
                <w:color w:val="auto"/>
                <w:szCs w:val="21"/>
                <w:lang w:val="en-US" w:eastAsia="zh-CN"/>
              </w:rPr>
              <w:t>《饮食业油烟排放标准（试行）》（GB18483-2001）</w:t>
            </w:r>
          </w:p>
        </w:tc>
      </w:tr>
      <w:tr w14:paraId="59217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488" w:type="dxa"/>
            <w:vMerge w:val="continue"/>
            <w:vAlign w:val="center"/>
          </w:tcPr>
          <w:p w14:paraId="52836467">
            <w:pPr>
              <w:adjustRightInd w:val="0"/>
              <w:snapToGrid w:val="0"/>
              <w:jc w:val="center"/>
              <w:rPr>
                <w:szCs w:val="21"/>
              </w:rPr>
            </w:pPr>
          </w:p>
        </w:tc>
        <w:tc>
          <w:tcPr>
            <w:tcW w:w="1480" w:type="dxa"/>
            <w:vAlign w:val="center"/>
          </w:tcPr>
          <w:p w14:paraId="1ABC64B9">
            <w:pPr>
              <w:adjustRightInd w:val="0"/>
              <w:snapToGrid w:val="0"/>
              <w:jc w:val="center"/>
              <w:rPr>
                <w:szCs w:val="21"/>
              </w:rPr>
            </w:pPr>
            <w:r>
              <w:rPr>
                <w:szCs w:val="21"/>
              </w:rPr>
              <w:t>无组织</w:t>
            </w:r>
          </w:p>
        </w:tc>
        <w:tc>
          <w:tcPr>
            <w:tcW w:w="1652" w:type="dxa"/>
            <w:vAlign w:val="center"/>
          </w:tcPr>
          <w:p w14:paraId="72BCE2C7">
            <w:pPr>
              <w:adjustRightInd w:val="0"/>
              <w:snapToGrid w:val="0"/>
              <w:jc w:val="center"/>
              <w:rPr>
                <w:rFonts w:hint="eastAsia" w:eastAsia="宋体"/>
                <w:szCs w:val="21"/>
                <w:lang w:eastAsia="zh-CN"/>
              </w:rPr>
            </w:pPr>
            <w:r>
              <w:rPr>
                <w:rFonts w:hint="eastAsia"/>
                <w:szCs w:val="21"/>
                <w:lang w:eastAsia="zh-CN"/>
              </w:rPr>
              <w:t>颗粒物</w:t>
            </w:r>
          </w:p>
        </w:tc>
        <w:tc>
          <w:tcPr>
            <w:tcW w:w="1538" w:type="dxa"/>
            <w:vAlign w:val="center"/>
          </w:tcPr>
          <w:p w14:paraId="5895E235">
            <w:pPr>
              <w:adjustRightInd w:val="0"/>
              <w:snapToGrid w:val="0"/>
              <w:jc w:val="center"/>
              <w:rPr>
                <w:szCs w:val="21"/>
              </w:rPr>
            </w:pPr>
            <w:r>
              <w:rPr>
                <w:szCs w:val="21"/>
              </w:rPr>
              <w:t>/</w:t>
            </w:r>
          </w:p>
        </w:tc>
        <w:tc>
          <w:tcPr>
            <w:tcW w:w="2751" w:type="dxa"/>
            <w:vAlign w:val="center"/>
          </w:tcPr>
          <w:p w14:paraId="350E97F7">
            <w:pPr>
              <w:adjustRightInd w:val="0"/>
              <w:snapToGrid w:val="0"/>
              <w:jc w:val="center"/>
              <w:rPr>
                <w:bCs/>
                <w:szCs w:val="21"/>
              </w:rPr>
            </w:pPr>
            <w:r>
              <w:rPr>
                <w:szCs w:val="21"/>
              </w:rPr>
              <w:t>江苏省《大气污染物综合排放标准》（DB32/4041-2021）</w:t>
            </w:r>
          </w:p>
        </w:tc>
      </w:tr>
      <w:tr w14:paraId="474174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488" w:type="dxa"/>
            <w:vMerge w:val="restart"/>
            <w:vAlign w:val="center"/>
          </w:tcPr>
          <w:p w14:paraId="34197D5F">
            <w:pPr>
              <w:adjustRightInd w:val="0"/>
              <w:snapToGrid w:val="0"/>
              <w:jc w:val="center"/>
              <w:rPr>
                <w:szCs w:val="21"/>
              </w:rPr>
            </w:pPr>
            <w:r>
              <w:rPr>
                <w:szCs w:val="21"/>
              </w:rPr>
              <w:t>地表水环境</w:t>
            </w:r>
          </w:p>
        </w:tc>
        <w:tc>
          <w:tcPr>
            <w:tcW w:w="1480" w:type="dxa"/>
            <w:vMerge w:val="restart"/>
            <w:vAlign w:val="center"/>
          </w:tcPr>
          <w:p w14:paraId="51E772D8">
            <w:pPr>
              <w:adjustRightInd w:val="0"/>
              <w:snapToGrid w:val="0"/>
              <w:jc w:val="center"/>
              <w:rPr>
                <w:rFonts w:hint="eastAsia" w:eastAsia="宋体"/>
                <w:szCs w:val="21"/>
                <w:lang w:eastAsia="zh-CN"/>
              </w:rPr>
            </w:pPr>
            <w:r>
              <w:rPr>
                <w:rFonts w:hint="eastAsia"/>
                <w:szCs w:val="21"/>
                <w:lang w:eastAsia="zh-CN"/>
              </w:rPr>
              <w:t>废水总排口</w:t>
            </w:r>
          </w:p>
        </w:tc>
        <w:tc>
          <w:tcPr>
            <w:tcW w:w="1652" w:type="dxa"/>
            <w:vAlign w:val="center"/>
          </w:tcPr>
          <w:p w14:paraId="167E5619">
            <w:pPr>
              <w:adjustRightInd w:val="0"/>
              <w:snapToGrid w:val="0"/>
              <w:jc w:val="center"/>
              <w:rPr>
                <w:szCs w:val="21"/>
              </w:rPr>
            </w:pPr>
            <w:r>
              <w:rPr>
                <w:szCs w:val="21"/>
              </w:rPr>
              <w:t>化学需氧量</w:t>
            </w:r>
          </w:p>
        </w:tc>
        <w:tc>
          <w:tcPr>
            <w:tcW w:w="1538" w:type="dxa"/>
            <w:vMerge w:val="restart"/>
            <w:vAlign w:val="center"/>
          </w:tcPr>
          <w:p w14:paraId="082E4C15">
            <w:pPr>
              <w:adjustRightInd w:val="0"/>
              <w:snapToGrid w:val="0"/>
              <w:jc w:val="center"/>
              <w:rPr>
                <w:rFonts w:hint="eastAsia" w:eastAsia="宋体"/>
                <w:szCs w:val="21"/>
                <w:lang w:eastAsia="zh-CN"/>
              </w:rPr>
            </w:pPr>
            <w:r>
              <w:rPr>
                <w:szCs w:val="21"/>
              </w:rPr>
              <w:t>化粪池</w:t>
            </w:r>
            <w:r>
              <w:rPr>
                <w:rFonts w:hint="eastAsia"/>
                <w:szCs w:val="21"/>
                <w:lang w:eastAsia="zh-CN"/>
              </w:rPr>
              <w:t>、隔油池</w:t>
            </w:r>
          </w:p>
        </w:tc>
        <w:tc>
          <w:tcPr>
            <w:tcW w:w="2751" w:type="dxa"/>
            <w:vMerge w:val="restart"/>
            <w:vAlign w:val="center"/>
          </w:tcPr>
          <w:p w14:paraId="40C8BF07">
            <w:pPr>
              <w:wordWrap w:val="0"/>
              <w:adjustRightInd w:val="0"/>
              <w:snapToGrid w:val="0"/>
              <w:rPr>
                <w:rFonts w:hint="eastAsia" w:eastAsia="宋体"/>
                <w:szCs w:val="21"/>
                <w:lang w:eastAsia="zh-CN"/>
              </w:rPr>
            </w:pPr>
            <w:r>
              <w:rPr>
                <w:rFonts w:hint="eastAsia"/>
                <w:szCs w:val="21"/>
                <w:lang w:eastAsia="zh-CN"/>
              </w:rPr>
              <w:t>联合水务（启东）有限公司</w:t>
            </w:r>
          </w:p>
        </w:tc>
      </w:tr>
      <w:tr w14:paraId="65A78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88" w:type="dxa"/>
            <w:vMerge w:val="continue"/>
            <w:vAlign w:val="center"/>
          </w:tcPr>
          <w:p w14:paraId="354071BD">
            <w:pPr>
              <w:adjustRightInd w:val="0"/>
              <w:snapToGrid w:val="0"/>
              <w:jc w:val="center"/>
              <w:rPr>
                <w:szCs w:val="21"/>
              </w:rPr>
            </w:pPr>
          </w:p>
        </w:tc>
        <w:tc>
          <w:tcPr>
            <w:tcW w:w="1480" w:type="dxa"/>
            <w:vMerge w:val="continue"/>
            <w:vAlign w:val="center"/>
          </w:tcPr>
          <w:p w14:paraId="12CC3821">
            <w:pPr>
              <w:adjustRightInd w:val="0"/>
              <w:snapToGrid w:val="0"/>
              <w:jc w:val="center"/>
              <w:rPr>
                <w:szCs w:val="21"/>
              </w:rPr>
            </w:pPr>
          </w:p>
        </w:tc>
        <w:tc>
          <w:tcPr>
            <w:tcW w:w="1652" w:type="dxa"/>
            <w:vAlign w:val="center"/>
          </w:tcPr>
          <w:p w14:paraId="5CACA08A">
            <w:pPr>
              <w:adjustRightInd w:val="0"/>
              <w:snapToGrid w:val="0"/>
              <w:jc w:val="center"/>
              <w:rPr>
                <w:szCs w:val="21"/>
              </w:rPr>
            </w:pPr>
            <w:r>
              <w:rPr>
                <w:szCs w:val="21"/>
              </w:rPr>
              <w:t>悬浮物</w:t>
            </w:r>
          </w:p>
        </w:tc>
        <w:tc>
          <w:tcPr>
            <w:tcW w:w="1538" w:type="dxa"/>
            <w:vMerge w:val="continue"/>
            <w:vAlign w:val="center"/>
          </w:tcPr>
          <w:p w14:paraId="4C586DFD">
            <w:pPr>
              <w:adjustRightInd w:val="0"/>
              <w:snapToGrid w:val="0"/>
              <w:jc w:val="center"/>
              <w:rPr>
                <w:szCs w:val="21"/>
              </w:rPr>
            </w:pPr>
          </w:p>
        </w:tc>
        <w:tc>
          <w:tcPr>
            <w:tcW w:w="2751" w:type="dxa"/>
            <w:vMerge w:val="continue"/>
            <w:vAlign w:val="center"/>
          </w:tcPr>
          <w:p w14:paraId="2316241F">
            <w:pPr>
              <w:wordWrap w:val="0"/>
              <w:adjustRightInd w:val="0"/>
              <w:snapToGrid w:val="0"/>
              <w:rPr>
                <w:szCs w:val="21"/>
              </w:rPr>
            </w:pPr>
          </w:p>
        </w:tc>
      </w:tr>
      <w:tr w14:paraId="1DF5A4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8" w:type="dxa"/>
            <w:vMerge w:val="continue"/>
            <w:vAlign w:val="center"/>
          </w:tcPr>
          <w:p w14:paraId="12AFAECD">
            <w:pPr>
              <w:adjustRightInd w:val="0"/>
              <w:snapToGrid w:val="0"/>
              <w:jc w:val="center"/>
              <w:rPr>
                <w:szCs w:val="21"/>
              </w:rPr>
            </w:pPr>
          </w:p>
        </w:tc>
        <w:tc>
          <w:tcPr>
            <w:tcW w:w="1480" w:type="dxa"/>
            <w:vMerge w:val="continue"/>
            <w:vAlign w:val="center"/>
          </w:tcPr>
          <w:p w14:paraId="7D139709">
            <w:pPr>
              <w:adjustRightInd w:val="0"/>
              <w:snapToGrid w:val="0"/>
              <w:jc w:val="center"/>
              <w:rPr>
                <w:szCs w:val="21"/>
              </w:rPr>
            </w:pPr>
          </w:p>
        </w:tc>
        <w:tc>
          <w:tcPr>
            <w:tcW w:w="1652" w:type="dxa"/>
            <w:vAlign w:val="center"/>
          </w:tcPr>
          <w:p w14:paraId="059D4743">
            <w:pPr>
              <w:adjustRightInd w:val="0"/>
              <w:snapToGrid w:val="0"/>
              <w:jc w:val="center"/>
              <w:rPr>
                <w:szCs w:val="21"/>
              </w:rPr>
            </w:pPr>
            <w:r>
              <w:rPr>
                <w:szCs w:val="21"/>
              </w:rPr>
              <w:t>氨氮</w:t>
            </w:r>
          </w:p>
        </w:tc>
        <w:tc>
          <w:tcPr>
            <w:tcW w:w="1538" w:type="dxa"/>
            <w:vMerge w:val="continue"/>
            <w:vAlign w:val="center"/>
          </w:tcPr>
          <w:p w14:paraId="14CBA2CC">
            <w:pPr>
              <w:adjustRightInd w:val="0"/>
              <w:snapToGrid w:val="0"/>
              <w:jc w:val="center"/>
              <w:rPr>
                <w:szCs w:val="21"/>
              </w:rPr>
            </w:pPr>
          </w:p>
        </w:tc>
        <w:tc>
          <w:tcPr>
            <w:tcW w:w="2751" w:type="dxa"/>
            <w:vMerge w:val="continue"/>
            <w:vAlign w:val="center"/>
          </w:tcPr>
          <w:p w14:paraId="2DE445C3">
            <w:pPr>
              <w:adjustRightInd w:val="0"/>
              <w:snapToGrid w:val="0"/>
              <w:jc w:val="center"/>
              <w:rPr>
                <w:szCs w:val="21"/>
              </w:rPr>
            </w:pPr>
          </w:p>
        </w:tc>
      </w:tr>
      <w:tr w14:paraId="5B4424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88" w:type="dxa"/>
            <w:vMerge w:val="continue"/>
            <w:vAlign w:val="center"/>
          </w:tcPr>
          <w:p w14:paraId="58917416">
            <w:pPr>
              <w:adjustRightInd w:val="0"/>
              <w:snapToGrid w:val="0"/>
              <w:jc w:val="center"/>
              <w:rPr>
                <w:szCs w:val="21"/>
              </w:rPr>
            </w:pPr>
          </w:p>
        </w:tc>
        <w:tc>
          <w:tcPr>
            <w:tcW w:w="1480" w:type="dxa"/>
            <w:vMerge w:val="continue"/>
            <w:vAlign w:val="center"/>
          </w:tcPr>
          <w:p w14:paraId="45E33CFE">
            <w:pPr>
              <w:adjustRightInd w:val="0"/>
              <w:snapToGrid w:val="0"/>
              <w:jc w:val="center"/>
              <w:rPr>
                <w:szCs w:val="21"/>
              </w:rPr>
            </w:pPr>
          </w:p>
        </w:tc>
        <w:tc>
          <w:tcPr>
            <w:tcW w:w="1652" w:type="dxa"/>
            <w:vAlign w:val="center"/>
          </w:tcPr>
          <w:p w14:paraId="1520B369">
            <w:pPr>
              <w:adjustRightInd w:val="0"/>
              <w:snapToGrid w:val="0"/>
              <w:jc w:val="center"/>
              <w:rPr>
                <w:szCs w:val="21"/>
              </w:rPr>
            </w:pPr>
            <w:r>
              <w:rPr>
                <w:szCs w:val="21"/>
              </w:rPr>
              <w:t>总磷</w:t>
            </w:r>
          </w:p>
        </w:tc>
        <w:tc>
          <w:tcPr>
            <w:tcW w:w="1538" w:type="dxa"/>
            <w:vMerge w:val="continue"/>
            <w:vAlign w:val="center"/>
          </w:tcPr>
          <w:p w14:paraId="1F23CC10">
            <w:pPr>
              <w:adjustRightInd w:val="0"/>
              <w:snapToGrid w:val="0"/>
              <w:jc w:val="center"/>
              <w:rPr>
                <w:szCs w:val="21"/>
              </w:rPr>
            </w:pPr>
          </w:p>
        </w:tc>
        <w:tc>
          <w:tcPr>
            <w:tcW w:w="2751" w:type="dxa"/>
            <w:vMerge w:val="continue"/>
            <w:vAlign w:val="center"/>
          </w:tcPr>
          <w:p w14:paraId="2A35C925">
            <w:pPr>
              <w:adjustRightInd w:val="0"/>
              <w:snapToGrid w:val="0"/>
              <w:jc w:val="center"/>
              <w:rPr>
                <w:szCs w:val="21"/>
              </w:rPr>
            </w:pPr>
          </w:p>
        </w:tc>
      </w:tr>
      <w:tr w14:paraId="1CC10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88" w:type="dxa"/>
            <w:vMerge w:val="continue"/>
            <w:vAlign w:val="center"/>
          </w:tcPr>
          <w:p w14:paraId="1EDF4C38">
            <w:pPr>
              <w:adjustRightInd w:val="0"/>
              <w:snapToGrid w:val="0"/>
              <w:jc w:val="center"/>
              <w:rPr>
                <w:szCs w:val="21"/>
              </w:rPr>
            </w:pPr>
          </w:p>
        </w:tc>
        <w:tc>
          <w:tcPr>
            <w:tcW w:w="1480" w:type="dxa"/>
            <w:vMerge w:val="continue"/>
            <w:vAlign w:val="center"/>
          </w:tcPr>
          <w:p w14:paraId="0D97A20A">
            <w:pPr>
              <w:adjustRightInd w:val="0"/>
              <w:snapToGrid w:val="0"/>
              <w:jc w:val="center"/>
              <w:rPr>
                <w:szCs w:val="21"/>
              </w:rPr>
            </w:pPr>
          </w:p>
        </w:tc>
        <w:tc>
          <w:tcPr>
            <w:tcW w:w="1652" w:type="dxa"/>
            <w:vAlign w:val="center"/>
          </w:tcPr>
          <w:p w14:paraId="1FEF42FA">
            <w:pPr>
              <w:adjustRightInd w:val="0"/>
              <w:snapToGrid w:val="0"/>
              <w:jc w:val="center"/>
              <w:rPr>
                <w:szCs w:val="21"/>
              </w:rPr>
            </w:pPr>
            <w:r>
              <w:rPr>
                <w:szCs w:val="21"/>
              </w:rPr>
              <w:t>总氮</w:t>
            </w:r>
          </w:p>
        </w:tc>
        <w:tc>
          <w:tcPr>
            <w:tcW w:w="1538" w:type="dxa"/>
            <w:vMerge w:val="continue"/>
            <w:vAlign w:val="center"/>
          </w:tcPr>
          <w:p w14:paraId="7051A480">
            <w:pPr>
              <w:adjustRightInd w:val="0"/>
              <w:snapToGrid w:val="0"/>
              <w:jc w:val="center"/>
              <w:rPr>
                <w:szCs w:val="21"/>
              </w:rPr>
            </w:pPr>
          </w:p>
        </w:tc>
        <w:tc>
          <w:tcPr>
            <w:tcW w:w="2751" w:type="dxa"/>
            <w:vMerge w:val="continue"/>
            <w:vAlign w:val="center"/>
          </w:tcPr>
          <w:p w14:paraId="513C1D9F">
            <w:pPr>
              <w:adjustRightInd w:val="0"/>
              <w:snapToGrid w:val="0"/>
              <w:jc w:val="center"/>
              <w:rPr>
                <w:szCs w:val="21"/>
              </w:rPr>
            </w:pPr>
          </w:p>
        </w:tc>
      </w:tr>
      <w:tr w14:paraId="7D6983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88" w:type="dxa"/>
            <w:vMerge w:val="continue"/>
            <w:vAlign w:val="center"/>
          </w:tcPr>
          <w:p w14:paraId="006450EA">
            <w:pPr>
              <w:adjustRightInd w:val="0"/>
              <w:snapToGrid w:val="0"/>
              <w:jc w:val="center"/>
              <w:rPr>
                <w:szCs w:val="21"/>
              </w:rPr>
            </w:pPr>
          </w:p>
        </w:tc>
        <w:tc>
          <w:tcPr>
            <w:tcW w:w="1480" w:type="dxa"/>
            <w:vMerge w:val="continue"/>
            <w:vAlign w:val="center"/>
          </w:tcPr>
          <w:p w14:paraId="4FB08166">
            <w:pPr>
              <w:adjustRightInd w:val="0"/>
              <w:snapToGrid w:val="0"/>
              <w:jc w:val="center"/>
              <w:rPr>
                <w:szCs w:val="21"/>
              </w:rPr>
            </w:pPr>
          </w:p>
        </w:tc>
        <w:tc>
          <w:tcPr>
            <w:tcW w:w="1652" w:type="dxa"/>
            <w:vAlign w:val="center"/>
          </w:tcPr>
          <w:p w14:paraId="68DD9E2A">
            <w:pPr>
              <w:adjustRightInd w:val="0"/>
              <w:snapToGrid w:val="0"/>
              <w:jc w:val="center"/>
              <w:rPr>
                <w:rFonts w:hint="eastAsia" w:eastAsia="宋体"/>
                <w:szCs w:val="21"/>
                <w:lang w:eastAsia="zh-CN"/>
              </w:rPr>
            </w:pPr>
            <w:r>
              <w:rPr>
                <w:rFonts w:hint="eastAsia"/>
                <w:szCs w:val="21"/>
                <w:lang w:eastAsia="zh-CN"/>
              </w:rPr>
              <w:t>动植物油</w:t>
            </w:r>
          </w:p>
        </w:tc>
        <w:tc>
          <w:tcPr>
            <w:tcW w:w="1538" w:type="dxa"/>
            <w:vMerge w:val="continue"/>
            <w:vAlign w:val="center"/>
          </w:tcPr>
          <w:p w14:paraId="2CF37AC9">
            <w:pPr>
              <w:adjustRightInd w:val="0"/>
              <w:snapToGrid w:val="0"/>
              <w:jc w:val="center"/>
              <w:rPr>
                <w:szCs w:val="21"/>
              </w:rPr>
            </w:pPr>
          </w:p>
        </w:tc>
        <w:tc>
          <w:tcPr>
            <w:tcW w:w="2751" w:type="dxa"/>
            <w:vMerge w:val="continue"/>
            <w:vAlign w:val="center"/>
          </w:tcPr>
          <w:p w14:paraId="23212C63">
            <w:pPr>
              <w:adjustRightInd w:val="0"/>
              <w:snapToGrid w:val="0"/>
              <w:jc w:val="center"/>
              <w:rPr>
                <w:szCs w:val="21"/>
              </w:rPr>
            </w:pPr>
          </w:p>
        </w:tc>
      </w:tr>
      <w:tr w14:paraId="792613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88" w:type="dxa"/>
            <w:vAlign w:val="center"/>
          </w:tcPr>
          <w:p w14:paraId="3501C905">
            <w:pPr>
              <w:adjustRightInd w:val="0"/>
              <w:snapToGrid w:val="0"/>
              <w:jc w:val="center"/>
              <w:rPr>
                <w:szCs w:val="21"/>
              </w:rPr>
            </w:pPr>
            <w:r>
              <w:rPr>
                <w:szCs w:val="21"/>
              </w:rPr>
              <w:t>声环境</w:t>
            </w:r>
          </w:p>
        </w:tc>
        <w:tc>
          <w:tcPr>
            <w:tcW w:w="1480" w:type="dxa"/>
            <w:vAlign w:val="center"/>
          </w:tcPr>
          <w:p w14:paraId="0AB63B57">
            <w:pPr>
              <w:adjustRightInd w:val="0"/>
              <w:snapToGrid w:val="0"/>
              <w:jc w:val="center"/>
              <w:rPr>
                <w:szCs w:val="21"/>
              </w:rPr>
            </w:pPr>
            <w:r>
              <w:rPr>
                <w:szCs w:val="21"/>
              </w:rPr>
              <w:t>生产设备</w:t>
            </w:r>
          </w:p>
        </w:tc>
        <w:tc>
          <w:tcPr>
            <w:tcW w:w="1652" w:type="dxa"/>
            <w:vAlign w:val="center"/>
          </w:tcPr>
          <w:p w14:paraId="0B3B80C8">
            <w:pPr>
              <w:adjustRightInd w:val="0"/>
              <w:snapToGrid w:val="0"/>
              <w:jc w:val="center"/>
              <w:rPr>
                <w:szCs w:val="21"/>
              </w:rPr>
            </w:pPr>
            <w:r>
              <w:rPr>
                <w:szCs w:val="21"/>
              </w:rPr>
              <w:t>噪声</w:t>
            </w:r>
          </w:p>
        </w:tc>
        <w:tc>
          <w:tcPr>
            <w:tcW w:w="1538" w:type="dxa"/>
            <w:vAlign w:val="center"/>
          </w:tcPr>
          <w:p w14:paraId="012BBEF6">
            <w:pPr>
              <w:adjustRightInd w:val="0"/>
              <w:snapToGrid w:val="0"/>
              <w:jc w:val="center"/>
              <w:rPr>
                <w:szCs w:val="21"/>
              </w:rPr>
            </w:pPr>
            <w:r>
              <w:rPr>
                <w:szCs w:val="21"/>
              </w:rPr>
              <w:t>隔声、减振等</w:t>
            </w:r>
          </w:p>
        </w:tc>
        <w:tc>
          <w:tcPr>
            <w:tcW w:w="2751" w:type="dxa"/>
            <w:vAlign w:val="center"/>
          </w:tcPr>
          <w:p w14:paraId="6B0C847D">
            <w:pPr>
              <w:wordWrap w:val="0"/>
              <w:adjustRightInd w:val="0"/>
              <w:snapToGrid w:val="0"/>
              <w:rPr>
                <w:rFonts w:hint="eastAsia"/>
                <w:lang w:eastAsia="zh-CN"/>
              </w:rPr>
            </w:pPr>
            <w:r>
              <w:rPr>
                <w:rFonts w:hint="eastAsia" w:ascii="Times New Roman" w:hAnsi="Times New Roman" w:eastAsia="宋体" w:cs="Times New Roman"/>
                <w:szCs w:val="21"/>
                <w:lang w:eastAsia="zh-CN"/>
              </w:rPr>
              <w:t>执行《工业企业厂界环境噪声排放标准》（GB12348-2008）</w:t>
            </w:r>
            <w:r>
              <w:rPr>
                <w:rFonts w:hint="eastAsia" w:cs="Times New Roman"/>
                <w:szCs w:val="21"/>
                <w:lang w:val="en-US" w:eastAsia="zh-CN"/>
              </w:rPr>
              <w:t>3</w:t>
            </w:r>
            <w:r>
              <w:rPr>
                <w:rFonts w:hint="eastAsia" w:ascii="Times New Roman" w:hAnsi="Times New Roman" w:eastAsia="宋体" w:cs="Times New Roman"/>
                <w:szCs w:val="21"/>
                <w:lang w:eastAsia="zh-CN"/>
              </w:rPr>
              <w:t>类标准；</w:t>
            </w:r>
          </w:p>
        </w:tc>
      </w:tr>
      <w:tr w14:paraId="7A583C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88" w:type="dxa"/>
            <w:vAlign w:val="center"/>
          </w:tcPr>
          <w:p w14:paraId="5DFB4F3E">
            <w:pPr>
              <w:adjustRightInd w:val="0"/>
              <w:snapToGrid w:val="0"/>
              <w:jc w:val="center"/>
              <w:rPr>
                <w:szCs w:val="21"/>
              </w:rPr>
            </w:pPr>
            <w:r>
              <w:rPr>
                <w:szCs w:val="21"/>
              </w:rPr>
              <w:t>电磁辐射</w:t>
            </w:r>
          </w:p>
        </w:tc>
        <w:tc>
          <w:tcPr>
            <w:tcW w:w="1480" w:type="dxa"/>
            <w:vAlign w:val="center"/>
          </w:tcPr>
          <w:p w14:paraId="7B7FFCDE">
            <w:pPr>
              <w:adjustRightInd w:val="0"/>
              <w:snapToGrid w:val="0"/>
              <w:jc w:val="center"/>
              <w:rPr>
                <w:szCs w:val="21"/>
              </w:rPr>
            </w:pPr>
            <w:r>
              <w:rPr>
                <w:szCs w:val="21"/>
              </w:rPr>
              <w:t>/</w:t>
            </w:r>
          </w:p>
        </w:tc>
        <w:tc>
          <w:tcPr>
            <w:tcW w:w="1652" w:type="dxa"/>
            <w:vAlign w:val="center"/>
          </w:tcPr>
          <w:p w14:paraId="6EDDAEEB">
            <w:pPr>
              <w:adjustRightInd w:val="0"/>
              <w:snapToGrid w:val="0"/>
              <w:jc w:val="center"/>
              <w:rPr>
                <w:szCs w:val="21"/>
              </w:rPr>
            </w:pPr>
            <w:r>
              <w:rPr>
                <w:szCs w:val="21"/>
              </w:rPr>
              <w:t>/</w:t>
            </w:r>
          </w:p>
        </w:tc>
        <w:tc>
          <w:tcPr>
            <w:tcW w:w="1538" w:type="dxa"/>
            <w:vAlign w:val="center"/>
          </w:tcPr>
          <w:p w14:paraId="0B2B9AAB">
            <w:pPr>
              <w:adjustRightInd w:val="0"/>
              <w:snapToGrid w:val="0"/>
              <w:jc w:val="center"/>
              <w:rPr>
                <w:szCs w:val="21"/>
              </w:rPr>
            </w:pPr>
            <w:r>
              <w:rPr>
                <w:szCs w:val="21"/>
              </w:rPr>
              <w:t>/</w:t>
            </w:r>
          </w:p>
        </w:tc>
        <w:tc>
          <w:tcPr>
            <w:tcW w:w="2751" w:type="dxa"/>
            <w:vAlign w:val="center"/>
          </w:tcPr>
          <w:p w14:paraId="71884511">
            <w:pPr>
              <w:adjustRightInd w:val="0"/>
              <w:snapToGrid w:val="0"/>
              <w:jc w:val="center"/>
              <w:rPr>
                <w:szCs w:val="21"/>
              </w:rPr>
            </w:pPr>
            <w:r>
              <w:rPr>
                <w:szCs w:val="21"/>
              </w:rPr>
              <w:t>/</w:t>
            </w:r>
          </w:p>
        </w:tc>
      </w:tr>
      <w:tr w14:paraId="01F8EC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488" w:type="dxa"/>
            <w:vAlign w:val="center"/>
          </w:tcPr>
          <w:p w14:paraId="5BC126D6">
            <w:pPr>
              <w:adjustRightInd w:val="0"/>
              <w:snapToGrid w:val="0"/>
              <w:jc w:val="center"/>
              <w:rPr>
                <w:szCs w:val="21"/>
              </w:rPr>
            </w:pPr>
            <w:r>
              <w:rPr>
                <w:szCs w:val="21"/>
              </w:rPr>
              <w:t>固体废物</w:t>
            </w:r>
          </w:p>
        </w:tc>
        <w:tc>
          <w:tcPr>
            <w:tcW w:w="7421" w:type="dxa"/>
            <w:gridSpan w:val="4"/>
            <w:vAlign w:val="center"/>
          </w:tcPr>
          <w:p w14:paraId="3D4EC4A8">
            <w:pPr>
              <w:adjustRightInd w:val="0"/>
              <w:snapToGrid w:val="0"/>
              <w:spacing w:line="360" w:lineRule="exact"/>
              <w:ind w:firstLine="420" w:firstLineChars="200"/>
              <w:rPr>
                <w:szCs w:val="21"/>
              </w:rPr>
            </w:pPr>
            <w:r>
              <w:rPr>
                <w:rFonts w:hint="eastAsia"/>
                <w:szCs w:val="21"/>
              </w:rPr>
              <w:t>生活垃圾、未燃尽的生活垃圾运回启东天楹环保有限责任公司，废金属料外售，泥饼外售，废润滑油、废润滑油桶等危险废物委托有资质的单位处置。</w:t>
            </w:r>
          </w:p>
        </w:tc>
      </w:tr>
      <w:tr w14:paraId="635ECE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8" w:type="dxa"/>
            <w:vAlign w:val="center"/>
          </w:tcPr>
          <w:p w14:paraId="2F0CD154">
            <w:pPr>
              <w:adjustRightInd w:val="0"/>
              <w:snapToGrid w:val="0"/>
              <w:jc w:val="center"/>
              <w:rPr>
                <w:szCs w:val="21"/>
              </w:rPr>
            </w:pPr>
            <w:r>
              <w:rPr>
                <w:szCs w:val="21"/>
              </w:rPr>
              <w:t>土壤及地下水</w:t>
            </w:r>
          </w:p>
          <w:p w14:paraId="514E3B22">
            <w:pPr>
              <w:adjustRightInd w:val="0"/>
              <w:snapToGrid w:val="0"/>
              <w:jc w:val="center"/>
              <w:rPr>
                <w:szCs w:val="21"/>
              </w:rPr>
            </w:pPr>
            <w:r>
              <w:rPr>
                <w:szCs w:val="21"/>
              </w:rPr>
              <w:t>污染防治措施</w:t>
            </w:r>
          </w:p>
        </w:tc>
        <w:tc>
          <w:tcPr>
            <w:tcW w:w="7421" w:type="dxa"/>
            <w:gridSpan w:val="4"/>
            <w:vAlign w:val="center"/>
          </w:tcPr>
          <w:p w14:paraId="13DF586F">
            <w:pPr>
              <w:adjustRightInd w:val="0"/>
              <w:snapToGrid w:val="0"/>
              <w:spacing w:line="360" w:lineRule="exact"/>
              <w:ind w:firstLine="420" w:firstLineChars="200"/>
              <w:rPr>
                <w:szCs w:val="21"/>
              </w:rPr>
            </w:pPr>
            <w:r>
              <w:rPr>
                <w:szCs w:val="21"/>
              </w:rPr>
              <w:t>针对本项目生产过程中废水及固体废物产生、输送和处理过程，采取合理有效的工程措施可防止污染物对地下水、土壤的污染。（1）源头控制：新建项目输水、排水管道等必须采取防渗措施，杜绝各类废水下渗的通道。另外，应严格废水的管理，强调节约用水，防止污水</w:t>
            </w:r>
            <w:r>
              <w:rPr>
                <w:rFonts w:hint="eastAsia"/>
                <w:szCs w:val="21"/>
              </w:rPr>
              <w:t>“</w:t>
            </w:r>
            <w:r>
              <w:rPr>
                <w:szCs w:val="21"/>
              </w:rPr>
              <w:t>跑、冒、滴、漏</w:t>
            </w:r>
            <w:r>
              <w:rPr>
                <w:rFonts w:hint="eastAsia"/>
                <w:szCs w:val="21"/>
              </w:rPr>
              <w:t>”</w:t>
            </w:r>
            <w:r>
              <w:rPr>
                <w:szCs w:val="21"/>
              </w:rPr>
              <w:t>，确保污水处理系统的正常运行。</w:t>
            </w:r>
          </w:p>
          <w:p w14:paraId="1E9D7D42">
            <w:pPr>
              <w:adjustRightInd w:val="0"/>
              <w:snapToGrid w:val="0"/>
              <w:spacing w:line="360" w:lineRule="exact"/>
              <w:ind w:firstLine="420" w:firstLineChars="200"/>
              <w:rPr>
                <w:szCs w:val="21"/>
              </w:rPr>
            </w:pPr>
            <w:r>
              <w:rPr>
                <w:szCs w:val="21"/>
              </w:rPr>
              <w:t>污水的转移运输管线敷设尽量采用</w:t>
            </w:r>
            <w:r>
              <w:rPr>
                <w:rFonts w:hint="eastAsia"/>
                <w:szCs w:val="21"/>
              </w:rPr>
              <w:t>“</w:t>
            </w:r>
            <w:r>
              <w:rPr>
                <w:szCs w:val="21"/>
              </w:rPr>
              <w:t>可视化</w:t>
            </w:r>
            <w:r>
              <w:rPr>
                <w:rFonts w:hint="eastAsia"/>
                <w:szCs w:val="21"/>
              </w:rPr>
              <w:t>”</w:t>
            </w:r>
            <w:r>
              <w:rPr>
                <w:szCs w:val="21"/>
              </w:rPr>
              <w:t>原则，即管道尽可能地上敷设，做到污染物</w:t>
            </w:r>
            <w:r>
              <w:rPr>
                <w:rFonts w:hint="eastAsia"/>
                <w:szCs w:val="21"/>
              </w:rPr>
              <w:t>“</w:t>
            </w:r>
            <w:r>
              <w:rPr>
                <w:szCs w:val="21"/>
              </w:rPr>
              <w:t>早发现、早处理</w:t>
            </w:r>
            <w:r>
              <w:rPr>
                <w:rFonts w:hint="eastAsia"/>
                <w:szCs w:val="21"/>
              </w:rPr>
              <w:t>”</w:t>
            </w:r>
            <w:r>
              <w:rPr>
                <w:szCs w:val="21"/>
              </w:rPr>
              <w:t>，以减少由于埋地管道泄漏而可能造成地下水污染。并且接口处要定期检查以免漏水。（2）末端控制：分区防控。主要包括厂内污染区地面的防渗措施和泄漏、渗漏污染物收集措施，从而避免对地下水的污染。结合项目各生产设备、贮存等因素，根据项目场地天然包气带防污性能、污染控制难易程度和污染物特性对全厂进行分区防控。</w:t>
            </w:r>
          </w:p>
        </w:tc>
      </w:tr>
      <w:tr w14:paraId="71B510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88" w:type="dxa"/>
            <w:vAlign w:val="center"/>
          </w:tcPr>
          <w:p w14:paraId="673AE71A">
            <w:pPr>
              <w:adjustRightInd w:val="0"/>
              <w:snapToGrid w:val="0"/>
              <w:jc w:val="center"/>
              <w:rPr>
                <w:szCs w:val="21"/>
              </w:rPr>
            </w:pPr>
            <w:r>
              <w:rPr>
                <w:szCs w:val="21"/>
              </w:rPr>
              <w:t>生态保护措施</w:t>
            </w:r>
          </w:p>
        </w:tc>
        <w:tc>
          <w:tcPr>
            <w:tcW w:w="7421" w:type="dxa"/>
            <w:gridSpan w:val="4"/>
            <w:vAlign w:val="center"/>
          </w:tcPr>
          <w:p w14:paraId="7CA77A9E">
            <w:pPr>
              <w:adjustRightInd w:val="0"/>
              <w:snapToGrid w:val="0"/>
              <w:spacing w:line="360" w:lineRule="exact"/>
              <w:jc w:val="center"/>
              <w:rPr>
                <w:szCs w:val="21"/>
              </w:rPr>
            </w:pPr>
            <w:r>
              <w:rPr>
                <w:szCs w:val="21"/>
              </w:rPr>
              <w:t>/</w:t>
            </w:r>
          </w:p>
        </w:tc>
      </w:tr>
      <w:tr w14:paraId="569A7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5" w:hRule="atLeast"/>
          <w:jc w:val="center"/>
        </w:trPr>
        <w:tc>
          <w:tcPr>
            <w:tcW w:w="1488" w:type="dxa"/>
            <w:vAlign w:val="center"/>
          </w:tcPr>
          <w:p w14:paraId="7B6B75E5">
            <w:pPr>
              <w:adjustRightInd w:val="0"/>
              <w:snapToGrid w:val="0"/>
              <w:jc w:val="center"/>
              <w:rPr>
                <w:szCs w:val="21"/>
              </w:rPr>
            </w:pPr>
            <w:r>
              <w:rPr>
                <w:szCs w:val="21"/>
              </w:rPr>
              <w:t>环境风险</w:t>
            </w:r>
          </w:p>
          <w:p w14:paraId="751DF691">
            <w:pPr>
              <w:adjustRightInd w:val="0"/>
              <w:snapToGrid w:val="0"/>
              <w:jc w:val="center"/>
              <w:rPr>
                <w:spacing w:val="-8"/>
                <w:szCs w:val="21"/>
              </w:rPr>
            </w:pPr>
            <w:r>
              <w:rPr>
                <w:szCs w:val="21"/>
              </w:rPr>
              <w:t>防范措施</w:t>
            </w:r>
          </w:p>
        </w:tc>
        <w:tc>
          <w:tcPr>
            <w:tcW w:w="7421" w:type="dxa"/>
            <w:gridSpan w:val="4"/>
            <w:vAlign w:val="center"/>
          </w:tcPr>
          <w:p w14:paraId="3E433577">
            <w:pPr>
              <w:adjustRightInd w:val="0"/>
              <w:snapToGrid w:val="0"/>
              <w:spacing w:line="360" w:lineRule="exact"/>
              <w:ind w:firstLine="420" w:firstLineChars="200"/>
              <w:rPr>
                <w:szCs w:val="21"/>
              </w:rPr>
            </w:pPr>
            <w:r>
              <w:rPr>
                <w:szCs w:val="21"/>
              </w:rPr>
              <w:t xml:space="preserve">①建立健全各种有关消防与安全生产的规章制度，建立岗位责任制。仓库、生产车间严禁明火。生产车间、公用工程、仓库等场所配置足量的泡沫、干粉等灭火器，并保持完好状态。 </w:t>
            </w:r>
          </w:p>
          <w:p w14:paraId="0F1F562A">
            <w:pPr>
              <w:adjustRightInd w:val="0"/>
              <w:snapToGrid w:val="0"/>
              <w:spacing w:line="360" w:lineRule="exact"/>
              <w:ind w:firstLine="420" w:firstLineChars="200"/>
              <w:rPr>
                <w:szCs w:val="21"/>
              </w:rPr>
            </w:pPr>
            <w:r>
              <w:rPr>
                <w:szCs w:val="21"/>
              </w:rPr>
              <w:t>②厂区留有足够的消防通道。生产车间、仓库设置消防给水管道和消防栓。厂部要组织义务消防员，并进行定期的培训和训练。对有火灾危险的场所设置自动报警系统，一旦发生火灾，立即做出应急反应。</w:t>
            </w:r>
          </w:p>
          <w:p w14:paraId="01B26C58">
            <w:pPr>
              <w:adjustRightInd w:val="0"/>
              <w:snapToGrid w:val="0"/>
              <w:spacing w:line="360" w:lineRule="exact"/>
              <w:ind w:firstLine="420" w:firstLineChars="200"/>
              <w:rPr>
                <w:szCs w:val="21"/>
              </w:rPr>
            </w:pPr>
            <w:r>
              <w:rPr>
                <w:szCs w:val="21"/>
              </w:rPr>
              <w:t xml:space="preserve">③对于危废仓库，建设单位拟设置监控系统，主要在仓库出入口、仓库内、厂门口等关键位置安装视频监控设施，进行实时监控，并与中控室联网。厂区门口拟设置危废信息公开栏，危废仓库外墙及各类危废贮存处墙面设置贮存设施警示标志牌。贮存过程建设单位拟在液态危险废物贮存容器下方设置不锈钢托盘，或在危废暂存场所设置地沟等，发生少量泄漏立即将容器内剩余溶液转移，并收集托盘、地沟内泄漏液体，防止泄漏物料挥发到大气中。 </w:t>
            </w:r>
          </w:p>
          <w:p w14:paraId="6649BF77">
            <w:pPr>
              <w:adjustRightInd w:val="0"/>
              <w:snapToGrid w:val="0"/>
              <w:spacing w:line="360" w:lineRule="exact"/>
              <w:ind w:firstLine="420" w:firstLineChars="200"/>
              <w:rPr>
                <w:szCs w:val="21"/>
              </w:rPr>
            </w:pPr>
            <w:r>
              <w:rPr>
                <w:szCs w:val="21"/>
              </w:rPr>
              <w:t>④仓库设置导流沟，厂区内的雨水管道、事故沟收集系统要严格分开，设置切换阀。</w:t>
            </w:r>
          </w:p>
        </w:tc>
      </w:tr>
      <w:tr w14:paraId="342EB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4" w:hRule="atLeast"/>
          <w:jc w:val="center"/>
        </w:trPr>
        <w:tc>
          <w:tcPr>
            <w:tcW w:w="1488" w:type="dxa"/>
            <w:vAlign w:val="center"/>
          </w:tcPr>
          <w:p w14:paraId="679342DF">
            <w:pPr>
              <w:adjustRightInd w:val="0"/>
              <w:snapToGrid w:val="0"/>
              <w:jc w:val="center"/>
              <w:rPr>
                <w:spacing w:val="-8"/>
                <w:szCs w:val="21"/>
              </w:rPr>
            </w:pPr>
            <w:r>
              <w:rPr>
                <w:spacing w:val="-8"/>
                <w:szCs w:val="21"/>
              </w:rPr>
              <w:t>其他环境</w:t>
            </w:r>
          </w:p>
          <w:p w14:paraId="3FC79A0D">
            <w:pPr>
              <w:adjustRightInd w:val="0"/>
              <w:snapToGrid w:val="0"/>
              <w:jc w:val="center"/>
              <w:rPr>
                <w:spacing w:val="-8"/>
                <w:szCs w:val="21"/>
              </w:rPr>
            </w:pPr>
            <w:r>
              <w:rPr>
                <w:spacing w:val="-8"/>
                <w:szCs w:val="21"/>
              </w:rPr>
              <w:t>管理要求</w:t>
            </w:r>
          </w:p>
        </w:tc>
        <w:tc>
          <w:tcPr>
            <w:tcW w:w="7421" w:type="dxa"/>
            <w:gridSpan w:val="4"/>
            <w:vAlign w:val="center"/>
          </w:tcPr>
          <w:p w14:paraId="5E91E390">
            <w:pPr>
              <w:adjustRightInd w:val="0"/>
              <w:snapToGrid w:val="0"/>
              <w:spacing w:line="360" w:lineRule="exact"/>
              <w:ind w:firstLine="420" w:firstLineChars="200"/>
            </w:pPr>
            <w:r>
              <w:t>①项目的建设应切实履行配套的环境保护设施与主体工程同时设计、同时施工、同时投产使用的</w:t>
            </w:r>
            <w:r>
              <w:rPr>
                <w:szCs w:val="21"/>
              </w:rPr>
              <w:t>“</w:t>
            </w:r>
            <w:r>
              <w:t>三同时</w:t>
            </w:r>
            <w:r>
              <w:rPr>
                <w:szCs w:val="21"/>
              </w:rPr>
              <w:t>”</w:t>
            </w:r>
            <w:r>
              <w:t>制度。</w:t>
            </w:r>
          </w:p>
          <w:p w14:paraId="66C45025">
            <w:pPr>
              <w:adjustRightInd w:val="0"/>
              <w:snapToGrid w:val="0"/>
              <w:spacing w:line="360" w:lineRule="exact"/>
              <w:ind w:firstLine="420" w:firstLineChars="200"/>
            </w:pPr>
            <w:r>
              <w:t>②应按有关法规的要求，严格执行排污许可制度。</w:t>
            </w:r>
            <w:r>
              <w:rPr>
                <w:rFonts w:hint="eastAsia"/>
              </w:rPr>
              <w:t>对照《固定污染源排污许可分类管理名录》（2019年版），项目属于“四十五、生态保护和环境治理业77—环境治理业772—专业从事一般工业固体废物贮存、处置（含焚烧发电）的，为重点管理。</w:t>
            </w:r>
          </w:p>
          <w:p w14:paraId="212105B8">
            <w:pPr>
              <w:adjustRightInd w:val="0"/>
              <w:snapToGrid w:val="0"/>
              <w:spacing w:line="360" w:lineRule="exact"/>
              <w:ind w:firstLine="420" w:firstLineChars="200"/>
            </w:pPr>
            <w:r>
              <w:t>③本项目配套建设的环境保护设施必须与主体工程同时建成和投产使用，并按规定程序实施竣工环境保护验收，验收合格方可投入生产。</w:t>
            </w:r>
          </w:p>
          <w:p w14:paraId="6D0F6447">
            <w:pPr>
              <w:adjustRightInd w:val="0"/>
              <w:snapToGrid w:val="0"/>
              <w:spacing w:line="360" w:lineRule="exact"/>
              <w:ind w:firstLine="420" w:firstLineChars="200"/>
            </w:pPr>
            <w:r>
              <w:t>④项目的性质、规模、地点、采用的生产工艺或者防治污染、防止生态破坏的措施发生重大变动的应当重新报批环境影响报告表。自环评批复之日起超过5年，方决定项目开工建设的，其环境影响报告表应重新报批审核。</w:t>
            </w:r>
          </w:p>
          <w:p w14:paraId="140708AC">
            <w:pPr>
              <w:adjustRightInd w:val="0"/>
              <w:snapToGrid w:val="0"/>
              <w:spacing w:line="360" w:lineRule="exact"/>
              <w:ind w:firstLine="420" w:firstLineChars="200"/>
            </w:pPr>
            <w:r>
              <w:t>⑤建设单位应根据《关于做好生态环境和应急管理部门联动工作的意见》（苏环办〔2020〕101号），开展环保设施安全风险辨识，健全内部污染防治设施稳定运行和管理责任制度，严格依据标准规范建设环境治理设施，确保环境治理设施安全、稳定、有效运行。</w:t>
            </w:r>
          </w:p>
        </w:tc>
      </w:tr>
    </w:tbl>
    <w:p w14:paraId="0A13E0D0">
      <w:pPr>
        <w:sectPr>
          <w:pgSz w:w="11906" w:h="16838"/>
          <w:pgMar w:top="1701" w:right="1531" w:bottom="1701" w:left="1531" w:header="851" w:footer="794" w:gutter="0"/>
          <w:pgBorders>
            <w:top w:val="none" w:sz="0" w:space="0"/>
            <w:left w:val="none" w:sz="0" w:space="0"/>
            <w:bottom w:val="none" w:sz="0" w:space="0"/>
            <w:right w:val="none" w:sz="0" w:space="0"/>
          </w:pgBorders>
          <w:pgNumType w:fmt="numberInDash"/>
          <w:cols w:space="720" w:num="1"/>
          <w:docGrid w:type="lines" w:linePitch="315" w:charSpace="0"/>
        </w:sectPr>
      </w:pPr>
    </w:p>
    <w:p w14:paraId="0EC0787C">
      <w:pPr>
        <w:jc w:val="center"/>
        <w:outlineLvl w:val="0"/>
        <w:rPr>
          <w:rFonts w:ascii="黑体" w:hAnsi="黑体" w:eastAsia="黑体"/>
          <w:sz w:val="30"/>
          <w:szCs w:val="30"/>
        </w:rPr>
      </w:pPr>
      <w:r>
        <w:rPr>
          <w:rFonts w:hint="eastAsia" w:ascii="黑体" w:hAnsi="黑体" w:eastAsia="黑体"/>
          <w:sz w:val="30"/>
          <w:szCs w:val="30"/>
        </w:rPr>
        <w:t>六、结论</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8"/>
      </w:tblGrid>
      <w:tr w14:paraId="5736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7" w:hRule="atLeast"/>
          <w:jc w:val="center"/>
        </w:trPr>
        <w:tc>
          <w:tcPr>
            <w:tcW w:w="8958" w:type="dxa"/>
          </w:tcPr>
          <w:p w14:paraId="540E8F6E">
            <w:pPr>
              <w:adjustRightInd w:val="0"/>
              <w:snapToGrid w:val="0"/>
              <w:spacing w:line="500" w:lineRule="exact"/>
              <w:ind w:firstLine="420" w:firstLineChars="200"/>
              <w:rPr>
                <w:szCs w:val="21"/>
              </w:rPr>
            </w:pPr>
            <w:r>
              <w:rPr>
                <w:szCs w:val="21"/>
              </w:rPr>
              <w:t>综上所述，项目符合国家相关产业政策，选址合理，符合清洁生产要求，污染防治措施可行，在认真落实各项环境污染治理和环境管理措施的前提下，各污染物均能实现达标排放且环境影响较小；企业必须切实落实事故防范措施杜绝事故的发生，同时建立完善的事故应急预案，将事故对环境的影响降至最小。从环保角度看，</w:t>
            </w:r>
            <w:r>
              <w:rPr>
                <w:rFonts w:hint="eastAsia"/>
                <w:szCs w:val="21"/>
              </w:rPr>
              <w:t>启东真诚环保科技有限公司在启东生命健康产业园常州路38号建设“</w:t>
            </w:r>
            <w:r>
              <w:rPr>
                <w:rFonts w:hint="eastAsia"/>
                <w:szCs w:val="21"/>
                <w:lang w:eastAsia="zh-CN"/>
              </w:rPr>
              <w:t>垃圾渣处置和综合利用项目</w:t>
            </w:r>
            <w:r>
              <w:rPr>
                <w:rFonts w:hint="eastAsia"/>
                <w:szCs w:val="21"/>
              </w:rPr>
              <w:t>”</w:t>
            </w:r>
            <w:r>
              <w:rPr>
                <w:szCs w:val="21"/>
              </w:rPr>
              <w:t>具有环境可行性。</w:t>
            </w:r>
          </w:p>
          <w:p w14:paraId="7B27C222">
            <w:pPr>
              <w:adjustRightInd w:val="0"/>
              <w:snapToGrid w:val="0"/>
              <w:spacing w:line="500" w:lineRule="exact"/>
              <w:ind w:firstLine="420" w:firstLineChars="200"/>
              <w:rPr>
                <w:szCs w:val="21"/>
              </w:rPr>
            </w:pPr>
          </w:p>
          <w:p w14:paraId="6271CA5C">
            <w:pPr>
              <w:adjustRightInd w:val="0"/>
              <w:snapToGrid w:val="0"/>
              <w:spacing w:line="500" w:lineRule="exact"/>
              <w:ind w:firstLine="420" w:firstLineChars="200"/>
              <w:rPr>
                <w:szCs w:val="21"/>
              </w:rPr>
            </w:pPr>
          </w:p>
          <w:p w14:paraId="6CE9F3A1">
            <w:pPr>
              <w:adjustRightInd w:val="0"/>
              <w:snapToGrid w:val="0"/>
              <w:spacing w:line="500" w:lineRule="exact"/>
              <w:ind w:firstLine="420" w:firstLineChars="200"/>
              <w:rPr>
                <w:szCs w:val="21"/>
              </w:rPr>
            </w:pPr>
          </w:p>
          <w:p w14:paraId="1D3BFA9D">
            <w:pPr>
              <w:adjustRightInd w:val="0"/>
              <w:snapToGrid w:val="0"/>
              <w:spacing w:line="500" w:lineRule="exact"/>
              <w:ind w:firstLine="420" w:firstLineChars="200"/>
              <w:rPr>
                <w:szCs w:val="21"/>
              </w:rPr>
            </w:pPr>
          </w:p>
          <w:p w14:paraId="483D004E">
            <w:pPr>
              <w:adjustRightInd w:val="0"/>
              <w:snapToGrid w:val="0"/>
              <w:spacing w:line="500" w:lineRule="exact"/>
              <w:ind w:firstLine="420" w:firstLineChars="200"/>
              <w:rPr>
                <w:szCs w:val="21"/>
              </w:rPr>
            </w:pPr>
          </w:p>
          <w:p w14:paraId="69AA4777">
            <w:pPr>
              <w:adjustRightInd w:val="0"/>
              <w:snapToGrid w:val="0"/>
              <w:spacing w:line="500" w:lineRule="exact"/>
              <w:ind w:firstLine="420" w:firstLineChars="200"/>
              <w:rPr>
                <w:szCs w:val="21"/>
              </w:rPr>
            </w:pPr>
          </w:p>
          <w:p w14:paraId="56AB2629">
            <w:pPr>
              <w:adjustRightInd w:val="0"/>
              <w:snapToGrid w:val="0"/>
              <w:spacing w:line="500" w:lineRule="exact"/>
              <w:ind w:firstLine="420" w:firstLineChars="200"/>
              <w:rPr>
                <w:szCs w:val="21"/>
              </w:rPr>
            </w:pPr>
          </w:p>
          <w:p w14:paraId="5B9DCA12">
            <w:pPr>
              <w:adjustRightInd w:val="0"/>
              <w:snapToGrid w:val="0"/>
              <w:spacing w:line="500" w:lineRule="exact"/>
              <w:ind w:firstLine="420" w:firstLineChars="200"/>
              <w:rPr>
                <w:szCs w:val="21"/>
              </w:rPr>
            </w:pPr>
          </w:p>
          <w:p w14:paraId="3C812CE4">
            <w:pPr>
              <w:adjustRightInd w:val="0"/>
              <w:snapToGrid w:val="0"/>
              <w:spacing w:line="500" w:lineRule="exact"/>
              <w:ind w:firstLine="420" w:firstLineChars="200"/>
              <w:rPr>
                <w:szCs w:val="21"/>
              </w:rPr>
            </w:pPr>
          </w:p>
        </w:tc>
      </w:tr>
    </w:tbl>
    <w:p w14:paraId="4438CD41">
      <w:pPr>
        <w:sectPr>
          <w:pgSz w:w="11906" w:h="16838"/>
          <w:pgMar w:top="1701" w:right="1531" w:bottom="1701" w:left="1531" w:header="851" w:footer="794" w:gutter="0"/>
          <w:pgBorders>
            <w:top w:val="none" w:sz="0" w:space="0"/>
            <w:left w:val="none" w:sz="0" w:space="0"/>
            <w:bottom w:val="none" w:sz="0" w:space="0"/>
            <w:right w:val="none" w:sz="0" w:space="0"/>
          </w:pgBorders>
          <w:pgNumType w:fmt="numberInDash"/>
          <w:cols w:space="720" w:num="1"/>
          <w:docGrid w:type="lines" w:linePitch="315" w:charSpace="0"/>
        </w:sectPr>
      </w:pPr>
    </w:p>
    <w:p w14:paraId="2CABC0D6">
      <w:pPr>
        <w:pStyle w:val="17"/>
        <w:adjustRightInd w:val="0"/>
        <w:snapToGrid w:val="0"/>
        <w:spacing w:before="0" w:beforeAutospacing="0" w:after="0" w:afterAutospacing="0"/>
        <w:outlineLvl w:val="0"/>
        <w:rPr>
          <w:rFonts w:ascii="方正小标宋_GBK" w:hAnsi="黑体" w:eastAsia="方正小标宋_GBK"/>
          <w:snapToGrid w:val="0"/>
          <w:sz w:val="32"/>
          <w:szCs w:val="32"/>
        </w:rPr>
      </w:pPr>
      <w:r>
        <w:rPr>
          <w:rFonts w:hint="eastAsia" w:ascii="方正小标宋_GBK" w:hAnsi="黑体" w:eastAsia="方正小标宋_GBK"/>
          <w:snapToGrid w:val="0"/>
          <w:sz w:val="32"/>
          <w:szCs w:val="32"/>
        </w:rPr>
        <w:t>附表</w:t>
      </w:r>
    </w:p>
    <w:p w14:paraId="2BAFF216">
      <w:pPr>
        <w:pStyle w:val="17"/>
        <w:adjustRightInd w:val="0"/>
        <w:snapToGrid w:val="0"/>
        <w:spacing w:before="0" w:beforeAutospacing="0" w:after="0" w:afterAutospacing="0"/>
        <w:jc w:val="center"/>
        <w:rPr>
          <w:rFonts w:ascii="方正小标宋_GBK" w:hAnsi="黑体" w:eastAsia="方正小标宋_GBK"/>
          <w:snapToGrid w:val="0"/>
          <w:sz w:val="36"/>
          <w:szCs w:val="36"/>
        </w:rPr>
      </w:pPr>
      <w:r>
        <w:rPr>
          <w:rFonts w:hint="eastAsia" w:ascii="方正小标宋_GBK" w:hAnsi="黑体" w:eastAsia="方正小标宋_GBK"/>
          <w:snapToGrid w:val="0"/>
          <w:sz w:val="32"/>
          <w:szCs w:val="32"/>
        </w:rPr>
        <w:t>建设项目污染物排放量汇总表</w:t>
      </w:r>
    </w:p>
    <w:tbl>
      <w:tblPr>
        <w:tblStyle w:val="19"/>
        <w:tblW w:w="143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701"/>
        <w:gridCol w:w="1585"/>
        <w:gridCol w:w="1505"/>
        <w:gridCol w:w="1559"/>
        <w:gridCol w:w="1559"/>
        <w:gridCol w:w="1985"/>
        <w:gridCol w:w="1842"/>
        <w:gridCol w:w="1189"/>
      </w:tblGrid>
      <w:tr w14:paraId="73D84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420" w:type="dxa"/>
            <w:tcBorders>
              <w:tl2br w:val="single" w:color="auto" w:sz="4" w:space="0"/>
            </w:tcBorders>
            <w:tcMar>
              <w:left w:w="28" w:type="dxa"/>
              <w:right w:w="28" w:type="dxa"/>
            </w:tcMar>
            <w:vAlign w:val="center"/>
          </w:tcPr>
          <w:p w14:paraId="1629AACC">
            <w:pPr>
              <w:jc w:val="center"/>
              <w:rPr>
                <w:szCs w:val="21"/>
              </w:rPr>
            </w:pPr>
            <w:r>
              <w:rPr>
                <w:rFonts w:hint="eastAsia"/>
                <w:szCs w:val="21"/>
                <w:lang w:val="en-US" w:eastAsia="zh-CN"/>
              </w:rPr>
              <w:t xml:space="preserve">      </w:t>
            </w:r>
            <w:r>
              <w:rPr>
                <w:szCs w:val="21"/>
              </w:rPr>
              <w:t>项目</w:t>
            </w:r>
          </w:p>
          <w:p w14:paraId="14FAB501">
            <w:pPr>
              <w:jc w:val="both"/>
              <w:rPr>
                <w:szCs w:val="21"/>
              </w:rPr>
            </w:pPr>
            <w:r>
              <w:rPr>
                <w:szCs w:val="21"/>
              </w:rPr>
              <w:t>分类</w:t>
            </w:r>
          </w:p>
        </w:tc>
        <w:tc>
          <w:tcPr>
            <w:tcW w:w="1701" w:type="dxa"/>
            <w:tcMar>
              <w:left w:w="28" w:type="dxa"/>
              <w:right w:w="28" w:type="dxa"/>
            </w:tcMar>
            <w:vAlign w:val="center"/>
          </w:tcPr>
          <w:p w14:paraId="17B683A9">
            <w:pPr>
              <w:jc w:val="center"/>
              <w:rPr>
                <w:szCs w:val="21"/>
              </w:rPr>
            </w:pPr>
            <w:r>
              <w:rPr>
                <w:szCs w:val="21"/>
              </w:rPr>
              <w:t>污染物名称</w:t>
            </w:r>
          </w:p>
        </w:tc>
        <w:tc>
          <w:tcPr>
            <w:tcW w:w="1585" w:type="dxa"/>
            <w:tcMar>
              <w:left w:w="28" w:type="dxa"/>
              <w:right w:w="28" w:type="dxa"/>
            </w:tcMar>
            <w:vAlign w:val="center"/>
          </w:tcPr>
          <w:p w14:paraId="1F4D2BAC">
            <w:pPr>
              <w:jc w:val="center"/>
              <w:rPr>
                <w:szCs w:val="21"/>
              </w:rPr>
            </w:pPr>
            <w:r>
              <w:rPr>
                <w:szCs w:val="21"/>
              </w:rPr>
              <w:t>现有工程</w:t>
            </w:r>
          </w:p>
          <w:p w14:paraId="0D1D21D5">
            <w:pPr>
              <w:jc w:val="center"/>
              <w:rPr>
                <w:szCs w:val="21"/>
              </w:rPr>
            </w:pPr>
            <w:r>
              <w:rPr>
                <w:szCs w:val="21"/>
              </w:rPr>
              <w:t>排放量（固体废物产生量）</w:t>
            </w:r>
            <w:r>
              <w:rPr>
                <w:szCs w:val="21"/>
              </w:rPr>
              <w:fldChar w:fldCharType="begin"/>
            </w:r>
            <w:r>
              <w:rPr>
                <w:szCs w:val="21"/>
              </w:rPr>
              <w:instrText xml:space="preserve"> = 1 \* GB3 \* MERGEFORMAT </w:instrText>
            </w:r>
            <w:r>
              <w:rPr>
                <w:szCs w:val="21"/>
              </w:rPr>
              <w:fldChar w:fldCharType="separate"/>
            </w:r>
            <w:r>
              <w:rPr>
                <w:szCs w:val="21"/>
              </w:rPr>
              <w:t>①</w:t>
            </w:r>
            <w:r>
              <w:rPr>
                <w:szCs w:val="21"/>
              </w:rPr>
              <w:fldChar w:fldCharType="end"/>
            </w:r>
          </w:p>
        </w:tc>
        <w:tc>
          <w:tcPr>
            <w:tcW w:w="1505" w:type="dxa"/>
            <w:tcMar>
              <w:left w:w="28" w:type="dxa"/>
              <w:right w:w="28" w:type="dxa"/>
            </w:tcMar>
            <w:vAlign w:val="center"/>
          </w:tcPr>
          <w:p w14:paraId="05C54446">
            <w:pPr>
              <w:jc w:val="center"/>
              <w:rPr>
                <w:szCs w:val="21"/>
              </w:rPr>
            </w:pPr>
            <w:r>
              <w:rPr>
                <w:szCs w:val="21"/>
              </w:rPr>
              <w:t>现有工程</w:t>
            </w:r>
          </w:p>
          <w:p w14:paraId="02F35480">
            <w:pPr>
              <w:jc w:val="center"/>
              <w:rPr>
                <w:szCs w:val="21"/>
              </w:rPr>
            </w:pPr>
            <w:r>
              <w:rPr>
                <w:szCs w:val="21"/>
              </w:rPr>
              <w:t>许可排放量</w:t>
            </w:r>
            <w:r>
              <w:rPr>
                <w:szCs w:val="21"/>
              </w:rPr>
              <w:fldChar w:fldCharType="begin"/>
            </w:r>
            <w:r>
              <w:rPr>
                <w:szCs w:val="21"/>
              </w:rPr>
              <w:instrText xml:space="preserve"> = 2 \* GB3 \* MERGEFORMAT </w:instrText>
            </w:r>
            <w:r>
              <w:rPr>
                <w:szCs w:val="21"/>
              </w:rPr>
              <w:fldChar w:fldCharType="separate"/>
            </w:r>
            <w:r>
              <w:rPr>
                <w:szCs w:val="21"/>
              </w:rPr>
              <w:t>②</w:t>
            </w:r>
            <w:r>
              <w:rPr>
                <w:szCs w:val="21"/>
              </w:rPr>
              <w:fldChar w:fldCharType="end"/>
            </w:r>
          </w:p>
        </w:tc>
        <w:tc>
          <w:tcPr>
            <w:tcW w:w="1559" w:type="dxa"/>
            <w:tcMar>
              <w:left w:w="28" w:type="dxa"/>
              <w:right w:w="28" w:type="dxa"/>
            </w:tcMar>
            <w:vAlign w:val="center"/>
          </w:tcPr>
          <w:p w14:paraId="0FB3F238">
            <w:pPr>
              <w:jc w:val="center"/>
              <w:rPr>
                <w:szCs w:val="21"/>
              </w:rPr>
            </w:pPr>
            <w:r>
              <w:rPr>
                <w:szCs w:val="21"/>
              </w:rPr>
              <w:t>在建工程</w:t>
            </w:r>
          </w:p>
          <w:p w14:paraId="659BAE61">
            <w:pPr>
              <w:jc w:val="center"/>
              <w:rPr>
                <w:szCs w:val="21"/>
              </w:rPr>
            </w:pPr>
            <w:r>
              <w:rPr>
                <w:szCs w:val="21"/>
              </w:rPr>
              <w:t>排放量（固体废物产生量）</w:t>
            </w:r>
            <w:r>
              <w:rPr>
                <w:szCs w:val="21"/>
              </w:rPr>
              <w:fldChar w:fldCharType="begin"/>
            </w:r>
            <w:r>
              <w:rPr>
                <w:szCs w:val="21"/>
              </w:rPr>
              <w:instrText xml:space="preserve"> = 3 \* GB3 \* MERGEFORMAT </w:instrText>
            </w:r>
            <w:r>
              <w:rPr>
                <w:szCs w:val="21"/>
              </w:rPr>
              <w:fldChar w:fldCharType="separate"/>
            </w:r>
            <w:r>
              <w:rPr>
                <w:szCs w:val="21"/>
              </w:rPr>
              <w:t>③</w:t>
            </w:r>
            <w:r>
              <w:rPr>
                <w:szCs w:val="21"/>
              </w:rPr>
              <w:fldChar w:fldCharType="end"/>
            </w:r>
          </w:p>
        </w:tc>
        <w:tc>
          <w:tcPr>
            <w:tcW w:w="1559" w:type="dxa"/>
            <w:tcMar>
              <w:left w:w="28" w:type="dxa"/>
              <w:right w:w="28" w:type="dxa"/>
            </w:tcMar>
            <w:vAlign w:val="center"/>
          </w:tcPr>
          <w:p w14:paraId="702812C7">
            <w:pPr>
              <w:jc w:val="center"/>
              <w:rPr>
                <w:szCs w:val="21"/>
              </w:rPr>
            </w:pPr>
            <w:r>
              <w:rPr>
                <w:szCs w:val="21"/>
              </w:rPr>
              <w:t>本项目</w:t>
            </w:r>
          </w:p>
          <w:p w14:paraId="3E96DD34">
            <w:pPr>
              <w:jc w:val="center"/>
              <w:rPr>
                <w:szCs w:val="21"/>
              </w:rPr>
            </w:pPr>
            <w:r>
              <w:rPr>
                <w:szCs w:val="21"/>
              </w:rPr>
              <w:t>排放量（固体废物产生量）</w:t>
            </w:r>
            <w:r>
              <w:rPr>
                <w:szCs w:val="21"/>
              </w:rPr>
              <w:fldChar w:fldCharType="begin"/>
            </w:r>
            <w:r>
              <w:rPr>
                <w:szCs w:val="21"/>
              </w:rPr>
              <w:instrText xml:space="preserve"> = 4 \* GB3 \* MERGEFORMAT </w:instrText>
            </w:r>
            <w:r>
              <w:rPr>
                <w:szCs w:val="21"/>
              </w:rPr>
              <w:fldChar w:fldCharType="separate"/>
            </w:r>
            <w:r>
              <w:rPr>
                <w:szCs w:val="21"/>
              </w:rPr>
              <w:t>④</w:t>
            </w:r>
            <w:r>
              <w:rPr>
                <w:szCs w:val="21"/>
              </w:rPr>
              <w:fldChar w:fldCharType="end"/>
            </w:r>
          </w:p>
        </w:tc>
        <w:tc>
          <w:tcPr>
            <w:tcW w:w="1985" w:type="dxa"/>
            <w:tcMar>
              <w:left w:w="28" w:type="dxa"/>
              <w:right w:w="28" w:type="dxa"/>
            </w:tcMar>
            <w:vAlign w:val="center"/>
          </w:tcPr>
          <w:p w14:paraId="31C59756">
            <w:pPr>
              <w:jc w:val="center"/>
              <w:rPr>
                <w:szCs w:val="21"/>
              </w:rPr>
            </w:pPr>
            <w:r>
              <w:rPr>
                <w:szCs w:val="21"/>
              </w:rPr>
              <w:t>以新带老削减量</w:t>
            </w:r>
          </w:p>
          <w:p w14:paraId="7F1EB8B2">
            <w:pPr>
              <w:jc w:val="center"/>
              <w:rPr>
                <w:szCs w:val="21"/>
              </w:rPr>
            </w:pPr>
            <w:r>
              <w:rPr>
                <w:szCs w:val="21"/>
              </w:rPr>
              <w:t>（新建项目不填）</w:t>
            </w:r>
            <w:r>
              <w:rPr>
                <w:szCs w:val="21"/>
              </w:rPr>
              <w:fldChar w:fldCharType="begin"/>
            </w:r>
            <w:r>
              <w:rPr>
                <w:szCs w:val="21"/>
              </w:rPr>
              <w:instrText xml:space="preserve"> = 5 \* GB3 \* MERGEFORMAT </w:instrText>
            </w:r>
            <w:r>
              <w:rPr>
                <w:szCs w:val="21"/>
              </w:rPr>
              <w:fldChar w:fldCharType="separate"/>
            </w:r>
            <w:r>
              <w:rPr>
                <w:szCs w:val="21"/>
              </w:rPr>
              <w:t>⑤</w:t>
            </w:r>
            <w:r>
              <w:rPr>
                <w:szCs w:val="21"/>
              </w:rPr>
              <w:fldChar w:fldCharType="end"/>
            </w:r>
          </w:p>
        </w:tc>
        <w:tc>
          <w:tcPr>
            <w:tcW w:w="1842" w:type="dxa"/>
            <w:tcMar>
              <w:left w:w="28" w:type="dxa"/>
              <w:right w:w="28" w:type="dxa"/>
            </w:tcMar>
            <w:vAlign w:val="center"/>
          </w:tcPr>
          <w:p w14:paraId="692B3CC6">
            <w:pPr>
              <w:jc w:val="center"/>
              <w:rPr>
                <w:szCs w:val="21"/>
              </w:rPr>
            </w:pPr>
            <w:r>
              <w:rPr>
                <w:szCs w:val="21"/>
              </w:rPr>
              <w:t>本项目建成后</w:t>
            </w:r>
          </w:p>
          <w:p w14:paraId="04398F6D">
            <w:pPr>
              <w:jc w:val="center"/>
              <w:rPr>
                <w:szCs w:val="21"/>
              </w:rPr>
            </w:pPr>
            <w:r>
              <w:rPr>
                <w:szCs w:val="21"/>
              </w:rPr>
              <w:t>全厂排放量（固体废物产生量）</w:t>
            </w:r>
            <w:r>
              <w:rPr>
                <w:szCs w:val="21"/>
              </w:rPr>
              <w:fldChar w:fldCharType="begin"/>
            </w:r>
            <w:r>
              <w:rPr>
                <w:szCs w:val="21"/>
              </w:rPr>
              <w:instrText xml:space="preserve"> = 6 \* GB3 \* MERGEFORMAT </w:instrText>
            </w:r>
            <w:r>
              <w:rPr>
                <w:szCs w:val="21"/>
              </w:rPr>
              <w:fldChar w:fldCharType="separate"/>
            </w:r>
            <w:r>
              <w:rPr>
                <w:szCs w:val="21"/>
              </w:rPr>
              <w:t>⑥</w:t>
            </w:r>
            <w:r>
              <w:rPr>
                <w:szCs w:val="21"/>
              </w:rPr>
              <w:fldChar w:fldCharType="end"/>
            </w:r>
          </w:p>
        </w:tc>
        <w:tc>
          <w:tcPr>
            <w:tcW w:w="1189" w:type="dxa"/>
            <w:tcMar>
              <w:left w:w="28" w:type="dxa"/>
              <w:right w:w="28" w:type="dxa"/>
            </w:tcMar>
            <w:vAlign w:val="center"/>
          </w:tcPr>
          <w:p w14:paraId="6FA13ED6">
            <w:pPr>
              <w:jc w:val="center"/>
              <w:rPr>
                <w:szCs w:val="21"/>
              </w:rPr>
            </w:pPr>
            <w:r>
              <w:rPr>
                <w:szCs w:val="21"/>
              </w:rPr>
              <w:t>变化量</w:t>
            </w:r>
          </w:p>
          <w:p w14:paraId="19CDDC5A">
            <w:pPr>
              <w:jc w:val="center"/>
              <w:rPr>
                <w:szCs w:val="21"/>
              </w:rPr>
            </w:pPr>
            <w:r>
              <w:rPr>
                <w:szCs w:val="21"/>
              </w:rPr>
              <w:fldChar w:fldCharType="begin"/>
            </w:r>
            <w:r>
              <w:rPr>
                <w:szCs w:val="21"/>
              </w:rPr>
              <w:instrText xml:space="preserve"> = 7 \* GB3 \* MERGEFORMAT </w:instrText>
            </w:r>
            <w:r>
              <w:rPr>
                <w:szCs w:val="21"/>
              </w:rPr>
              <w:fldChar w:fldCharType="separate"/>
            </w:r>
            <w:r>
              <w:rPr>
                <w:szCs w:val="21"/>
              </w:rPr>
              <w:t>⑦</w:t>
            </w:r>
            <w:r>
              <w:rPr>
                <w:szCs w:val="21"/>
              </w:rPr>
              <w:fldChar w:fldCharType="end"/>
            </w:r>
          </w:p>
        </w:tc>
      </w:tr>
      <w:tr w14:paraId="139EB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0" w:type="dxa"/>
            <w:vMerge w:val="restart"/>
            <w:vAlign w:val="center"/>
          </w:tcPr>
          <w:p w14:paraId="3A2B9822">
            <w:pPr>
              <w:jc w:val="center"/>
              <w:rPr>
                <w:szCs w:val="21"/>
              </w:rPr>
            </w:pPr>
            <w:bookmarkStart w:id="14" w:name="OLE_LINK214" w:colFirst="5" w:colLast="5"/>
            <w:bookmarkStart w:id="15" w:name="_Hlk109825494"/>
            <w:bookmarkStart w:id="16" w:name="OLE_LINK213" w:colFirst="5" w:colLast="5"/>
            <w:r>
              <w:rPr>
                <w:szCs w:val="21"/>
              </w:rPr>
              <w:t>废水（t/a）</w:t>
            </w:r>
          </w:p>
        </w:tc>
        <w:tc>
          <w:tcPr>
            <w:tcW w:w="1701" w:type="dxa"/>
            <w:vAlign w:val="center"/>
          </w:tcPr>
          <w:p w14:paraId="3E1E3721">
            <w:pPr>
              <w:jc w:val="center"/>
              <w:rPr>
                <w:szCs w:val="21"/>
              </w:rPr>
            </w:pPr>
            <w:r>
              <w:rPr>
                <w:szCs w:val="21"/>
              </w:rPr>
              <w:t>化学需氧量</w:t>
            </w:r>
          </w:p>
        </w:tc>
        <w:tc>
          <w:tcPr>
            <w:tcW w:w="1585" w:type="dxa"/>
            <w:vAlign w:val="center"/>
          </w:tcPr>
          <w:p w14:paraId="1B592634">
            <w:pPr>
              <w:jc w:val="center"/>
              <w:rPr>
                <w:szCs w:val="21"/>
              </w:rPr>
            </w:pPr>
            <w:r>
              <w:rPr>
                <w:rFonts w:hint="eastAsia"/>
                <w:szCs w:val="21"/>
              </w:rPr>
              <w:t>0</w:t>
            </w:r>
          </w:p>
        </w:tc>
        <w:tc>
          <w:tcPr>
            <w:tcW w:w="1505" w:type="dxa"/>
            <w:vAlign w:val="center"/>
          </w:tcPr>
          <w:p w14:paraId="246017A0">
            <w:pPr>
              <w:jc w:val="center"/>
              <w:rPr>
                <w:szCs w:val="21"/>
              </w:rPr>
            </w:pPr>
            <w:r>
              <w:rPr>
                <w:rFonts w:hint="eastAsia"/>
                <w:szCs w:val="21"/>
              </w:rPr>
              <w:t>0</w:t>
            </w:r>
          </w:p>
        </w:tc>
        <w:tc>
          <w:tcPr>
            <w:tcW w:w="1559" w:type="dxa"/>
            <w:vAlign w:val="center"/>
          </w:tcPr>
          <w:p w14:paraId="5BC9EE47">
            <w:pPr>
              <w:jc w:val="center"/>
              <w:rPr>
                <w:szCs w:val="21"/>
              </w:rPr>
            </w:pPr>
            <w:r>
              <w:rPr>
                <w:szCs w:val="21"/>
              </w:rPr>
              <w:t>0</w:t>
            </w:r>
          </w:p>
        </w:tc>
        <w:tc>
          <w:tcPr>
            <w:tcW w:w="1559" w:type="dxa"/>
            <w:vAlign w:val="center"/>
          </w:tcPr>
          <w:p w14:paraId="33EDCA2F">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0.138</w:t>
            </w:r>
          </w:p>
        </w:tc>
        <w:tc>
          <w:tcPr>
            <w:tcW w:w="1985" w:type="dxa"/>
            <w:vAlign w:val="center"/>
          </w:tcPr>
          <w:p w14:paraId="1421648B">
            <w:pPr>
              <w:jc w:val="center"/>
              <w:rPr>
                <w:szCs w:val="21"/>
              </w:rPr>
            </w:pPr>
            <w:r>
              <w:rPr>
                <w:rFonts w:hint="eastAsia"/>
                <w:szCs w:val="21"/>
              </w:rPr>
              <w:t>0</w:t>
            </w:r>
          </w:p>
        </w:tc>
        <w:tc>
          <w:tcPr>
            <w:tcW w:w="1842" w:type="dxa"/>
            <w:vAlign w:val="center"/>
          </w:tcPr>
          <w:p w14:paraId="1337BA6D">
            <w:pPr>
              <w:jc w:val="center"/>
              <w:rPr>
                <w:rFonts w:hint="default" w:ascii="Times New Roman" w:hAnsi="Times New Roman" w:cs="Times New Roman"/>
                <w:szCs w:val="21"/>
              </w:rPr>
            </w:pPr>
            <w:r>
              <w:rPr>
                <w:rFonts w:hint="eastAsia" w:ascii="Times New Roman" w:hAnsi="Times New Roman" w:eastAsia="宋体" w:cs="Times New Roman"/>
                <w:szCs w:val="21"/>
                <w:lang w:val="en-US" w:eastAsia="zh-CN"/>
              </w:rPr>
              <w:t>0.138</w:t>
            </w:r>
          </w:p>
        </w:tc>
        <w:tc>
          <w:tcPr>
            <w:tcW w:w="1189" w:type="dxa"/>
            <w:vAlign w:val="center"/>
          </w:tcPr>
          <w:p w14:paraId="0E4414A6">
            <w:pPr>
              <w:jc w:val="center"/>
              <w:rPr>
                <w:rFonts w:hint="default"/>
                <w:szCs w:val="21"/>
                <w:lang w:val="en-US"/>
              </w:rPr>
            </w:pPr>
            <w:r>
              <w:rPr>
                <w:rFonts w:hint="eastAsia" w:ascii="Times New Roman" w:hAnsi="Times New Roman" w:eastAsia="宋体" w:cs="Times New Roman"/>
                <w:szCs w:val="21"/>
                <w:lang w:val="en-US" w:eastAsia="zh-CN"/>
              </w:rPr>
              <w:t>+0.138</w:t>
            </w:r>
          </w:p>
        </w:tc>
      </w:tr>
      <w:tr w14:paraId="75CFF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20" w:type="dxa"/>
            <w:vMerge w:val="continue"/>
            <w:vAlign w:val="center"/>
          </w:tcPr>
          <w:p w14:paraId="51A47D75">
            <w:pPr>
              <w:jc w:val="center"/>
              <w:rPr>
                <w:szCs w:val="21"/>
              </w:rPr>
            </w:pPr>
          </w:p>
        </w:tc>
        <w:tc>
          <w:tcPr>
            <w:tcW w:w="1701" w:type="dxa"/>
            <w:vAlign w:val="center"/>
          </w:tcPr>
          <w:p w14:paraId="5A96563E">
            <w:pPr>
              <w:jc w:val="center"/>
              <w:rPr>
                <w:szCs w:val="21"/>
              </w:rPr>
            </w:pPr>
            <w:r>
              <w:rPr>
                <w:szCs w:val="21"/>
              </w:rPr>
              <w:t>悬浮物</w:t>
            </w:r>
          </w:p>
        </w:tc>
        <w:tc>
          <w:tcPr>
            <w:tcW w:w="1585" w:type="dxa"/>
            <w:vAlign w:val="center"/>
          </w:tcPr>
          <w:p w14:paraId="39CFA027">
            <w:pPr>
              <w:jc w:val="center"/>
              <w:rPr>
                <w:szCs w:val="21"/>
              </w:rPr>
            </w:pPr>
            <w:r>
              <w:rPr>
                <w:rFonts w:hint="eastAsia"/>
                <w:szCs w:val="21"/>
              </w:rPr>
              <w:t>0</w:t>
            </w:r>
          </w:p>
        </w:tc>
        <w:tc>
          <w:tcPr>
            <w:tcW w:w="1505" w:type="dxa"/>
            <w:vAlign w:val="center"/>
          </w:tcPr>
          <w:p w14:paraId="4D797562">
            <w:pPr>
              <w:jc w:val="center"/>
              <w:rPr>
                <w:szCs w:val="21"/>
              </w:rPr>
            </w:pPr>
            <w:r>
              <w:rPr>
                <w:rFonts w:hint="eastAsia"/>
                <w:szCs w:val="21"/>
              </w:rPr>
              <w:t>0</w:t>
            </w:r>
          </w:p>
        </w:tc>
        <w:tc>
          <w:tcPr>
            <w:tcW w:w="1559" w:type="dxa"/>
            <w:vAlign w:val="center"/>
          </w:tcPr>
          <w:p w14:paraId="29D6421D">
            <w:pPr>
              <w:jc w:val="center"/>
              <w:rPr>
                <w:szCs w:val="21"/>
              </w:rPr>
            </w:pPr>
            <w:r>
              <w:rPr>
                <w:szCs w:val="21"/>
              </w:rPr>
              <w:t>0</w:t>
            </w:r>
          </w:p>
        </w:tc>
        <w:tc>
          <w:tcPr>
            <w:tcW w:w="1559" w:type="dxa"/>
            <w:vAlign w:val="center"/>
          </w:tcPr>
          <w:p w14:paraId="595686C0">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0.069</w:t>
            </w:r>
          </w:p>
        </w:tc>
        <w:tc>
          <w:tcPr>
            <w:tcW w:w="1985" w:type="dxa"/>
            <w:vAlign w:val="center"/>
          </w:tcPr>
          <w:p w14:paraId="2E7A0186">
            <w:pPr>
              <w:jc w:val="center"/>
              <w:rPr>
                <w:szCs w:val="21"/>
              </w:rPr>
            </w:pPr>
            <w:r>
              <w:rPr>
                <w:rFonts w:hint="eastAsia"/>
                <w:szCs w:val="21"/>
              </w:rPr>
              <w:t>0</w:t>
            </w:r>
          </w:p>
        </w:tc>
        <w:tc>
          <w:tcPr>
            <w:tcW w:w="1842" w:type="dxa"/>
            <w:vAlign w:val="center"/>
          </w:tcPr>
          <w:p w14:paraId="71388E43">
            <w:pPr>
              <w:jc w:val="center"/>
              <w:rPr>
                <w:rFonts w:hint="default" w:ascii="Times New Roman" w:hAnsi="Times New Roman" w:cs="Times New Roman"/>
                <w:szCs w:val="21"/>
              </w:rPr>
            </w:pPr>
            <w:r>
              <w:rPr>
                <w:rFonts w:hint="eastAsia" w:ascii="Times New Roman" w:hAnsi="Times New Roman" w:eastAsia="宋体" w:cs="Times New Roman"/>
                <w:szCs w:val="21"/>
                <w:lang w:val="en-US" w:eastAsia="zh-CN"/>
              </w:rPr>
              <w:t>0.069</w:t>
            </w:r>
          </w:p>
        </w:tc>
        <w:tc>
          <w:tcPr>
            <w:tcW w:w="1189" w:type="dxa"/>
            <w:vAlign w:val="center"/>
          </w:tcPr>
          <w:p w14:paraId="63E7287A">
            <w:pPr>
              <w:jc w:val="center"/>
              <w:rPr>
                <w:rFonts w:hint="default"/>
                <w:szCs w:val="21"/>
                <w:lang w:val="en-US"/>
              </w:rPr>
            </w:pPr>
            <w:r>
              <w:rPr>
                <w:rFonts w:hint="eastAsia" w:ascii="Times New Roman" w:hAnsi="Times New Roman" w:eastAsia="宋体" w:cs="Times New Roman"/>
                <w:szCs w:val="21"/>
                <w:lang w:val="en-US" w:eastAsia="zh-CN"/>
              </w:rPr>
              <w:t>+0.069</w:t>
            </w:r>
          </w:p>
        </w:tc>
      </w:tr>
      <w:tr w14:paraId="76DB7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20" w:type="dxa"/>
            <w:vMerge w:val="continue"/>
            <w:vAlign w:val="center"/>
          </w:tcPr>
          <w:p w14:paraId="7F3613F8">
            <w:pPr>
              <w:jc w:val="center"/>
              <w:rPr>
                <w:szCs w:val="21"/>
              </w:rPr>
            </w:pPr>
          </w:p>
        </w:tc>
        <w:tc>
          <w:tcPr>
            <w:tcW w:w="1701" w:type="dxa"/>
            <w:vAlign w:val="center"/>
          </w:tcPr>
          <w:p w14:paraId="611557A5">
            <w:pPr>
              <w:jc w:val="center"/>
              <w:rPr>
                <w:szCs w:val="21"/>
              </w:rPr>
            </w:pPr>
            <w:r>
              <w:rPr>
                <w:szCs w:val="21"/>
              </w:rPr>
              <w:t>氨氮</w:t>
            </w:r>
          </w:p>
        </w:tc>
        <w:tc>
          <w:tcPr>
            <w:tcW w:w="1585" w:type="dxa"/>
            <w:vAlign w:val="center"/>
          </w:tcPr>
          <w:p w14:paraId="02260B89">
            <w:pPr>
              <w:jc w:val="center"/>
              <w:rPr>
                <w:szCs w:val="21"/>
              </w:rPr>
            </w:pPr>
            <w:r>
              <w:rPr>
                <w:rFonts w:hint="eastAsia"/>
                <w:szCs w:val="21"/>
              </w:rPr>
              <w:t>0</w:t>
            </w:r>
          </w:p>
        </w:tc>
        <w:tc>
          <w:tcPr>
            <w:tcW w:w="1505" w:type="dxa"/>
            <w:vAlign w:val="center"/>
          </w:tcPr>
          <w:p w14:paraId="202EA4D1">
            <w:pPr>
              <w:jc w:val="center"/>
              <w:rPr>
                <w:szCs w:val="21"/>
              </w:rPr>
            </w:pPr>
            <w:r>
              <w:rPr>
                <w:rFonts w:hint="eastAsia"/>
                <w:szCs w:val="21"/>
              </w:rPr>
              <w:t>0</w:t>
            </w:r>
          </w:p>
        </w:tc>
        <w:tc>
          <w:tcPr>
            <w:tcW w:w="1559" w:type="dxa"/>
            <w:vAlign w:val="center"/>
          </w:tcPr>
          <w:p w14:paraId="3F5958F2">
            <w:pPr>
              <w:jc w:val="center"/>
              <w:rPr>
                <w:szCs w:val="21"/>
              </w:rPr>
            </w:pPr>
            <w:r>
              <w:rPr>
                <w:szCs w:val="21"/>
              </w:rPr>
              <w:t>0</w:t>
            </w:r>
          </w:p>
        </w:tc>
        <w:tc>
          <w:tcPr>
            <w:tcW w:w="1559" w:type="dxa"/>
            <w:vAlign w:val="center"/>
          </w:tcPr>
          <w:p w14:paraId="6F897FB5">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0.0125</w:t>
            </w:r>
          </w:p>
        </w:tc>
        <w:tc>
          <w:tcPr>
            <w:tcW w:w="1985" w:type="dxa"/>
            <w:vAlign w:val="center"/>
          </w:tcPr>
          <w:p w14:paraId="48E0A260">
            <w:pPr>
              <w:jc w:val="center"/>
              <w:rPr>
                <w:szCs w:val="21"/>
              </w:rPr>
            </w:pPr>
            <w:r>
              <w:rPr>
                <w:rFonts w:hint="eastAsia"/>
                <w:szCs w:val="21"/>
              </w:rPr>
              <w:t>0</w:t>
            </w:r>
          </w:p>
        </w:tc>
        <w:tc>
          <w:tcPr>
            <w:tcW w:w="1842" w:type="dxa"/>
            <w:vAlign w:val="center"/>
          </w:tcPr>
          <w:p w14:paraId="63081756">
            <w:pPr>
              <w:jc w:val="center"/>
              <w:rPr>
                <w:rFonts w:hint="default" w:ascii="Times New Roman" w:hAnsi="Times New Roman" w:cs="Times New Roman"/>
                <w:szCs w:val="21"/>
                <w:lang w:val="en-US"/>
              </w:rPr>
            </w:pPr>
            <w:r>
              <w:rPr>
                <w:rFonts w:hint="eastAsia" w:ascii="Times New Roman" w:hAnsi="Times New Roman" w:eastAsia="宋体" w:cs="Times New Roman"/>
                <w:szCs w:val="21"/>
                <w:lang w:val="en-US" w:eastAsia="zh-CN"/>
              </w:rPr>
              <w:t>0.0125</w:t>
            </w:r>
          </w:p>
        </w:tc>
        <w:tc>
          <w:tcPr>
            <w:tcW w:w="1189" w:type="dxa"/>
            <w:vAlign w:val="center"/>
          </w:tcPr>
          <w:p w14:paraId="0E31569C">
            <w:pPr>
              <w:jc w:val="center"/>
              <w:rPr>
                <w:rFonts w:hint="default"/>
                <w:szCs w:val="21"/>
                <w:lang w:val="en-US"/>
              </w:rPr>
            </w:pPr>
            <w:r>
              <w:rPr>
                <w:rFonts w:hint="eastAsia" w:ascii="Times New Roman" w:hAnsi="Times New Roman" w:eastAsia="宋体" w:cs="Times New Roman"/>
                <w:szCs w:val="21"/>
                <w:lang w:val="en-US" w:eastAsia="zh-CN"/>
              </w:rPr>
              <w:t>+0.0125</w:t>
            </w:r>
          </w:p>
        </w:tc>
      </w:tr>
      <w:tr w14:paraId="5A34B1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420" w:type="dxa"/>
            <w:vMerge w:val="continue"/>
            <w:vAlign w:val="center"/>
          </w:tcPr>
          <w:p w14:paraId="47BB9922">
            <w:pPr>
              <w:jc w:val="center"/>
              <w:rPr>
                <w:szCs w:val="21"/>
              </w:rPr>
            </w:pPr>
          </w:p>
        </w:tc>
        <w:tc>
          <w:tcPr>
            <w:tcW w:w="1701" w:type="dxa"/>
            <w:vAlign w:val="center"/>
          </w:tcPr>
          <w:p w14:paraId="56C0E7BB">
            <w:pPr>
              <w:jc w:val="center"/>
              <w:rPr>
                <w:szCs w:val="21"/>
              </w:rPr>
            </w:pPr>
            <w:r>
              <w:rPr>
                <w:szCs w:val="21"/>
              </w:rPr>
              <w:t>总磷</w:t>
            </w:r>
          </w:p>
        </w:tc>
        <w:tc>
          <w:tcPr>
            <w:tcW w:w="1585" w:type="dxa"/>
            <w:vAlign w:val="center"/>
          </w:tcPr>
          <w:p w14:paraId="730CDF9F">
            <w:pPr>
              <w:jc w:val="center"/>
              <w:rPr>
                <w:szCs w:val="21"/>
              </w:rPr>
            </w:pPr>
            <w:r>
              <w:rPr>
                <w:rFonts w:hint="eastAsia"/>
                <w:szCs w:val="21"/>
              </w:rPr>
              <w:t>0</w:t>
            </w:r>
          </w:p>
        </w:tc>
        <w:tc>
          <w:tcPr>
            <w:tcW w:w="1505" w:type="dxa"/>
            <w:vAlign w:val="center"/>
          </w:tcPr>
          <w:p w14:paraId="0DD9B8B3">
            <w:pPr>
              <w:jc w:val="center"/>
              <w:rPr>
                <w:szCs w:val="21"/>
              </w:rPr>
            </w:pPr>
            <w:r>
              <w:rPr>
                <w:rFonts w:hint="eastAsia"/>
                <w:szCs w:val="21"/>
              </w:rPr>
              <w:t>0</w:t>
            </w:r>
          </w:p>
        </w:tc>
        <w:tc>
          <w:tcPr>
            <w:tcW w:w="1559" w:type="dxa"/>
            <w:vAlign w:val="center"/>
          </w:tcPr>
          <w:p w14:paraId="36F01982">
            <w:pPr>
              <w:jc w:val="center"/>
              <w:rPr>
                <w:szCs w:val="21"/>
              </w:rPr>
            </w:pPr>
            <w:r>
              <w:rPr>
                <w:szCs w:val="21"/>
              </w:rPr>
              <w:t>0</w:t>
            </w:r>
          </w:p>
        </w:tc>
        <w:tc>
          <w:tcPr>
            <w:tcW w:w="1559" w:type="dxa"/>
            <w:vAlign w:val="center"/>
          </w:tcPr>
          <w:p w14:paraId="108A4C33">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0.0017</w:t>
            </w:r>
          </w:p>
        </w:tc>
        <w:tc>
          <w:tcPr>
            <w:tcW w:w="1985" w:type="dxa"/>
            <w:vAlign w:val="center"/>
          </w:tcPr>
          <w:p w14:paraId="7EBEAB44">
            <w:pPr>
              <w:jc w:val="center"/>
              <w:rPr>
                <w:szCs w:val="21"/>
              </w:rPr>
            </w:pPr>
            <w:r>
              <w:rPr>
                <w:rFonts w:hint="eastAsia"/>
                <w:szCs w:val="21"/>
              </w:rPr>
              <w:t>0</w:t>
            </w:r>
          </w:p>
        </w:tc>
        <w:tc>
          <w:tcPr>
            <w:tcW w:w="1842" w:type="dxa"/>
            <w:vAlign w:val="center"/>
          </w:tcPr>
          <w:p w14:paraId="1150C111">
            <w:pPr>
              <w:jc w:val="center"/>
              <w:rPr>
                <w:rFonts w:hint="default" w:ascii="Times New Roman" w:hAnsi="Times New Roman" w:cs="Times New Roman"/>
                <w:szCs w:val="21"/>
                <w:lang w:val="en-US"/>
              </w:rPr>
            </w:pPr>
            <w:r>
              <w:rPr>
                <w:rFonts w:hint="eastAsia" w:ascii="Times New Roman" w:hAnsi="Times New Roman" w:eastAsia="宋体" w:cs="Times New Roman"/>
                <w:szCs w:val="21"/>
                <w:lang w:val="en-US" w:eastAsia="zh-CN"/>
              </w:rPr>
              <w:t>0.0017</w:t>
            </w:r>
          </w:p>
        </w:tc>
        <w:tc>
          <w:tcPr>
            <w:tcW w:w="1189" w:type="dxa"/>
            <w:vAlign w:val="center"/>
          </w:tcPr>
          <w:p w14:paraId="4A2C87BA">
            <w:pPr>
              <w:jc w:val="center"/>
              <w:rPr>
                <w:rFonts w:hint="default"/>
                <w:szCs w:val="21"/>
                <w:lang w:val="en-US"/>
              </w:rPr>
            </w:pPr>
            <w:r>
              <w:rPr>
                <w:rFonts w:hint="eastAsia" w:ascii="Times New Roman" w:hAnsi="Times New Roman" w:eastAsia="宋体" w:cs="Times New Roman"/>
                <w:szCs w:val="21"/>
                <w:lang w:val="en-US" w:eastAsia="zh-CN"/>
              </w:rPr>
              <w:t>+0.0017</w:t>
            </w:r>
          </w:p>
        </w:tc>
      </w:tr>
      <w:tr w14:paraId="3F830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20" w:type="dxa"/>
            <w:vMerge w:val="continue"/>
            <w:vAlign w:val="center"/>
          </w:tcPr>
          <w:p w14:paraId="494D28A2">
            <w:pPr>
              <w:jc w:val="center"/>
              <w:rPr>
                <w:szCs w:val="21"/>
              </w:rPr>
            </w:pPr>
          </w:p>
        </w:tc>
        <w:tc>
          <w:tcPr>
            <w:tcW w:w="1701" w:type="dxa"/>
            <w:vAlign w:val="center"/>
          </w:tcPr>
          <w:p w14:paraId="09E3122B">
            <w:pPr>
              <w:jc w:val="center"/>
              <w:rPr>
                <w:szCs w:val="21"/>
              </w:rPr>
            </w:pPr>
            <w:r>
              <w:rPr>
                <w:szCs w:val="21"/>
              </w:rPr>
              <w:t>总氮</w:t>
            </w:r>
          </w:p>
        </w:tc>
        <w:tc>
          <w:tcPr>
            <w:tcW w:w="1585" w:type="dxa"/>
            <w:vAlign w:val="center"/>
          </w:tcPr>
          <w:p w14:paraId="3B66B969">
            <w:pPr>
              <w:jc w:val="center"/>
              <w:rPr>
                <w:szCs w:val="21"/>
              </w:rPr>
            </w:pPr>
            <w:r>
              <w:rPr>
                <w:szCs w:val="21"/>
              </w:rPr>
              <w:t>0</w:t>
            </w:r>
          </w:p>
        </w:tc>
        <w:tc>
          <w:tcPr>
            <w:tcW w:w="1505" w:type="dxa"/>
            <w:vAlign w:val="center"/>
          </w:tcPr>
          <w:p w14:paraId="6FC80CA2">
            <w:pPr>
              <w:jc w:val="center"/>
              <w:rPr>
                <w:szCs w:val="21"/>
              </w:rPr>
            </w:pPr>
            <w:r>
              <w:rPr>
                <w:szCs w:val="21"/>
              </w:rPr>
              <w:t>0</w:t>
            </w:r>
          </w:p>
        </w:tc>
        <w:tc>
          <w:tcPr>
            <w:tcW w:w="1559" w:type="dxa"/>
            <w:vAlign w:val="center"/>
          </w:tcPr>
          <w:p w14:paraId="18BAE97A">
            <w:pPr>
              <w:jc w:val="center"/>
              <w:rPr>
                <w:szCs w:val="21"/>
              </w:rPr>
            </w:pPr>
            <w:r>
              <w:rPr>
                <w:szCs w:val="21"/>
              </w:rPr>
              <w:t>0</w:t>
            </w:r>
          </w:p>
        </w:tc>
        <w:tc>
          <w:tcPr>
            <w:tcW w:w="1559" w:type="dxa"/>
            <w:vAlign w:val="center"/>
          </w:tcPr>
          <w:p w14:paraId="1106C7DD">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0.0148</w:t>
            </w:r>
          </w:p>
        </w:tc>
        <w:tc>
          <w:tcPr>
            <w:tcW w:w="1985" w:type="dxa"/>
            <w:vAlign w:val="center"/>
          </w:tcPr>
          <w:p w14:paraId="166B8FDC">
            <w:pPr>
              <w:jc w:val="center"/>
              <w:rPr>
                <w:szCs w:val="21"/>
              </w:rPr>
            </w:pPr>
            <w:r>
              <w:rPr>
                <w:szCs w:val="21"/>
              </w:rPr>
              <w:t>0</w:t>
            </w:r>
          </w:p>
        </w:tc>
        <w:tc>
          <w:tcPr>
            <w:tcW w:w="1842" w:type="dxa"/>
            <w:vAlign w:val="center"/>
          </w:tcPr>
          <w:p w14:paraId="253218F0">
            <w:pPr>
              <w:jc w:val="center"/>
              <w:rPr>
                <w:rFonts w:hint="default" w:ascii="Times New Roman" w:hAnsi="Times New Roman" w:cs="Times New Roman"/>
                <w:szCs w:val="21"/>
                <w:lang w:val="en-US"/>
              </w:rPr>
            </w:pPr>
            <w:r>
              <w:rPr>
                <w:rFonts w:hint="eastAsia" w:ascii="Times New Roman" w:hAnsi="Times New Roman" w:eastAsia="宋体" w:cs="Times New Roman"/>
                <w:szCs w:val="21"/>
                <w:lang w:val="en-US" w:eastAsia="zh-CN"/>
              </w:rPr>
              <w:t>0.0148</w:t>
            </w:r>
          </w:p>
        </w:tc>
        <w:tc>
          <w:tcPr>
            <w:tcW w:w="1189" w:type="dxa"/>
            <w:vAlign w:val="center"/>
          </w:tcPr>
          <w:p w14:paraId="3063CE1D">
            <w:pPr>
              <w:jc w:val="center"/>
              <w:rPr>
                <w:rFonts w:hint="default"/>
                <w:szCs w:val="21"/>
                <w:lang w:val="en-US"/>
              </w:rPr>
            </w:pPr>
            <w:r>
              <w:rPr>
                <w:rFonts w:hint="eastAsia" w:ascii="Times New Roman" w:hAnsi="Times New Roman" w:eastAsia="宋体" w:cs="Times New Roman"/>
                <w:szCs w:val="21"/>
                <w:lang w:val="en-US" w:eastAsia="zh-CN"/>
              </w:rPr>
              <w:t>+0.0148</w:t>
            </w:r>
          </w:p>
        </w:tc>
      </w:tr>
      <w:tr w14:paraId="140481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20" w:type="dxa"/>
            <w:vMerge w:val="continue"/>
            <w:vAlign w:val="center"/>
          </w:tcPr>
          <w:p w14:paraId="2657C08F">
            <w:pPr>
              <w:jc w:val="center"/>
              <w:rPr>
                <w:szCs w:val="21"/>
              </w:rPr>
            </w:pPr>
            <w:bookmarkStart w:id="17" w:name="OLE_LINK225" w:colFirst="7" w:colLast="7"/>
            <w:bookmarkStart w:id="18" w:name="OLE_LINK224" w:colFirst="5" w:colLast="5"/>
            <w:bookmarkStart w:id="19" w:name="OLE_LINK223" w:colFirst="5" w:colLast="5"/>
            <w:bookmarkStart w:id="20" w:name="OLE_LINK226" w:colFirst="7" w:colLast="7"/>
            <w:bookmarkStart w:id="21" w:name="_Hlk109825741"/>
          </w:p>
        </w:tc>
        <w:tc>
          <w:tcPr>
            <w:tcW w:w="1701" w:type="dxa"/>
            <w:vAlign w:val="center"/>
          </w:tcPr>
          <w:p w14:paraId="657C933B">
            <w:pPr>
              <w:jc w:val="center"/>
              <w:rPr>
                <w:rFonts w:hint="eastAsia" w:eastAsia="宋体"/>
                <w:szCs w:val="21"/>
                <w:lang w:eastAsia="zh-CN"/>
              </w:rPr>
            </w:pPr>
            <w:r>
              <w:rPr>
                <w:rFonts w:hint="eastAsia"/>
                <w:szCs w:val="21"/>
                <w:lang w:eastAsia="zh-CN"/>
              </w:rPr>
              <w:t>动植物油</w:t>
            </w:r>
          </w:p>
        </w:tc>
        <w:tc>
          <w:tcPr>
            <w:tcW w:w="1585" w:type="dxa"/>
            <w:vAlign w:val="center"/>
          </w:tcPr>
          <w:p w14:paraId="24D2540D">
            <w:pPr>
              <w:jc w:val="center"/>
              <w:rPr>
                <w:szCs w:val="21"/>
              </w:rPr>
            </w:pPr>
            <w:r>
              <w:rPr>
                <w:szCs w:val="21"/>
              </w:rPr>
              <w:t>0</w:t>
            </w:r>
          </w:p>
        </w:tc>
        <w:tc>
          <w:tcPr>
            <w:tcW w:w="1505" w:type="dxa"/>
            <w:vAlign w:val="center"/>
          </w:tcPr>
          <w:p w14:paraId="69F7D1CD">
            <w:pPr>
              <w:jc w:val="center"/>
              <w:rPr>
                <w:szCs w:val="21"/>
              </w:rPr>
            </w:pPr>
            <w:r>
              <w:rPr>
                <w:szCs w:val="21"/>
              </w:rPr>
              <w:t>0</w:t>
            </w:r>
          </w:p>
        </w:tc>
        <w:tc>
          <w:tcPr>
            <w:tcW w:w="1559" w:type="dxa"/>
            <w:vAlign w:val="center"/>
          </w:tcPr>
          <w:p w14:paraId="01CD03F7">
            <w:pPr>
              <w:jc w:val="center"/>
              <w:rPr>
                <w:szCs w:val="21"/>
              </w:rPr>
            </w:pPr>
            <w:r>
              <w:rPr>
                <w:szCs w:val="21"/>
              </w:rPr>
              <w:t>0</w:t>
            </w:r>
          </w:p>
        </w:tc>
        <w:tc>
          <w:tcPr>
            <w:tcW w:w="1559" w:type="dxa"/>
            <w:vAlign w:val="center"/>
          </w:tcPr>
          <w:p w14:paraId="41DE3A28">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0.008</w:t>
            </w:r>
          </w:p>
        </w:tc>
        <w:tc>
          <w:tcPr>
            <w:tcW w:w="1985" w:type="dxa"/>
            <w:vAlign w:val="center"/>
          </w:tcPr>
          <w:p w14:paraId="088941A0">
            <w:pPr>
              <w:jc w:val="center"/>
              <w:rPr>
                <w:rFonts w:hint="eastAsia" w:eastAsia="宋体"/>
                <w:szCs w:val="21"/>
                <w:lang w:val="en-US" w:eastAsia="zh-CN"/>
              </w:rPr>
            </w:pPr>
            <w:r>
              <w:rPr>
                <w:rFonts w:hint="eastAsia"/>
                <w:szCs w:val="21"/>
                <w:lang w:val="en-US" w:eastAsia="zh-CN"/>
              </w:rPr>
              <w:t>0</w:t>
            </w:r>
          </w:p>
        </w:tc>
        <w:tc>
          <w:tcPr>
            <w:tcW w:w="1842" w:type="dxa"/>
            <w:vAlign w:val="center"/>
          </w:tcPr>
          <w:p w14:paraId="14651153">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0.008</w:t>
            </w:r>
          </w:p>
        </w:tc>
        <w:tc>
          <w:tcPr>
            <w:tcW w:w="1189" w:type="dxa"/>
            <w:vAlign w:val="center"/>
          </w:tcPr>
          <w:p w14:paraId="0DC15E4C">
            <w:pPr>
              <w:jc w:val="center"/>
              <w:rPr>
                <w:rFonts w:hint="eastAsia"/>
                <w:szCs w:val="21"/>
                <w:lang w:val="en-US" w:eastAsia="zh-CN"/>
              </w:rPr>
            </w:pPr>
            <w:r>
              <w:rPr>
                <w:rFonts w:hint="eastAsia" w:ascii="Times New Roman" w:hAnsi="Times New Roman" w:eastAsia="宋体" w:cs="Times New Roman"/>
                <w:szCs w:val="21"/>
                <w:lang w:val="en-US" w:eastAsia="zh-CN"/>
              </w:rPr>
              <w:t>+0.008</w:t>
            </w:r>
          </w:p>
        </w:tc>
      </w:tr>
      <w:bookmarkEnd w:id="14"/>
      <w:bookmarkEnd w:id="15"/>
      <w:bookmarkEnd w:id="16"/>
      <w:tr w14:paraId="55884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420" w:type="dxa"/>
            <w:vMerge w:val="restart"/>
            <w:vAlign w:val="center"/>
          </w:tcPr>
          <w:p w14:paraId="0E10B925">
            <w:pPr>
              <w:jc w:val="center"/>
              <w:rPr>
                <w:szCs w:val="21"/>
              </w:rPr>
            </w:pPr>
            <w:r>
              <w:rPr>
                <w:szCs w:val="21"/>
              </w:rPr>
              <w:t>一般工业固体废物（t/a）</w:t>
            </w:r>
          </w:p>
        </w:tc>
        <w:tc>
          <w:tcPr>
            <w:tcW w:w="1701" w:type="dxa"/>
            <w:vAlign w:val="center"/>
          </w:tcPr>
          <w:p w14:paraId="7766BD27">
            <w:pPr>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未燃尽的生活垃圾</w:t>
            </w:r>
          </w:p>
        </w:tc>
        <w:tc>
          <w:tcPr>
            <w:tcW w:w="1585" w:type="dxa"/>
            <w:vAlign w:val="center"/>
          </w:tcPr>
          <w:p w14:paraId="24FF9851">
            <w:pPr>
              <w:jc w:val="center"/>
              <w:rPr>
                <w:szCs w:val="21"/>
              </w:rPr>
            </w:pPr>
            <w:r>
              <w:rPr>
                <w:rFonts w:hint="eastAsia"/>
                <w:szCs w:val="21"/>
              </w:rPr>
              <w:t>0</w:t>
            </w:r>
          </w:p>
        </w:tc>
        <w:tc>
          <w:tcPr>
            <w:tcW w:w="1505" w:type="dxa"/>
            <w:vAlign w:val="center"/>
          </w:tcPr>
          <w:p w14:paraId="5E428E3C">
            <w:pPr>
              <w:jc w:val="center"/>
              <w:rPr>
                <w:szCs w:val="21"/>
              </w:rPr>
            </w:pPr>
            <w:r>
              <w:rPr>
                <w:szCs w:val="21"/>
              </w:rPr>
              <w:t>0</w:t>
            </w:r>
          </w:p>
        </w:tc>
        <w:tc>
          <w:tcPr>
            <w:tcW w:w="1559" w:type="dxa"/>
            <w:vAlign w:val="center"/>
          </w:tcPr>
          <w:p w14:paraId="5502E48D">
            <w:pPr>
              <w:jc w:val="center"/>
              <w:rPr>
                <w:szCs w:val="21"/>
              </w:rPr>
            </w:pPr>
            <w:r>
              <w:rPr>
                <w:szCs w:val="21"/>
              </w:rPr>
              <w:t>0</w:t>
            </w:r>
          </w:p>
        </w:tc>
        <w:tc>
          <w:tcPr>
            <w:tcW w:w="1559" w:type="dxa"/>
            <w:vAlign w:val="center"/>
          </w:tcPr>
          <w:p w14:paraId="7F5F7D33">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1500</w:t>
            </w:r>
          </w:p>
        </w:tc>
        <w:tc>
          <w:tcPr>
            <w:tcW w:w="1985" w:type="dxa"/>
            <w:vAlign w:val="center"/>
          </w:tcPr>
          <w:p w14:paraId="7083A535">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w:t>
            </w:r>
          </w:p>
        </w:tc>
        <w:tc>
          <w:tcPr>
            <w:tcW w:w="1842" w:type="dxa"/>
            <w:vAlign w:val="center"/>
          </w:tcPr>
          <w:p w14:paraId="74736C72">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1500</w:t>
            </w:r>
          </w:p>
        </w:tc>
        <w:tc>
          <w:tcPr>
            <w:tcW w:w="1189" w:type="dxa"/>
            <w:vAlign w:val="center"/>
          </w:tcPr>
          <w:p w14:paraId="2C76AE0B">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+1500</w:t>
            </w:r>
          </w:p>
        </w:tc>
      </w:tr>
      <w:tr w14:paraId="2F6A2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20" w:type="dxa"/>
            <w:vMerge w:val="continue"/>
            <w:vAlign w:val="center"/>
          </w:tcPr>
          <w:p w14:paraId="74F66FD8">
            <w:pPr>
              <w:jc w:val="center"/>
              <w:rPr>
                <w:szCs w:val="21"/>
              </w:rPr>
            </w:pPr>
          </w:p>
        </w:tc>
        <w:tc>
          <w:tcPr>
            <w:tcW w:w="1701" w:type="dxa"/>
            <w:vAlign w:val="center"/>
          </w:tcPr>
          <w:p w14:paraId="7DD07DEB">
            <w:pPr>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废金属料</w:t>
            </w:r>
          </w:p>
        </w:tc>
        <w:tc>
          <w:tcPr>
            <w:tcW w:w="1585" w:type="dxa"/>
            <w:vAlign w:val="center"/>
          </w:tcPr>
          <w:p w14:paraId="4A0E5F85">
            <w:pPr>
              <w:jc w:val="center"/>
              <w:rPr>
                <w:rFonts w:hint="eastAsia" w:eastAsia="宋体"/>
                <w:szCs w:val="21"/>
                <w:lang w:val="en-US" w:eastAsia="zh-CN"/>
              </w:rPr>
            </w:pPr>
            <w:r>
              <w:rPr>
                <w:rFonts w:hint="eastAsia"/>
                <w:szCs w:val="21"/>
                <w:lang w:val="en-US" w:eastAsia="zh-CN"/>
              </w:rPr>
              <w:t>0</w:t>
            </w:r>
          </w:p>
        </w:tc>
        <w:tc>
          <w:tcPr>
            <w:tcW w:w="1505" w:type="dxa"/>
            <w:vAlign w:val="center"/>
          </w:tcPr>
          <w:p w14:paraId="39B29880">
            <w:pPr>
              <w:jc w:val="center"/>
              <w:rPr>
                <w:rFonts w:hint="eastAsia" w:eastAsia="宋体"/>
                <w:szCs w:val="21"/>
                <w:lang w:val="en-US" w:eastAsia="zh-CN"/>
              </w:rPr>
            </w:pPr>
            <w:r>
              <w:rPr>
                <w:rFonts w:hint="eastAsia"/>
                <w:szCs w:val="21"/>
                <w:lang w:val="en-US" w:eastAsia="zh-CN"/>
              </w:rPr>
              <w:t>0</w:t>
            </w:r>
          </w:p>
        </w:tc>
        <w:tc>
          <w:tcPr>
            <w:tcW w:w="1559" w:type="dxa"/>
            <w:vAlign w:val="center"/>
          </w:tcPr>
          <w:p w14:paraId="7A3AEA86">
            <w:pPr>
              <w:jc w:val="center"/>
              <w:rPr>
                <w:rFonts w:hint="eastAsia" w:eastAsia="宋体"/>
                <w:szCs w:val="21"/>
                <w:lang w:val="en-US" w:eastAsia="zh-CN"/>
              </w:rPr>
            </w:pPr>
            <w:r>
              <w:rPr>
                <w:rFonts w:hint="eastAsia"/>
                <w:szCs w:val="21"/>
                <w:lang w:val="en-US" w:eastAsia="zh-CN"/>
              </w:rPr>
              <w:t>0</w:t>
            </w:r>
          </w:p>
        </w:tc>
        <w:tc>
          <w:tcPr>
            <w:tcW w:w="1559" w:type="dxa"/>
            <w:vAlign w:val="center"/>
          </w:tcPr>
          <w:p w14:paraId="7D8243F5">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3000</w:t>
            </w:r>
          </w:p>
        </w:tc>
        <w:tc>
          <w:tcPr>
            <w:tcW w:w="1985" w:type="dxa"/>
            <w:vAlign w:val="center"/>
          </w:tcPr>
          <w:p w14:paraId="0F933FE2">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w:t>
            </w:r>
          </w:p>
        </w:tc>
        <w:tc>
          <w:tcPr>
            <w:tcW w:w="1842" w:type="dxa"/>
            <w:vAlign w:val="center"/>
          </w:tcPr>
          <w:p w14:paraId="49737562">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3000</w:t>
            </w:r>
          </w:p>
        </w:tc>
        <w:tc>
          <w:tcPr>
            <w:tcW w:w="1189" w:type="dxa"/>
            <w:vAlign w:val="center"/>
          </w:tcPr>
          <w:p w14:paraId="53434E72">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+3000</w:t>
            </w:r>
          </w:p>
        </w:tc>
      </w:tr>
      <w:tr w14:paraId="207476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20" w:type="dxa"/>
            <w:vMerge w:val="continue"/>
            <w:vAlign w:val="center"/>
          </w:tcPr>
          <w:p w14:paraId="6081A93B">
            <w:pPr>
              <w:jc w:val="center"/>
              <w:rPr>
                <w:szCs w:val="21"/>
              </w:rPr>
            </w:pPr>
          </w:p>
        </w:tc>
        <w:tc>
          <w:tcPr>
            <w:tcW w:w="1701" w:type="dxa"/>
            <w:vAlign w:val="center"/>
          </w:tcPr>
          <w:p w14:paraId="2FD726C5">
            <w:pPr>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泥饼</w:t>
            </w:r>
          </w:p>
        </w:tc>
        <w:tc>
          <w:tcPr>
            <w:tcW w:w="1585" w:type="dxa"/>
            <w:vAlign w:val="center"/>
          </w:tcPr>
          <w:p w14:paraId="3F363CC8">
            <w:pPr>
              <w:jc w:val="center"/>
              <w:rPr>
                <w:rFonts w:hint="eastAsia"/>
                <w:szCs w:val="21"/>
                <w:lang w:val="en-US" w:eastAsia="zh-CN"/>
              </w:rPr>
            </w:pPr>
            <w:r>
              <w:rPr>
                <w:szCs w:val="21"/>
              </w:rPr>
              <w:t>0</w:t>
            </w:r>
          </w:p>
        </w:tc>
        <w:tc>
          <w:tcPr>
            <w:tcW w:w="1505" w:type="dxa"/>
            <w:vAlign w:val="center"/>
          </w:tcPr>
          <w:p w14:paraId="7A79A479">
            <w:pPr>
              <w:jc w:val="center"/>
              <w:rPr>
                <w:rFonts w:hint="eastAsia"/>
                <w:szCs w:val="21"/>
                <w:lang w:val="en-US" w:eastAsia="zh-CN"/>
              </w:rPr>
            </w:pPr>
            <w:r>
              <w:rPr>
                <w:szCs w:val="21"/>
              </w:rPr>
              <w:t>0</w:t>
            </w:r>
          </w:p>
        </w:tc>
        <w:tc>
          <w:tcPr>
            <w:tcW w:w="1559" w:type="dxa"/>
            <w:vAlign w:val="center"/>
          </w:tcPr>
          <w:p w14:paraId="74474C17">
            <w:pPr>
              <w:jc w:val="center"/>
              <w:rPr>
                <w:rFonts w:hint="eastAsia"/>
                <w:szCs w:val="21"/>
                <w:lang w:val="en-US" w:eastAsia="zh-CN"/>
              </w:rPr>
            </w:pPr>
            <w:r>
              <w:rPr>
                <w:szCs w:val="21"/>
              </w:rPr>
              <w:t>0</w:t>
            </w:r>
          </w:p>
        </w:tc>
        <w:tc>
          <w:tcPr>
            <w:tcW w:w="1559" w:type="dxa"/>
            <w:vAlign w:val="center"/>
          </w:tcPr>
          <w:p w14:paraId="168B8CA9">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3000</w:t>
            </w:r>
          </w:p>
        </w:tc>
        <w:tc>
          <w:tcPr>
            <w:tcW w:w="1985" w:type="dxa"/>
            <w:vAlign w:val="center"/>
          </w:tcPr>
          <w:p w14:paraId="1D1C610E">
            <w:pPr>
              <w:jc w:val="center"/>
              <w:rPr>
                <w:rFonts w:hint="eastAsia" w:ascii="Times New Roman" w:hAnsi="Times New Roman" w:eastAsia="宋体" w:cs="Times New Roman"/>
                <w:szCs w:val="21"/>
                <w:lang w:val="en-US" w:eastAsia="zh-CN"/>
              </w:rPr>
            </w:pPr>
          </w:p>
        </w:tc>
        <w:tc>
          <w:tcPr>
            <w:tcW w:w="1842" w:type="dxa"/>
            <w:vAlign w:val="center"/>
          </w:tcPr>
          <w:p w14:paraId="54DF220A">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3000</w:t>
            </w:r>
          </w:p>
        </w:tc>
        <w:tc>
          <w:tcPr>
            <w:tcW w:w="1189" w:type="dxa"/>
            <w:vAlign w:val="center"/>
          </w:tcPr>
          <w:p w14:paraId="694571E7">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+3000</w:t>
            </w:r>
          </w:p>
        </w:tc>
      </w:tr>
      <w:bookmarkEnd w:id="17"/>
      <w:bookmarkEnd w:id="18"/>
      <w:bookmarkEnd w:id="19"/>
      <w:bookmarkEnd w:id="20"/>
      <w:bookmarkEnd w:id="21"/>
      <w:tr w14:paraId="5A0B7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20" w:type="dxa"/>
            <w:vMerge w:val="restart"/>
            <w:vAlign w:val="center"/>
          </w:tcPr>
          <w:p w14:paraId="3180D415">
            <w:pPr>
              <w:jc w:val="center"/>
              <w:rPr>
                <w:szCs w:val="21"/>
              </w:rPr>
            </w:pPr>
            <w:r>
              <w:rPr>
                <w:szCs w:val="21"/>
              </w:rPr>
              <w:t>危险废物（t/a）</w:t>
            </w:r>
          </w:p>
        </w:tc>
        <w:tc>
          <w:tcPr>
            <w:tcW w:w="1701" w:type="dxa"/>
            <w:vAlign w:val="center"/>
          </w:tcPr>
          <w:p w14:paraId="7CF657C4">
            <w:pPr>
              <w:jc w:val="center"/>
              <w:rPr>
                <w:rFonts w:hint="eastAsia" w:eastAsia="宋体"/>
                <w:szCs w:val="21"/>
                <w:lang w:eastAsia="zh-CN"/>
              </w:rPr>
            </w:pPr>
            <w:r>
              <w:rPr>
                <w:rFonts w:hint="eastAsia" w:cs="Times New Roman"/>
                <w:szCs w:val="21"/>
                <w:lang w:eastAsia="zh-CN"/>
              </w:rPr>
              <w:t>废润滑油</w:t>
            </w:r>
          </w:p>
        </w:tc>
        <w:tc>
          <w:tcPr>
            <w:tcW w:w="1585" w:type="dxa"/>
            <w:vAlign w:val="center"/>
          </w:tcPr>
          <w:p w14:paraId="63B3B7B7">
            <w:pPr>
              <w:jc w:val="center"/>
              <w:rPr>
                <w:szCs w:val="21"/>
              </w:rPr>
            </w:pPr>
            <w:r>
              <w:rPr>
                <w:szCs w:val="21"/>
              </w:rPr>
              <w:t>0</w:t>
            </w:r>
          </w:p>
        </w:tc>
        <w:tc>
          <w:tcPr>
            <w:tcW w:w="1505" w:type="dxa"/>
            <w:vAlign w:val="center"/>
          </w:tcPr>
          <w:p w14:paraId="2056FDB7">
            <w:pPr>
              <w:jc w:val="center"/>
              <w:rPr>
                <w:szCs w:val="21"/>
              </w:rPr>
            </w:pPr>
            <w:r>
              <w:rPr>
                <w:szCs w:val="21"/>
              </w:rPr>
              <w:t>0</w:t>
            </w:r>
          </w:p>
        </w:tc>
        <w:tc>
          <w:tcPr>
            <w:tcW w:w="1559" w:type="dxa"/>
            <w:vAlign w:val="center"/>
          </w:tcPr>
          <w:p w14:paraId="4D0F17A5">
            <w:pPr>
              <w:jc w:val="center"/>
              <w:rPr>
                <w:szCs w:val="21"/>
              </w:rPr>
            </w:pPr>
            <w:r>
              <w:rPr>
                <w:szCs w:val="21"/>
              </w:rPr>
              <w:t>0</w:t>
            </w:r>
          </w:p>
        </w:tc>
        <w:tc>
          <w:tcPr>
            <w:tcW w:w="1559" w:type="dxa"/>
            <w:vAlign w:val="center"/>
          </w:tcPr>
          <w:p w14:paraId="5BB28D56">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p>
        </w:tc>
        <w:tc>
          <w:tcPr>
            <w:tcW w:w="1985" w:type="dxa"/>
            <w:vAlign w:val="center"/>
          </w:tcPr>
          <w:p w14:paraId="130EAAB8">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w:t>
            </w:r>
          </w:p>
        </w:tc>
        <w:tc>
          <w:tcPr>
            <w:tcW w:w="1842" w:type="dxa"/>
            <w:vAlign w:val="center"/>
          </w:tcPr>
          <w:p w14:paraId="1D8E8315">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p>
        </w:tc>
        <w:tc>
          <w:tcPr>
            <w:tcW w:w="1189" w:type="dxa"/>
            <w:vAlign w:val="center"/>
          </w:tcPr>
          <w:p w14:paraId="5ABF4DC3">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p>
        </w:tc>
      </w:tr>
      <w:tr w14:paraId="59AE88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20" w:type="dxa"/>
            <w:vMerge w:val="continue"/>
            <w:vAlign w:val="center"/>
          </w:tcPr>
          <w:p w14:paraId="79D7902C">
            <w:pPr>
              <w:jc w:val="center"/>
              <w:rPr>
                <w:szCs w:val="21"/>
              </w:rPr>
            </w:pPr>
          </w:p>
        </w:tc>
        <w:tc>
          <w:tcPr>
            <w:tcW w:w="1701" w:type="dxa"/>
            <w:vAlign w:val="center"/>
          </w:tcPr>
          <w:p w14:paraId="3C0B6517">
            <w:pPr>
              <w:jc w:val="center"/>
              <w:rPr>
                <w:rFonts w:hint="eastAsia" w:eastAsia="宋体"/>
                <w:szCs w:val="21"/>
                <w:lang w:eastAsia="zh-CN"/>
              </w:rPr>
            </w:pPr>
            <w:r>
              <w:rPr>
                <w:rFonts w:hint="eastAsia" w:cs="Times New Roman"/>
                <w:szCs w:val="21"/>
                <w:lang w:eastAsia="zh-CN"/>
              </w:rPr>
              <w:t>废润滑油桶</w:t>
            </w:r>
          </w:p>
        </w:tc>
        <w:tc>
          <w:tcPr>
            <w:tcW w:w="1585" w:type="dxa"/>
            <w:vAlign w:val="center"/>
          </w:tcPr>
          <w:p w14:paraId="327AE962">
            <w:pPr>
              <w:jc w:val="center"/>
              <w:rPr>
                <w:szCs w:val="21"/>
              </w:rPr>
            </w:pPr>
            <w:r>
              <w:rPr>
                <w:szCs w:val="21"/>
              </w:rPr>
              <w:t>0</w:t>
            </w:r>
          </w:p>
        </w:tc>
        <w:tc>
          <w:tcPr>
            <w:tcW w:w="1505" w:type="dxa"/>
            <w:vAlign w:val="center"/>
          </w:tcPr>
          <w:p w14:paraId="04822281">
            <w:pPr>
              <w:jc w:val="center"/>
              <w:rPr>
                <w:szCs w:val="21"/>
              </w:rPr>
            </w:pPr>
            <w:r>
              <w:rPr>
                <w:szCs w:val="21"/>
              </w:rPr>
              <w:t>0</w:t>
            </w:r>
          </w:p>
        </w:tc>
        <w:tc>
          <w:tcPr>
            <w:tcW w:w="1559" w:type="dxa"/>
            <w:vAlign w:val="center"/>
          </w:tcPr>
          <w:p w14:paraId="2CB19A30">
            <w:pPr>
              <w:jc w:val="center"/>
              <w:rPr>
                <w:szCs w:val="21"/>
              </w:rPr>
            </w:pPr>
            <w:r>
              <w:rPr>
                <w:szCs w:val="21"/>
              </w:rPr>
              <w:t>0</w:t>
            </w:r>
          </w:p>
        </w:tc>
        <w:tc>
          <w:tcPr>
            <w:tcW w:w="1559" w:type="dxa"/>
            <w:vAlign w:val="center"/>
          </w:tcPr>
          <w:p w14:paraId="2E12EC9A">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0.5</w:t>
            </w:r>
          </w:p>
        </w:tc>
        <w:tc>
          <w:tcPr>
            <w:tcW w:w="1985" w:type="dxa"/>
            <w:vAlign w:val="center"/>
          </w:tcPr>
          <w:p w14:paraId="1022124D">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w:t>
            </w:r>
          </w:p>
        </w:tc>
        <w:tc>
          <w:tcPr>
            <w:tcW w:w="1842" w:type="dxa"/>
            <w:vAlign w:val="center"/>
          </w:tcPr>
          <w:p w14:paraId="64F76A04">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0.5</w:t>
            </w:r>
          </w:p>
        </w:tc>
        <w:tc>
          <w:tcPr>
            <w:tcW w:w="1189" w:type="dxa"/>
            <w:vAlign w:val="center"/>
          </w:tcPr>
          <w:p w14:paraId="3EF02FB3">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+0.5</w:t>
            </w:r>
          </w:p>
        </w:tc>
      </w:tr>
      <w:tr w14:paraId="13AE80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420" w:type="dxa"/>
            <w:vAlign w:val="center"/>
          </w:tcPr>
          <w:p w14:paraId="1FE72511">
            <w:pPr>
              <w:jc w:val="center"/>
              <w:rPr>
                <w:szCs w:val="21"/>
              </w:rPr>
            </w:pPr>
            <w:r>
              <w:rPr>
                <w:szCs w:val="21"/>
              </w:rPr>
              <w:t>生活垃圾（t/a）</w:t>
            </w:r>
          </w:p>
        </w:tc>
        <w:tc>
          <w:tcPr>
            <w:tcW w:w="1701" w:type="dxa"/>
            <w:vAlign w:val="center"/>
          </w:tcPr>
          <w:p w14:paraId="150913EC">
            <w:pPr>
              <w:jc w:val="center"/>
              <w:rPr>
                <w:szCs w:val="21"/>
              </w:rPr>
            </w:pPr>
            <w:r>
              <w:rPr>
                <w:szCs w:val="21"/>
              </w:rPr>
              <w:t>生活垃圾</w:t>
            </w:r>
          </w:p>
        </w:tc>
        <w:tc>
          <w:tcPr>
            <w:tcW w:w="1585" w:type="dxa"/>
            <w:vAlign w:val="center"/>
          </w:tcPr>
          <w:p w14:paraId="54816A32">
            <w:pPr>
              <w:jc w:val="center"/>
              <w:rPr>
                <w:szCs w:val="21"/>
              </w:rPr>
            </w:pPr>
            <w:r>
              <w:rPr>
                <w:szCs w:val="21"/>
              </w:rPr>
              <w:t>0</w:t>
            </w:r>
          </w:p>
        </w:tc>
        <w:tc>
          <w:tcPr>
            <w:tcW w:w="1505" w:type="dxa"/>
            <w:vAlign w:val="center"/>
          </w:tcPr>
          <w:p w14:paraId="7AA14E97">
            <w:pPr>
              <w:jc w:val="center"/>
              <w:rPr>
                <w:szCs w:val="21"/>
              </w:rPr>
            </w:pPr>
            <w:r>
              <w:rPr>
                <w:szCs w:val="21"/>
              </w:rPr>
              <w:t>0</w:t>
            </w:r>
          </w:p>
        </w:tc>
        <w:tc>
          <w:tcPr>
            <w:tcW w:w="1559" w:type="dxa"/>
            <w:vAlign w:val="center"/>
          </w:tcPr>
          <w:p w14:paraId="4705F130">
            <w:pPr>
              <w:jc w:val="center"/>
              <w:rPr>
                <w:szCs w:val="21"/>
              </w:rPr>
            </w:pPr>
            <w:r>
              <w:rPr>
                <w:szCs w:val="21"/>
              </w:rPr>
              <w:t>0</w:t>
            </w:r>
          </w:p>
        </w:tc>
        <w:tc>
          <w:tcPr>
            <w:tcW w:w="1559" w:type="dxa"/>
            <w:vAlign w:val="center"/>
          </w:tcPr>
          <w:p w14:paraId="716BFF75">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4.5</w:t>
            </w:r>
          </w:p>
        </w:tc>
        <w:tc>
          <w:tcPr>
            <w:tcW w:w="1985" w:type="dxa"/>
            <w:vAlign w:val="center"/>
          </w:tcPr>
          <w:p w14:paraId="34C0180B">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w:t>
            </w:r>
          </w:p>
        </w:tc>
        <w:tc>
          <w:tcPr>
            <w:tcW w:w="1842" w:type="dxa"/>
            <w:vAlign w:val="center"/>
          </w:tcPr>
          <w:p w14:paraId="6D2A6A05">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4.5</w:t>
            </w:r>
          </w:p>
        </w:tc>
        <w:tc>
          <w:tcPr>
            <w:tcW w:w="1189" w:type="dxa"/>
            <w:vAlign w:val="center"/>
          </w:tcPr>
          <w:p w14:paraId="04D38E4F">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+4.5</w:t>
            </w:r>
          </w:p>
        </w:tc>
      </w:tr>
    </w:tbl>
    <w:p w14:paraId="7CEAC91B">
      <w:pPr>
        <w:pStyle w:val="2"/>
        <w:rPr>
          <w:rFonts w:ascii="Times New Roman" w:hAnsi="Times New Roma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08DE5515"/>
    <w:sectPr>
      <w:footerReference r:id="rId7"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start="1"/>
      <w:cols w:space="0" w:num="1"/>
      <w:docGrid w:type="lines" w:linePitch="31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PS_1698719151" w:date="2024-10-08T16:24:31Z" w:initials="">
    <w:p w14:paraId="53A534C8">
      <w:pPr>
        <w:pStyle w:val="8"/>
        <w:rPr>
          <w:rFonts w:hint="eastAsia" w:eastAsia="宋体"/>
          <w:lang w:eastAsia="zh-CN"/>
        </w:rPr>
      </w:pPr>
      <w:r>
        <w:rPr>
          <w:rFonts w:hint="eastAsia"/>
          <w:lang w:eastAsia="zh-CN"/>
        </w:rPr>
        <w:t>补充备案证中的涡电流分选机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3A534C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44030BC-FCAD-40AB-9291-B9EECA55B162}"/>
  </w:font>
  <w:font w:name="黑体">
    <w:panose1 w:val="02010609060101010101"/>
    <w:charset w:val="86"/>
    <w:family w:val="auto"/>
    <w:pitch w:val="default"/>
    <w:sig w:usb0="800002BF" w:usb1="38CF7CFA" w:usb2="00000016" w:usb3="00000000" w:csb0="00040001" w:csb1="00000000"/>
    <w:embedRegular r:id="rId2" w:fontKey="{2DB8F12E-B527-4E53-AA34-95CA81E52F7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917CA0E5-1559-44C6-BB0E-29EBA08424E8}"/>
  </w:font>
  <w:font w:name="楷体_GB2312">
    <w:panose1 w:val="02010609030101010101"/>
    <w:charset w:val="86"/>
    <w:family w:val="modern"/>
    <w:pitch w:val="default"/>
    <w:sig w:usb0="00000001" w:usb1="080E0000" w:usb2="00000000" w:usb3="00000000" w:csb0="00040000" w:csb1="00000000"/>
    <w:embedRegular r:id="rId4" w:fontKey="{94DD1AAB-73E0-43BA-AC71-1EC4110E1FE0}"/>
  </w:font>
  <w:font w:name="宋体-18030">
    <w:altName w:val="微软雅黑"/>
    <w:panose1 w:val="00000000000000000000"/>
    <w:charset w:val="86"/>
    <w:family w:val="modern"/>
    <w:pitch w:val="default"/>
    <w:sig w:usb0="00000000" w:usb1="00000000" w:usb2="000A005E" w:usb3="00000000" w:csb0="00040001" w:csb1="00000000"/>
  </w:font>
  <w:font w:name="MS Sans Serif">
    <w:altName w:val="Segoe Print"/>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方正小标宋_GBK">
    <w:panose1 w:val="02000000000000000000"/>
    <w:charset w:val="86"/>
    <w:family w:val="script"/>
    <w:pitch w:val="default"/>
    <w:sig w:usb0="A00002BF" w:usb1="38CF7CFA" w:usb2="00082016" w:usb3="00000000" w:csb0="00040001" w:csb1="00000000"/>
    <w:embedRegular r:id="rId5" w:fontKey="{EC40E684-1939-4865-9A1C-CCDA570E2B30}"/>
  </w:font>
  <w:font w:name="方正小标宋简体">
    <w:panose1 w:val="02000000000000000000"/>
    <w:charset w:val="86"/>
    <w:family w:val="auto"/>
    <w:pitch w:val="default"/>
    <w:sig w:usb0="00000001" w:usb1="08000000" w:usb2="00000000" w:usb3="00000000" w:csb0="00040000" w:csb1="00000000"/>
    <w:embedRegular r:id="rId6" w:fontKey="{B81C8728-C04C-474D-8FA0-01CE48F315D8}"/>
  </w:font>
  <w:font w:name="华文仿宋">
    <w:panose1 w:val="02010600040101010101"/>
    <w:charset w:val="86"/>
    <w:family w:val="auto"/>
    <w:pitch w:val="default"/>
    <w:sig w:usb0="00000287" w:usb1="080F0000" w:usb2="00000000" w:usb3="00000000" w:csb0="0004009F" w:csb1="DFD70000"/>
    <w:embedRegular r:id="rId7" w:fontKey="{353D1502-08C6-4F5E-92FB-4502BB790FBA}"/>
  </w:font>
  <w:font w:name="仿宋">
    <w:panose1 w:val="02010609060101010101"/>
    <w:charset w:val="86"/>
    <w:family w:val="modern"/>
    <w:pitch w:val="default"/>
    <w:sig w:usb0="800002BF" w:usb1="38CF7CFA" w:usb2="00000016" w:usb3="00000000" w:csb0="00040001" w:csb1="00000000"/>
    <w:embedRegular r:id="rId8" w:fontKey="{A3E9C87B-F2A4-4087-B565-DCE7A63E57CC}"/>
  </w:font>
  <w:font w:name="MS Mincho">
    <w:panose1 w:val="02020609040205080304"/>
    <w:charset w:val="80"/>
    <w:family w:val="roman"/>
    <w:pitch w:val="default"/>
    <w:sig w:usb0="E00002FF" w:usb1="6AC7FDFB" w:usb2="00000012" w:usb3="00000000" w:csb0="4002009F" w:csb1="DFD70000"/>
    <w:embedRegular r:id="rId9" w:fontKey="{C7383583-5425-4D1F-B534-D5FE0E7A2AF7}"/>
  </w:font>
  <w:font w:name="Wingdings 2">
    <w:panose1 w:val="05020102010507070707"/>
    <w:charset w:val="02"/>
    <w:family w:val="roman"/>
    <w:pitch w:val="default"/>
    <w:sig w:usb0="00000000" w:usb1="00000000" w:usb2="00000000" w:usb3="00000000" w:csb0="80000000" w:csb1="00000000"/>
    <w:embedRegular r:id="rId10" w:fontKey="{F8338F6D-33D3-49A2-A085-0073E08AED59}"/>
  </w:font>
  <w:font w:name="微软雅黑">
    <w:panose1 w:val="020B0503020204020204"/>
    <w:charset w:val="86"/>
    <w:family w:val="swiss"/>
    <w:pitch w:val="default"/>
    <w:sig w:usb0="80000287" w:usb1="280F3C52" w:usb2="00000016" w:usb3="00000000" w:csb0="0004001F" w:csb1="00000000"/>
    <w:embedRegular r:id="rId11" w:fontKey="{834ABABB-AFAD-4E86-82B3-7DD7383ADAB9}"/>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3985">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98810">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B6FBB">
                          <w:pPr>
                            <w:pStyle w:val="15"/>
                          </w:pPr>
                          <w:r>
                            <w:fldChar w:fldCharType="begin"/>
                          </w:r>
                          <w:r>
                            <w:instrText xml:space="preserve"> PAGE  \* MERGEFORMAT </w:instrText>
                          </w:r>
                          <w:r>
                            <w:fldChar w:fldCharType="separate"/>
                          </w:r>
                          <w:r>
                            <w:t>- 59 -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4B6FBB">
                    <w:pPr>
                      <w:pStyle w:val="15"/>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A33A2">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1947C"/>
    <w:multiLevelType w:val="singleLevel"/>
    <w:tmpl w:val="8B71947C"/>
    <w:lvl w:ilvl="0" w:tentative="0">
      <w:start w:val="3"/>
      <w:numFmt w:val="chineseCounting"/>
      <w:suff w:val="nothing"/>
      <w:lvlText w:val="%1、"/>
      <w:lvlJc w:val="left"/>
      <w:rPr>
        <w:rFonts w:hint="eastAsia"/>
      </w:rPr>
    </w:lvl>
  </w:abstractNum>
  <w:abstractNum w:abstractNumId="1">
    <w:nsid w:val="A5F44E8C"/>
    <w:multiLevelType w:val="singleLevel"/>
    <w:tmpl w:val="A5F44E8C"/>
    <w:lvl w:ilvl="0" w:tentative="0">
      <w:start w:val="2"/>
      <w:numFmt w:val="decimal"/>
      <w:suff w:val="nothing"/>
      <w:lvlText w:val="%1、"/>
      <w:lvlJc w:val="left"/>
    </w:lvl>
  </w:abstractNum>
  <w:abstractNum w:abstractNumId="2">
    <w:nsid w:val="C8AE7C9B"/>
    <w:multiLevelType w:val="singleLevel"/>
    <w:tmpl w:val="C8AE7C9B"/>
    <w:lvl w:ilvl="0" w:tentative="0">
      <w:start w:val="1"/>
      <w:numFmt w:val="decimal"/>
      <w:suff w:val="nothing"/>
      <w:lvlText w:val="%1、"/>
      <w:lvlJc w:val="left"/>
    </w:lvl>
  </w:abstractNum>
  <w:abstractNum w:abstractNumId="3">
    <w:nsid w:val="E6E03DE3"/>
    <w:multiLevelType w:val="singleLevel"/>
    <w:tmpl w:val="E6E03DE3"/>
    <w:lvl w:ilvl="0" w:tentative="0">
      <w:start w:val="2"/>
      <w:numFmt w:val="chineseCounting"/>
      <w:suff w:val="nothing"/>
      <w:lvlText w:val="%1、"/>
      <w:lvlJc w:val="left"/>
      <w:rPr>
        <w:rFonts w:hint="eastAsia"/>
      </w:rPr>
    </w:lvl>
  </w:abstractNum>
  <w:abstractNum w:abstractNumId="4">
    <w:nsid w:val="F87DE846"/>
    <w:multiLevelType w:val="singleLevel"/>
    <w:tmpl w:val="F87DE846"/>
    <w:lvl w:ilvl="0" w:tentative="0">
      <w:start w:val="1"/>
      <w:numFmt w:val="decimal"/>
      <w:suff w:val="nothing"/>
      <w:lvlText w:val="%1、"/>
      <w:lvlJc w:val="left"/>
    </w:lvl>
  </w:abstractNum>
  <w:abstractNum w:abstractNumId="5">
    <w:nsid w:val="538A4792"/>
    <w:multiLevelType w:val="singleLevel"/>
    <w:tmpl w:val="538A4792"/>
    <w:lvl w:ilvl="0" w:tentative="0">
      <w:start w:val="11"/>
      <w:numFmt w:val="decimal"/>
      <w:suff w:val="nothing"/>
      <w:lvlText w:val="%1、"/>
      <w:lvlJc w:val="left"/>
    </w:lvl>
  </w:abstractNum>
  <w:abstractNum w:abstractNumId="6">
    <w:nsid w:val="7C19CF76"/>
    <w:multiLevelType w:val="singleLevel"/>
    <w:tmpl w:val="7C19CF76"/>
    <w:lvl w:ilvl="0" w:tentative="0">
      <w:start w:val="1"/>
      <w:numFmt w:val="decimal"/>
      <w:suff w:val="nothing"/>
      <w:lvlText w:val="%1、"/>
      <w:lvlJc w:val="left"/>
    </w:lvl>
  </w:abstractNum>
  <w:num w:numId="1">
    <w:abstractNumId w:val="5"/>
  </w:num>
  <w:num w:numId="2">
    <w:abstractNumId w:val="3"/>
  </w:num>
  <w:num w:numId="3">
    <w:abstractNumId w:val="4"/>
  </w:num>
  <w:num w:numId="4">
    <w:abstractNumId w:val="1"/>
  </w:num>
  <w:num w:numId="5">
    <w:abstractNumId w:val="2"/>
  </w:num>
  <w:num w:numId="6">
    <w:abstractNumId w:val="6"/>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98719151">
    <w15:presenceInfo w15:providerId="WPS Office" w15:userId="494059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YTg4Yjc2NTk1YjVlNWUzNTFlODE4NjE5YzAzZDEifQ=="/>
  </w:docVars>
  <w:rsids>
    <w:rsidRoot w:val="00172A27"/>
    <w:rsid w:val="00084A84"/>
    <w:rsid w:val="000C3E7E"/>
    <w:rsid w:val="00172A27"/>
    <w:rsid w:val="00242048"/>
    <w:rsid w:val="002B5280"/>
    <w:rsid w:val="00307A95"/>
    <w:rsid w:val="003577A2"/>
    <w:rsid w:val="00410CBC"/>
    <w:rsid w:val="005F0123"/>
    <w:rsid w:val="00685503"/>
    <w:rsid w:val="00755931"/>
    <w:rsid w:val="00805B49"/>
    <w:rsid w:val="009323D2"/>
    <w:rsid w:val="00A566D5"/>
    <w:rsid w:val="00A72159"/>
    <w:rsid w:val="00AD7338"/>
    <w:rsid w:val="00B5130A"/>
    <w:rsid w:val="00BF0E19"/>
    <w:rsid w:val="00C50B26"/>
    <w:rsid w:val="00D9200A"/>
    <w:rsid w:val="00E2702E"/>
    <w:rsid w:val="00F705B3"/>
    <w:rsid w:val="01050F22"/>
    <w:rsid w:val="01252322"/>
    <w:rsid w:val="012D2227"/>
    <w:rsid w:val="012E7A5D"/>
    <w:rsid w:val="01462CE1"/>
    <w:rsid w:val="01804A4C"/>
    <w:rsid w:val="01AE12BB"/>
    <w:rsid w:val="01CC1A40"/>
    <w:rsid w:val="01EF572E"/>
    <w:rsid w:val="022301D7"/>
    <w:rsid w:val="02724408"/>
    <w:rsid w:val="028A3325"/>
    <w:rsid w:val="02922C89"/>
    <w:rsid w:val="029F3C0B"/>
    <w:rsid w:val="02B04EBD"/>
    <w:rsid w:val="02CD5A6F"/>
    <w:rsid w:val="02EE6DD2"/>
    <w:rsid w:val="02F079B0"/>
    <w:rsid w:val="030F15BF"/>
    <w:rsid w:val="031C07A5"/>
    <w:rsid w:val="0329502C"/>
    <w:rsid w:val="036117B5"/>
    <w:rsid w:val="03685798"/>
    <w:rsid w:val="038A7E04"/>
    <w:rsid w:val="03920A67"/>
    <w:rsid w:val="03A46E1B"/>
    <w:rsid w:val="03D8291E"/>
    <w:rsid w:val="03F11C32"/>
    <w:rsid w:val="041A1159"/>
    <w:rsid w:val="041F13C3"/>
    <w:rsid w:val="043164D2"/>
    <w:rsid w:val="04390EE3"/>
    <w:rsid w:val="043C7CB0"/>
    <w:rsid w:val="048E5274"/>
    <w:rsid w:val="049F343C"/>
    <w:rsid w:val="04E6106A"/>
    <w:rsid w:val="052A59B1"/>
    <w:rsid w:val="0530773D"/>
    <w:rsid w:val="05471C6A"/>
    <w:rsid w:val="055C757F"/>
    <w:rsid w:val="05791EDF"/>
    <w:rsid w:val="05882122"/>
    <w:rsid w:val="05AF76AE"/>
    <w:rsid w:val="05B2719F"/>
    <w:rsid w:val="05B728D5"/>
    <w:rsid w:val="05E91BB0"/>
    <w:rsid w:val="0616772D"/>
    <w:rsid w:val="062C0CFF"/>
    <w:rsid w:val="06622973"/>
    <w:rsid w:val="069F1BF0"/>
    <w:rsid w:val="06E521B8"/>
    <w:rsid w:val="07091040"/>
    <w:rsid w:val="070E07D7"/>
    <w:rsid w:val="07173348"/>
    <w:rsid w:val="071D4AEC"/>
    <w:rsid w:val="072F4F4B"/>
    <w:rsid w:val="07333855"/>
    <w:rsid w:val="07B54D24"/>
    <w:rsid w:val="07D72EEC"/>
    <w:rsid w:val="07D96C64"/>
    <w:rsid w:val="081C3C4D"/>
    <w:rsid w:val="086230FE"/>
    <w:rsid w:val="08752E31"/>
    <w:rsid w:val="08793FA4"/>
    <w:rsid w:val="08BB636A"/>
    <w:rsid w:val="08D97D1B"/>
    <w:rsid w:val="08FD794D"/>
    <w:rsid w:val="09A432A2"/>
    <w:rsid w:val="09C0632E"/>
    <w:rsid w:val="09D771D4"/>
    <w:rsid w:val="09DB4F16"/>
    <w:rsid w:val="09F64A7F"/>
    <w:rsid w:val="09F66850"/>
    <w:rsid w:val="09FC6C3A"/>
    <w:rsid w:val="0A2F5262"/>
    <w:rsid w:val="0A47243A"/>
    <w:rsid w:val="0A5C592B"/>
    <w:rsid w:val="0A74519C"/>
    <w:rsid w:val="0A7F7F97"/>
    <w:rsid w:val="0A84735B"/>
    <w:rsid w:val="0A8643B4"/>
    <w:rsid w:val="0A8855A3"/>
    <w:rsid w:val="0AA55524"/>
    <w:rsid w:val="0AB319EF"/>
    <w:rsid w:val="0ABA2D7D"/>
    <w:rsid w:val="0ABB08A3"/>
    <w:rsid w:val="0AC37758"/>
    <w:rsid w:val="0AC534D0"/>
    <w:rsid w:val="0AE3742A"/>
    <w:rsid w:val="0AEE0C79"/>
    <w:rsid w:val="0AFA13CC"/>
    <w:rsid w:val="0B057D70"/>
    <w:rsid w:val="0B266665"/>
    <w:rsid w:val="0B2B5A29"/>
    <w:rsid w:val="0B550CF8"/>
    <w:rsid w:val="0B93537C"/>
    <w:rsid w:val="0BB04180"/>
    <w:rsid w:val="0BBD6F6A"/>
    <w:rsid w:val="0BC83278"/>
    <w:rsid w:val="0C3B1C9C"/>
    <w:rsid w:val="0C475CEA"/>
    <w:rsid w:val="0C760F26"/>
    <w:rsid w:val="0C7F1213"/>
    <w:rsid w:val="0C917B0E"/>
    <w:rsid w:val="0C9C64B3"/>
    <w:rsid w:val="0CAC2B9A"/>
    <w:rsid w:val="0CD81BE1"/>
    <w:rsid w:val="0D1F336B"/>
    <w:rsid w:val="0D646FD0"/>
    <w:rsid w:val="0D8E6743"/>
    <w:rsid w:val="0D9D5D5A"/>
    <w:rsid w:val="0D9F44AC"/>
    <w:rsid w:val="0DBE1E5E"/>
    <w:rsid w:val="0DBF4B4E"/>
    <w:rsid w:val="0DC269E9"/>
    <w:rsid w:val="0DDF0D4D"/>
    <w:rsid w:val="0DE4359F"/>
    <w:rsid w:val="0DF04D08"/>
    <w:rsid w:val="0DFE11D3"/>
    <w:rsid w:val="0E067F78"/>
    <w:rsid w:val="0E0A5DCA"/>
    <w:rsid w:val="0E0E0C11"/>
    <w:rsid w:val="0E772D33"/>
    <w:rsid w:val="0E77757C"/>
    <w:rsid w:val="0E8D07A9"/>
    <w:rsid w:val="0F0942D3"/>
    <w:rsid w:val="0F403A6D"/>
    <w:rsid w:val="0F43477C"/>
    <w:rsid w:val="0FD068F7"/>
    <w:rsid w:val="0FF3288D"/>
    <w:rsid w:val="100D03C2"/>
    <w:rsid w:val="10172A20"/>
    <w:rsid w:val="10606AE5"/>
    <w:rsid w:val="107300D2"/>
    <w:rsid w:val="108F25B6"/>
    <w:rsid w:val="10CC380A"/>
    <w:rsid w:val="10F0323E"/>
    <w:rsid w:val="11007505"/>
    <w:rsid w:val="11082369"/>
    <w:rsid w:val="112371A2"/>
    <w:rsid w:val="115A0E16"/>
    <w:rsid w:val="115E01DA"/>
    <w:rsid w:val="11673533"/>
    <w:rsid w:val="117B2B3A"/>
    <w:rsid w:val="117D68B3"/>
    <w:rsid w:val="118C4D3C"/>
    <w:rsid w:val="119D51A7"/>
    <w:rsid w:val="11AC0F46"/>
    <w:rsid w:val="11B61DC5"/>
    <w:rsid w:val="11F254F3"/>
    <w:rsid w:val="11F7458A"/>
    <w:rsid w:val="11F95924"/>
    <w:rsid w:val="12465749"/>
    <w:rsid w:val="124B4C03"/>
    <w:rsid w:val="12503FC7"/>
    <w:rsid w:val="125D0492"/>
    <w:rsid w:val="12850115"/>
    <w:rsid w:val="128A74D9"/>
    <w:rsid w:val="12974DC3"/>
    <w:rsid w:val="129D5DCF"/>
    <w:rsid w:val="12AF308F"/>
    <w:rsid w:val="12B32EA0"/>
    <w:rsid w:val="12B844CD"/>
    <w:rsid w:val="12BC165D"/>
    <w:rsid w:val="12D673A1"/>
    <w:rsid w:val="132316DC"/>
    <w:rsid w:val="13255454"/>
    <w:rsid w:val="132C6A77"/>
    <w:rsid w:val="13451652"/>
    <w:rsid w:val="13675A6C"/>
    <w:rsid w:val="13781A27"/>
    <w:rsid w:val="13887343"/>
    <w:rsid w:val="13A520F1"/>
    <w:rsid w:val="13BD38DE"/>
    <w:rsid w:val="13C3212E"/>
    <w:rsid w:val="13C71B8A"/>
    <w:rsid w:val="13E175CD"/>
    <w:rsid w:val="13E40E6B"/>
    <w:rsid w:val="14125010"/>
    <w:rsid w:val="141D4A77"/>
    <w:rsid w:val="141D612B"/>
    <w:rsid w:val="14221993"/>
    <w:rsid w:val="14263231"/>
    <w:rsid w:val="14425B91"/>
    <w:rsid w:val="14593607"/>
    <w:rsid w:val="146B4CA6"/>
    <w:rsid w:val="148F58D9"/>
    <w:rsid w:val="148F7029"/>
    <w:rsid w:val="149376E3"/>
    <w:rsid w:val="14A80E67"/>
    <w:rsid w:val="14CF38C9"/>
    <w:rsid w:val="152754B3"/>
    <w:rsid w:val="1585042C"/>
    <w:rsid w:val="15A308B2"/>
    <w:rsid w:val="15AC59B8"/>
    <w:rsid w:val="15B8435D"/>
    <w:rsid w:val="15B91E83"/>
    <w:rsid w:val="15CE592F"/>
    <w:rsid w:val="15E742E7"/>
    <w:rsid w:val="16007AB2"/>
    <w:rsid w:val="16163C75"/>
    <w:rsid w:val="161708AE"/>
    <w:rsid w:val="162E2871"/>
    <w:rsid w:val="163D4862"/>
    <w:rsid w:val="16677B31"/>
    <w:rsid w:val="166C5148"/>
    <w:rsid w:val="167314B4"/>
    <w:rsid w:val="16827B1E"/>
    <w:rsid w:val="16B56AEF"/>
    <w:rsid w:val="16EB2510"/>
    <w:rsid w:val="16FE3271"/>
    <w:rsid w:val="17375756"/>
    <w:rsid w:val="175B40AA"/>
    <w:rsid w:val="1768590F"/>
    <w:rsid w:val="17692876"/>
    <w:rsid w:val="176F19F9"/>
    <w:rsid w:val="176F4EEF"/>
    <w:rsid w:val="177C760C"/>
    <w:rsid w:val="177E5132"/>
    <w:rsid w:val="17B44608"/>
    <w:rsid w:val="17C0399D"/>
    <w:rsid w:val="17CF3681"/>
    <w:rsid w:val="17E05DED"/>
    <w:rsid w:val="17FD5D38"/>
    <w:rsid w:val="180A2E6A"/>
    <w:rsid w:val="18137D13"/>
    <w:rsid w:val="183F54F5"/>
    <w:rsid w:val="18585A19"/>
    <w:rsid w:val="187C78C4"/>
    <w:rsid w:val="188449CB"/>
    <w:rsid w:val="188919B3"/>
    <w:rsid w:val="188F61BA"/>
    <w:rsid w:val="18A76DD5"/>
    <w:rsid w:val="18A94431"/>
    <w:rsid w:val="18B3705E"/>
    <w:rsid w:val="18BA03EC"/>
    <w:rsid w:val="18D314AE"/>
    <w:rsid w:val="18FC0A05"/>
    <w:rsid w:val="19063D11"/>
    <w:rsid w:val="191E4E1F"/>
    <w:rsid w:val="192166BD"/>
    <w:rsid w:val="19C655FF"/>
    <w:rsid w:val="19D6570D"/>
    <w:rsid w:val="19E17158"/>
    <w:rsid w:val="19EF056A"/>
    <w:rsid w:val="19FD1238"/>
    <w:rsid w:val="1A0F6516"/>
    <w:rsid w:val="1A1A3838"/>
    <w:rsid w:val="1A217E30"/>
    <w:rsid w:val="1A2A0016"/>
    <w:rsid w:val="1AAE3F81"/>
    <w:rsid w:val="1ACC4407"/>
    <w:rsid w:val="1B0535FF"/>
    <w:rsid w:val="1B177D78"/>
    <w:rsid w:val="1B3F2E2B"/>
    <w:rsid w:val="1B5514C4"/>
    <w:rsid w:val="1B5E4995"/>
    <w:rsid w:val="1B61138B"/>
    <w:rsid w:val="1B8E1174"/>
    <w:rsid w:val="1BC05D1A"/>
    <w:rsid w:val="1BC33A5C"/>
    <w:rsid w:val="1BCD67AA"/>
    <w:rsid w:val="1BEC4D61"/>
    <w:rsid w:val="1BF00239"/>
    <w:rsid w:val="1BFF1055"/>
    <w:rsid w:val="1C236E8A"/>
    <w:rsid w:val="1C330BE1"/>
    <w:rsid w:val="1C8036FB"/>
    <w:rsid w:val="1C9A2A0F"/>
    <w:rsid w:val="1CD557F5"/>
    <w:rsid w:val="1CD777BF"/>
    <w:rsid w:val="1CDB6B83"/>
    <w:rsid w:val="1CFC0FD3"/>
    <w:rsid w:val="1D040B3A"/>
    <w:rsid w:val="1D17405F"/>
    <w:rsid w:val="1D37025D"/>
    <w:rsid w:val="1D41732E"/>
    <w:rsid w:val="1D442AD0"/>
    <w:rsid w:val="1D76522A"/>
    <w:rsid w:val="1DE008F5"/>
    <w:rsid w:val="1E087E4C"/>
    <w:rsid w:val="1E3824DF"/>
    <w:rsid w:val="1E401394"/>
    <w:rsid w:val="1E437B8D"/>
    <w:rsid w:val="1E5866DD"/>
    <w:rsid w:val="1E7E1EBC"/>
    <w:rsid w:val="1E91634F"/>
    <w:rsid w:val="1E993C95"/>
    <w:rsid w:val="1EAF02C7"/>
    <w:rsid w:val="1ED4347E"/>
    <w:rsid w:val="1EFA59E6"/>
    <w:rsid w:val="1F8C4407"/>
    <w:rsid w:val="1FA53BA4"/>
    <w:rsid w:val="1FB042F7"/>
    <w:rsid w:val="1FC3227C"/>
    <w:rsid w:val="1FD61FB0"/>
    <w:rsid w:val="1FED554B"/>
    <w:rsid w:val="1FED72F9"/>
    <w:rsid w:val="20216FA3"/>
    <w:rsid w:val="204C2272"/>
    <w:rsid w:val="20684BD2"/>
    <w:rsid w:val="20AE3383"/>
    <w:rsid w:val="20B41BC5"/>
    <w:rsid w:val="20E56222"/>
    <w:rsid w:val="20FC3BAC"/>
    <w:rsid w:val="2129610F"/>
    <w:rsid w:val="213845A4"/>
    <w:rsid w:val="217C26E3"/>
    <w:rsid w:val="21C72CFD"/>
    <w:rsid w:val="21D35C78"/>
    <w:rsid w:val="21E14C3C"/>
    <w:rsid w:val="21E7692F"/>
    <w:rsid w:val="21EA715D"/>
    <w:rsid w:val="21EB7868"/>
    <w:rsid w:val="21FC0BA1"/>
    <w:rsid w:val="220628F4"/>
    <w:rsid w:val="22137BB5"/>
    <w:rsid w:val="22280ABD"/>
    <w:rsid w:val="223B095D"/>
    <w:rsid w:val="223E208E"/>
    <w:rsid w:val="225550A9"/>
    <w:rsid w:val="225D25B3"/>
    <w:rsid w:val="22A628B8"/>
    <w:rsid w:val="22AD2D70"/>
    <w:rsid w:val="22BF16BB"/>
    <w:rsid w:val="22C2681B"/>
    <w:rsid w:val="22CC1684"/>
    <w:rsid w:val="23000F98"/>
    <w:rsid w:val="230D30B5"/>
    <w:rsid w:val="232C1EE7"/>
    <w:rsid w:val="232F19D7"/>
    <w:rsid w:val="23384D2F"/>
    <w:rsid w:val="236C0269"/>
    <w:rsid w:val="23A423C5"/>
    <w:rsid w:val="23B56380"/>
    <w:rsid w:val="23B75C54"/>
    <w:rsid w:val="23FA1FE5"/>
    <w:rsid w:val="2405792A"/>
    <w:rsid w:val="240C1D6D"/>
    <w:rsid w:val="24156E1F"/>
    <w:rsid w:val="24313A78"/>
    <w:rsid w:val="24482D50"/>
    <w:rsid w:val="244F2331"/>
    <w:rsid w:val="245636BF"/>
    <w:rsid w:val="24755A13"/>
    <w:rsid w:val="247D2589"/>
    <w:rsid w:val="249935AC"/>
    <w:rsid w:val="24A0493A"/>
    <w:rsid w:val="24D26ABE"/>
    <w:rsid w:val="2535528D"/>
    <w:rsid w:val="25407ECB"/>
    <w:rsid w:val="256242E5"/>
    <w:rsid w:val="256C6F12"/>
    <w:rsid w:val="258438ED"/>
    <w:rsid w:val="2584600A"/>
    <w:rsid w:val="258D4564"/>
    <w:rsid w:val="259F1096"/>
    <w:rsid w:val="25BA7C7E"/>
    <w:rsid w:val="25D9579A"/>
    <w:rsid w:val="25F47BB1"/>
    <w:rsid w:val="260333D3"/>
    <w:rsid w:val="26235823"/>
    <w:rsid w:val="2629095F"/>
    <w:rsid w:val="265C0D35"/>
    <w:rsid w:val="265F25D3"/>
    <w:rsid w:val="26751EDA"/>
    <w:rsid w:val="26753BA5"/>
    <w:rsid w:val="267A5FE7"/>
    <w:rsid w:val="268169ED"/>
    <w:rsid w:val="26955FF5"/>
    <w:rsid w:val="26B97F35"/>
    <w:rsid w:val="26C9006A"/>
    <w:rsid w:val="26CC5EBA"/>
    <w:rsid w:val="26DE799C"/>
    <w:rsid w:val="27297035"/>
    <w:rsid w:val="274719EC"/>
    <w:rsid w:val="277D0F63"/>
    <w:rsid w:val="278E2DFF"/>
    <w:rsid w:val="27D4236B"/>
    <w:rsid w:val="281E2746"/>
    <w:rsid w:val="28335AC5"/>
    <w:rsid w:val="28485A15"/>
    <w:rsid w:val="284E0B51"/>
    <w:rsid w:val="284F091D"/>
    <w:rsid w:val="284F6DA3"/>
    <w:rsid w:val="28506677"/>
    <w:rsid w:val="286255B2"/>
    <w:rsid w:val="28885E11"/>
    <w:rsid w:val="28920A3E"/>
    <w:rsid w:val="28C22D40"/>
    <w:rsid w:val="28E54823"/>
    <w:rsid w:val="291458F7"/>
    <w:rsid w:val="292A75BF"/>
    <w:rsid w:val="293F6D86"/>
    <w:rsid w:val="296216DD"/>
    <w:rsid w:val="296F6E5A"/>
    <w:rsid w:val="297E3888"/>
    <w:rsid w:val="29B844D4"/>
    <w:rsid w:val="29E03A2B"/>
    <w:rsid w:val="2A077209"/>
    <w:rsid w:val="2A1F344C"/>
    <w:rsid w:val="2A982810"/>
    <w:rsid w:val="2AED3A46"/>
    <w:rsid w:val="2AF14141"/>
    <w:rsid w:val="2B1E1913"/>
    <w:rsid w:val="2B2B4C62"/>
    <w:rsid w:val="2B2C1D93"/>
    <w:rsid w:val="2B3143C8"/>
    <w:rsid w:val="2B373B1E"/>
    <w:rsid w:val="2B414671"/>
    <w:rsid w:val="2B801021"/>
    <w:rsid w:val="2B9351F9"/>
    <w:rsid w:val="2BA74800"/>
    <w:rsid w:val="2BAF7B59"/>
    <w:rsid w:val="2BC30B65"/>
    <w:rsid w:val="2BCA0724"/>
    <w:rsid w:val="2BCF1FA9"/>
    <w:rsid w:val="2BD25378"/>
    <w:rsid w:val="2BE23A8A"/>
    <w:rsid w:val="2BFC0384"/>
    <w:rsid w:val="2C056A67"/>
    <w:rsid w:val="2C060828"/>
    <w:rsid w:val="2C0E487F"/>
    <w:rsid w:val="2C0F0308"/>
    <w:rsid w:val="2C131E96"/>
    <w:rsid w:val="2C1F6A8C"/>
    <w:rsid w:val="2C2825A2"/>
    <w:rsid w:val="2C4B6F7F"/>
    <w:rsid w:val="2C7E7C57"/>
    <w:rsid w:val="2C7F5AF1"/>
    <w:rsid w:val="2C954FA0"/>
    <w:rsid w:val="2CD1045A"/>
    <w:rsid w:val="2CE37ABA"/>
    <w:rsid w:val="2D114186"/>
    <w:rsid w:val="2D427AAD"/>
    <w:rsid w:val="2D5D3BEA"/>
    <w:rsid w:val="2DF67BA8"/>
    <w:rsid w:val="2E051CB2"/>
    <w:rsid w:val="2E232138"/>
    <w:rsid w:val="2E2E2FB7"/>
    <w:rsid w:val="2E3E6F1F"/>
    <w:rsid w:val="2E50117F"/>
    <w:rsid w:val="2E6D4CAE"/>
    <w:rsid w:val="2E97690B"/>
    <w:rsid w:val="2EA8720D"/>
    <w:rsid w:val="2EA92EC4"/>
    <w:rsid w:val="2EAA27FC"/>
    <w:rsid w:val="2EC1207D"/>
    <w:rsid w:val="2EC35DF5"/>
    <w:rsid w:val="2EFA733D"/>
    <w:rsid w:val="2F77098D"/>
    <w:rsid w:val="2F7E7F6E"/>
    <w:rsid w:val="2F9A2411"/>
    <w:rsid w:val="2F9C11F0"/>
    <w:rsid w:val="2FAA48BF"/>
    <w:rsid w:val="2FC85744"/>
    <w:rsid w:val="30111C5E"/>
    <w:rsid w:val="30176275"/>
    <w:rsid w:val="30382D86"/>
    <w:rsid w:val="30731B82"/>
    <w:rsid w:val="30C324A1"/>
    <w:rsid w:val="3106021B"/>
    <w:rsid w:val="31083F93"/>
    <w:rsid w:val="310B75DF"/>
    <w:rsid w:val="31181CFC"/>
    <w:rsid w:val="311D0E24"/>
    <w:rsid w:val="311E5564"/>
    <w:rsid w:val="31480833"/>
    <w:rsid w:val="3149291E"/>
    <w:rsid w:val="31540F86"/>
    <w:rsid w:val="31903F88"/>
    <w:rsid w:val="31B47C77"/>
    <w:rsid w:val="31C14142"/>
    <w:rsid w:val="31C66705"/>
    <w:rsid w:val="31EF0CAF"/>
    <w:rsid w:val="32003D57"/>
    <w:rsid w:val="32342B66"/>
    <w:rsid w:val="3235415E"/>
    <w:rsid w:val="32513718"/>
    <w:rsid w:val="32625925"/>
    <w:rsid w:val="3276108C"/>
    <w:rsid w:val="327D450D"/>
    <w:rsid w:val="328C4750"/>
    <w:rsid w:val="329D38CA"/>
    <w:rsid w:val="32BD2B5B"/>
    <w:rsid w:val="32C65EB4"/>
    <w:rsid w:val="32CC0FF0"/>
    <w:rsid w:val="32CD67F6"/>
    <w:rsid w:val="32E14A9C"/>
    <w:rsid w:val="337A6C9E"/>
    <w:rsid w:val="337F42B4"/>
    <w:rsid w:val="338C3ACE"/>
    <w:rsid w:val="339C7805"/>
    <w:rsid w:val="3402116D"/>
    <w:rsid w:val="34036C94"/>
    <w:rsid w:val="342E719F"/>
    <w:rsid w:val="3431735D"/>
    <w:rsid w:val="345E3AB2"/>
    <w:rsid w:val="34740A6B"/>
    <w:rsid w:val="34757B91"/>
    <w:rsid w:val="348504E2"/>
    <w:rsid w:val="34A43FD3"/>
    <w:rsid w:val="34C91C8B"/>
    <w:rsid w:val="34CC177B"/>
    <w:rsid w:val="34DB0DB0"/>
    <w:rsid w:val="35007BCE"/>
    <w:rsid w:val="3507492D"/>
    <w:rsid w:val="352459A4"/>
    <w:rsid w:val="3550415A"/>
    <w:rsid w:val="35507CB7"/>
    <w:rsid w:val="35630BCC"/>
    <w:rsid w:val="35791CD8"/>
    <w:rsid w:val="359F5A98"/>
    <w:rsid w:val="35A973C7"/>
    <w:rsid w:val="35BB1647"/>
    <w:rsid w:val="35BF7087"/>
    <w:rsid w:val="35C2018C"/>
    <w:rsid w:val="35E14DB3"/>
    <w:rsid w:val="35EB79DF"/>
    <w:rsid w:val="3600502F"/>
    <w:rsid w:val="3606423A"/>
    <w:rsid w:val="36115A00"/>
    <w:rsid w:val="36275EF0"/>
    <w:rsid w:val="3647730B"/>
    <w:rsid w:val="367D2D2D"/>
    <w:rsid w:val="369B1405"/>
    <w:rsid w:val="36AF3103"/>
    <w:rsid w:val="36C606EE"/>
    <w:rsid w:val="36E40AF7"/>
    <w:rsid w:val="36FD5C1C"/>
    <w:rsid w:val="37047978"/>
    <w:rsid w:val="37052D23"/>
    <w:rsid w:val="370C2303"/>
    <w:rsid w:val="37357164"/>
    <w:rsid w:val="37377D49"/>
    <w:rsid w:val="373C4996"/>
    <w:rsid w:val="37427AD3"/>
    <w:rsid w:val="374B2E2B"/>
    <w:rsid w:val="378C0D4E"/>
    <w:rsid w:val="37900768"/>
    <w:rsid w:val="37903FFB"/>
    <w:rsid w:val="37A8202C"/>
    <w:rsid w:val="37B564F7"/>
    <w:rsid w:val="37D01583"/>
    <w:rsid w:val="38037262"/>
    <w:rsid w:val="381E22EE"/>
    <w:rsid w:val="382A3E25"/>
    <w:rsid w:val="3834566E"/>
    <w:rsid w:val="383A69FC"/>
    <w:rsid w:val="384340E8"/>
    <w:rsid w:val="385B0E4C"/>
    <w:rsid w:val="38673C95"/>
    <w:rsid w:val="38A65E3F"/>
    <w:rsid w:val="38B62526"/>
    <w:rsid w:val="38CC1D4A"/>
    <w:rsid w:val="38D22CDA"/>
    <w:rsid w:val="38DB7247"/>
    <w:rsid w:val="38DC6925"/>
    <w:rsid w:val="38EA6674"/>
    <w:rsid w:val="390943A6"/>
    <w:rsid w:val="39096AB3"/>
    <w:rsid w:val="3914724D"/>
    <w:rsid w:val="394F30F3"/>
    <w:rsid w:val="39535FC7"/>
    <w:rsid w:val="398E6FFF"/>
    <w:rsid w:val="399A59A4"/>
    <w:rsid w:val="39A16D33"/>
    <w:rsid w:val="39A24859"/>
    <w:rsid w:val="39E430C3"/>
    <w:rsid w:val="39EE18B3"/>
    <w:rsid w:val="3A053765"/>
    <w:rsid w:val="3A372BA4"/>
    <w:rsid w:val="3A3758E9"/>
    <w:rsid w:val="3A3F654C"/>
    <w:rsid w:val="3A43603C"/>
    <w:rsid w:val="3A9C2711"/>
    <w:rsid w:val="3A9E3272"/>
    <w:rsid w:val="3B113676"/>
    <w:rsid w:val="3B2048CF"/>
    <w:rsid w:val="3B25549A"/>
    <w:rsid w:val="3B3616FD"/>
    <w:rsid w:val="3B4C0F20"/>
    <w:rsid w:val="3B51242C"/>
    <w:rsid w:val="3B5A28EF"/>
    <w:rsid w:val="3B64270E"/>
    <w:rsid w:val="3B7B1805"/>
    <w:rsid w:val="3B7C7A57"/>
    <w:rsid w:val="3BC1546A"/>
    <w:rsid w:val="3BED44B1"/>
    <w:rsid w:val="3BF47BBB"/>
    <w:rsid w:val="3C131A3E"/>
    <w:rsid w:val="3C187CC0"/>
    <w:rsid w:val="3C2E17EF"/>
    <w:rsid w:val="3C4D13F4"/>
    <w:rsid w:val="3CA1529C"/>
    <w:rsid w:val="3CA803D8"/>
    <w:rsid w:val="3CB23005"/>
    <w:rsid w:val="3CC66AB0"/>
    <w:rsid w:val="3CC80A7A"/>
    <w:rsid w:val="3D2C640E"/>
    <w:rsid w:val="3D3659E4"/>
    <w:rsid w:val="3D546BA0"/>
    <w:rsid w:val="3D6A38DF"/>
    <w:rsid w:val="3D87623F"/>
    <w:rsid w:val="3D9B7F3D"/>
    <w:rsid w:val="3DA071B3"/>
    <w:rsid w:val="3DAF5796"/>
    <w:rsid w:val="3DBE44EE"/>
    <w:rsid w:val="3DCC00F6"/>
    <w:rsid w:val="3DE6565C"/>
    <w:rsid w:val="3E265A58"/>
    <w:rsid w:val="3E2B306F"/>
    <w:rsid w:val="3E5E3444"/>
    <w:rsid w:val="3E662275"/>
    <w:rsid w:val="3E6D3687"/>
    <w:rsid w:val="3E815385"/>
    <w:rsid w:val="3EA4076A"/>
    <w:rsid w:val="3EB134D9"/>
    <w:rsid w:val="3EEB7F48"/>
    <w:rsid w:val="3EF43DA9"/>
    <w:rsid w:val="3EF5367D"/>
    <w:rsid w:val="3F0253EF"/>
    <w:rsid w:val="3F171845"/>
    <w:rsid w:val="3F20694C"/>
    <w:rsid w:val="3F207766"/>
    <w:rsid w:val="3F237562"/>
    <w:rsid w:val="3F446ADE"/>
    <w:rsid w:val="3F852C53"/>
    <w:rsid w:val="3F9115F7"/>
    <w:rsid w:val="3F966C0E"/>
    <w:rsid w:val="3FAE22DF"/>
    <w:rsid w:val="3FE34F1C"/>
    <w:rsid w:val="4014142C"/>
    <w:rsid w:val="401B37EF"/>
    <w:rsid w:val="401D10DD"/>
    <w:rsid w:val="402204A1"/>
    <w:rsid w:val="40302418"/>
    <w:rsid w:val="403A3552"/>
    <w:rsid w:val="40453D92"/>
    <w:rsid w:val="40610FCA"/>
    <w:rsid w:val="40667DA8"/>
    <w:rsid w:val="407572A9"/>
    <w:rsid w:val="40923879"/>
    <w:rsid w:val="40B530C4"/>
    <w:rsid w:val="40BB2DD0"/>
    <w:rsid w:val="40C269D6"/>
    <w:rsid w:val="40DC3149"/>
    <w:rsid w:val="40F32AFA"/>
    <w:rsid w:val="40F462E2"/>
    <w:rsid w:val="41000F07"/>
    <w:rsid w:val="41230975"/>
    <w:rsid w:val="41270465"/>
    <w:rsid w:val="412B32B0"/>
    <w:rsid w:val="41436921"/>
    <w:rsid w:val="41542D62"/>
    <w:rsid w:val="416845DA"/>
    <w:rsid w:val="41710BEB"/>
    <w:rsid w:val="41727207"/>
    <w:rsid w:val="417D0085"/>
    <w:rsid w:val="41DD6D76"/>
    <w:rsid w:val="42037D9A"/>
    <w:rsid w:val="42040468"/>
    <w:rsid w:val="42091919"/>
    <w:rsid w:val="420B7A03"/>
    <w:rsid w:val="421E1454"/>
    <w:rsid w:val="424276D7"/>
    <w:rsid w:val="42440BA3"/>
    <w:rsid w:val="428216CB"/>
    <w:rsid w:val="4283791D"/>
    <w:rsid w:val="428C6764"/>
    <w:rsid w:val="42B77542"/>
    <w:rsid w:val="43010842"/>
    <w:rsid w:val="43300EA0"/>
    <w:rsid w:val="43382C95"/>
    <w:rsid w:val="43503578"/>
    <w:rsid w:val="43813731"/>
    <w:rsid w:val="43B92C0C"/>
    <w:rsid w:val="43C31F9B"/>
    <w:rsid w:val="43D321DE"/>
    <w:rsid w:val="43FD36FF"/>
    <w:rsid w:val="441B1DD7"/>
    <w:rsid w:val="44311114"/>
    <w:rsid w:val="44315157"/>
    <w:rsid w:val="443B6DB9"/>
    <w:rsid w:val="44444E8A"/>
    <w:rsid w:val="444B6B51"/>
    <w:rsid w:val="44562E10"/>
    <w:rsid w:val="445D419E"/>
    <w:rsid w:val="446E07C6"/>
    <w:rsid w:val="448B179E"/>
    <w:rsid w:val="449000D0"/>
    <w:rsid w:val="449C3875"/>
    <w:rsid w:val="44A616A1"/>
    <w:rsid w:val="44D75CFE"/>
    <w:rsid w:val="44FA19ED"/>
    <w:rsid w:val="45264590"/>
    <w:rsid w:val="453749EF"/>
    <w:rsid w:val="453F7001"/>
    <w:rsid w:val="454A2974"/>
    <w:rsid w:val="4550160D"/>
    <w:rsid w:val="45524B4A"/>
    <w:rsid w:val="457C2402"/>
    <w:rsid w:val="45A71B75"/>
    <w:rsid w:val="45B358DD"/>
    <w:rsid w:val="45B7168C"/>
    <w:rsid w:val="45BE0C6C"/>
    <w:rsid w:val="45D71D2E"/>
    <w:rsid w:val="45DD5596"/>
    <w:rsid w:val="45F91C6B"/>
    <w:rsid w:val="4601279D"/>
    <w:rsid w:val="462B6C3D"/>
    <w:rsid w:val="464949DA"/>
    <w:rsid w:val="4670640B"/>
    <w:rsid w:val="468679DC"/>
    <w:rsid w:val="468A58A1"/>
    <w:rsid w:val="469D6AD4"/>
    <w:rsid w:val="46B917B6"/>
    <w:rsid w:val="46BA1331"/>
    <w:rsid w:val="46BD71EC"/>
    <w:rsid w:val="470B1C8F"/>
    <w:rsid w:val="47150D60"/>
    <w:rsid w:val="471C5C4A"/>
    <w:rsid w:val="472B40E0"/>
    <w:rsid w:val="473C009B"/>
    <w:rsid w:val="4779309D"/>
    <w:rsid w:val="478F25E1"/>
    <w:rsid w:val="4791488A"/>
    <w:rsid w:val="47A0687C"/>
    <w:rsid w:val="47DC187E"/>
    <w:rsid w:val="47F866B8"/>
    <w:rsid w:val="47F95F8C"/>
    <w:rsid w:val="47FB1D04"/>
    <w:rsid w:val="481E3C44"/>
    <w:rsid w:val="482A0A6B"/>
    <w:rsid w:val="482B0421"/>
    <w:rsid w:val="483E7E42"/>
    <w:rsid w:val="485A5714"/>
    <w:rsid w:val="48790E7B"/>
    <w:rsid w:val="48B55AC3"/>
    <w:rsid w:val="48C04CFB"/>
    <w:rsid w:val="48C627A0"/>
    <w:rsid w:val="48CC544E"/>
    <w:rsid w:val="48FA1FBB"/>
    <w:rsid w:val="49227764"/>
    <w:rsid w:val="49346A0B"/>
    <w:rsid w:val="497E0E3E"/>
    <w:rsid w:val="498E0956"/>
    <w:rsid w:val="499C12C5"/>
    <w:rsid w:val="499C2D9F"/>
    <w:rsid w:val="49BB7D2C"/>
    <w:rsid w:val="4A0F7CE8"/>
    <w:rsid w:val="4A1470AD"/>
    <w:rsid w:val="4A297D45"/>
    <w:rsid w:val="4A4D25BF"/>
    <w:rsid w:val="4A527BD5"/>
    <w:rsid w:val="4A613731"/>
    <w:rsid w:val="4A6E0EB3"/>
    <w:rsid w:val="4AAC19DB"/>
    <w:rsid w:val="4AAD027F"/>
    <w:rsid w:val="4AC46D25"/>
    <w:rsid w:val="4AD056CA"/>
    <w:rsid w:val="4ADA6548"/>
    <w:rsid w:val="4AE40C94"/>
    <w:rsid w:val="4AF95591"/>
    <w:rsid w:val="4B1530DD"/>
    <w:rsid w:val="4B3D0885"/>
    <w:rsid w:val="4B5D022B"/>
    <w:rsid w:val="4B690BBA"/>
    <w:rsid w:val="4B6E0A3F"/>
    <w:rsid w:val="4B803312"/>
    <w:rsid w:val="4B804579"/>
    <w:rsid w:val="4B8B7843"/>
    <w:rsid w:val="4BAF7F34"/>
    <w:rsid w:val="4BB5041C"/>
    <w:rsid w:val="4BEA27BB"/>
    <w:rsid w:val="4BFE6267"/>
    <w:rsid w:val="4C3457E4"/>
    <w:rsid w:val="4C612351"/>
    <w:rsid w:val="4C6A56AA"/>
    <w:rsid w:val="4C6D6F48"/>
    <w:rsid w:val="4C6F2CC0"/>
    <w:rsid w:val="4C8D3147"/>
    <w:rsid w:val="4CF11927"/>
    <w:rsid w:val="4D1D271C"/>
    <w:rsid w:val="4D245859"/>
    <w:rsid w:val="4D2A6BE7"/>
    <w:rsid w:val="4DA70238"/>
    <w:rsid w:val="4DAA368D"/>
    <w:rsid w:val="4DBA61BD"/>
    <w:rsid w:val="4DC96400"/>
    <w:rsid w:val="4DD252B5"/>
    <w:rsid w:val="4DE137A9"/>
    <w:rsid w:val="4DF72F6D"/>
    <w:rsid w:val="4DFA43D9"/>
    <w:rsid w:val="4E182323"/>
    <w:rsid w:val="4E1C6E78"/>
    <w:rsid w:val="4E21623C"/>
    <w:rsid w:val="4E2B2C17"/>
    <w:rsid w:val="4E4F6905"/>
    <w:rsid w:val="4E6C5709"/>
    <w:rsid w:val="4E6F67E0"/>
    <w:rsid w:val="4EE7214E"/>
    <w:rsid w:val="4F155DA1"/>
    <w:rsid w:val="4F22226C"/>
    <w:rsid w:val="4F4641AC"/>
    <w:rsid w:val="4FAD18A6"/>
    <w:rsid w:val="4FD55530"/>
    <w:rsid w:val="4FD6416C"/>
    <w:rsid w:val="4FF60127"/>
    <w:rsid w:val="4FF9121F"/>
    <w:rsid w:val="5058544D"/>
    <w:rsid w:val="50670FCE"/>
    <w:rsid w:val="506A211C"/>
    <w:rsid w:val="507538C4"/>
    <w:rsid w:val="50982C20"/>
    <w:rsid w:val="509E3B74"/>
    <w:rsid w:val="50B74C36"/>
    <w:rsid w:val="50C01D3C"/>
    <w:rsid w:val="50D852D8"/>
    <w:rsid w:val="51226553"/>
    <w:rsid w:val="512E314A"/>
    <w:rsid w:val="516F32D4"/>
    <w:rsid w:val="519A433C"/>
    <w:rsid w:val="51A056CA"/>
    <w:rsid w:val="51A97FF2"/>
    <w:rsid w:val="51AF590D"/>
    <w:rsid w:val="520F69A7"/>
    <w:rsid w:val="52100AA2"/>
    <w:rsid w:val="522D51B0"/>
    <w:rsid w:val="522E2CD6"/>
    <w:rsid w:val="523031E7"/>
    <w:rsid w:val="5263079A"/>
    <w:rsid w:val="52710393"/>
    <w:rsid w:val="528A0854"/>
    <w:rsid w:val="5297124D"/>
    <w:rsid w:val="52B256B5"/>
    <w:rsid w:val="52B96A43"/>
    <w:rsid w:val="52D23FA9"/>
    <w:rsid w:val="52E87329"/>
    <w:rsid w:val="52FE08FA"/>
    <w:rsid w:val="5324700B"/>
    <w:rsid w:val="533E519B"/>
    <w:rsid w:val="533F2A79"/>
    <w:rsid w:val="534747A6"/>
    <w:rsid w:val="535449BE"/>
    <w:rsid w:val="53652498"/>
    <w:rsid w:val="536C3CC0"/>
    <w:rsid w:val="539A53DB"/>
    <w:rsid w:val="53A45945"/>
    <w:rsid w:val="53B74E53"/>
    <w:rsid w:val="54161C73"/>
    <w:rsid w:val="54183C3E"/>
    <w:rsid w:val="54273FD3"/>
    <w:rsid w:val="543B3A50"/>
    <w:rsid w:val="5452125E"/>
    <w:rsid w:val="545509EE"/>
    <w:rsid w:val="54766DC6"/>
    <w:rsid w:val="548A6D6D"/>
    <w:rsid w:val="549A4653"/>
    <w:rsid w:val="54BE2A37"/>
    <w:rsid w:val="54BF7B31"/>
    <w:rsid w:val="54D53D4B"/>
    <w:rsid w:val="54E16725"/>
    <w:rsid w:val="54E51D72"/>
    <w:rsid w:val="555F6A99"/>
    <w:rsid w:val="556246D0"/>
    <w:rsid w:val="55636916"/>
    <w:rsid w:val="557D644E"/>
    <w:rsid w:val="558C6691"/>
    <w:rsid w:val="55914177"/>
    <w:rsid w:val="559E0172"/>
    <w:rsid w:val="55BF0815"/>
    <w:rsid w:val="55D3606E"/>
    <w:rsid w:val="55DF2C65"/>
    <w:rsid w:val="560C332E"/>
    <w:rsid w:val="561548D9"/>
    <w:rsid w:val="562E7748"/>
    <w:rsid w:val="563F3703"/>
    <w:rsid w:val="56413DBF"/>
    <w:rsid w:val="56890E23"/>
    <w:rsid w:val="568B6949"/>
    <w:rsid w:val="56B61114"/>
    <w:rsid w:val="56D26326"/>
    <w:rsid w:val="56D567B3"/>
    <w:rsid w:val="56E10D9D"/>
    <w:rsid w:val="56FE711B"/>
    <w:rsid w:val="57030BD5"/>
    <w:rsid w:val="572A7F10"/>
    <w:rsid w:val="572D7A00"/>
    <w:rsid w:val="573C27C0"/>
    <w:rsid w:val="574C432A"/>
    <w:rsid w:val="57591DDE"/>
    <w:rsid w:val="575F7462"/>
    <w:rsid w:val="578E3481"/>
    <w:rsid w:val="57A834E3"/>
    <w:rsid w:val="57B14CA7"/>
    <w:rsid w:val="57C57C38"/>
    <w:rsid w:val="57DA69E8"/>
    <w:rsid w:val="57EF4CB5"/>
    <w:rsid w:val="57F7433A"/>
    <w:rsid w:val="580F3712"/>
    <w:rsid w:val="5817075C"/>
    <w:rsid w:val="58450D79"/>
    <w:rsid w:val="58675193"/>
    <w:rsid w:val="58B33F35"/>
    <w:rsid w:val="58B6245B"/>
    <w:rsid w:val="58F82377"/>
    <w:rsid w:val="590429E2"/>
    <w:rsid w:val="59105E78"/>
    <w:rsid w:val="592310BA"/>
    <w:rsid w:val="592E25D7"/>
    <w:rsid w:val="59480B21"/>
    <w:rsid w:val="597002AE"/>
    <w:rsid w:val="597E5CE6"/>
    <w:rsid w:val="59831B59"/>
    <w:rsid w:val="59A31609"/>
    <w:rsid w:val="59A87812"/>
    <w:rsid w:val="59BE5287"/>
    <w:rsid w:val="59D14FBA"/>
    <w:rsid w:val="59E06FAB"/>
    <w:rsid w:val="59FB3DE5"/>
    <w:rsid w:val="5A382944"/>
    <w:rsid w:val="5A7D5D84"/>
    <w:rsid w:val="5A7F67C4"/>
    <w:rsid w:val="5A955591"/>
    <w:rsid w:val="5AA61FA3"/>
    <w:rsid w:val="5AC62645"/>
    <w:rsid w:val="5AD617FC"/>
    <w:rsid w:val="5AEC372E"/>
    <w:rsid w:val="5B1213E7"/>
    <w:rsid w:val="5B2E0B3A"/>
    <w:rsid w:val="5B3D7993"/>
    <w:rsid w:val="5B722C00"/>
    <w:rsid w:val="5B857E0A"/>
    <w:rsid w:val="5B9B5880"/>
    <w:rsid w:val="5B9D5251"/>
    <w:rsid w:val="5BA5225B"/>
    <w:rsid w:val="5BAF4E87"/>
    <w:rsid w:val="5BDC37A3"/>
    <w:rsid w:val="5BF20FED"/>
    <w:rsid w:val="5BFD0DA8"/>
    <w:rsid w:val="5BFD62FA"/>
    <w:rsid w:val="5C1A22F3"/>
    <w:rsid w:val="5C4457BB"/>
    <w:rsid w:val="5C5D2B35"/>
    <w:rsid w:val="5C5F065B"/>
    <w:rsid w:val="5C637CB4"/>
    <w:rsid w:val="5C71038F"/>
    <w:rsid w:val="5C8F6A67"/>
    <w:rsid w:val="5C9E5DF1"/>
    <w:rsid w:val="5CA16EC6"/>
    <w:rsid w:val="5CE15514"/>
    <w:rsid w:val="5CF318DF"/>
    <w:rsid w:val="5CFD72B6"/>
    <w:rsid w:val="5D131446"/>
    <w:rsid w:val="5D1F603D"/>
    <w:rsid w:val="5D52386E"/>
    <w:rsid w:val="5D52420D"/>
    <w:rsid w:val="5D5E7B9B"/>
    <w:rsid w:val="5D635F29"/>
    <w:rsid w:val="5D6D3407"/>
    <w:rsid w:val="5D7C348F"/>
    <w:rsid w:val="5DBE2941"/>
    <w:rsid w:val="5DE00C44"/>
    <w:rsid w:val="5E4A0E97"/>
    <w:rsid w:val="5E915452"/>
    <w:rsid w:val="5E9B5B97"/>
    <w:rsid w:val="5EBA0AB1"/>
    <w:rsid w:val="5EC32886"/>
    <w:rsid w:val="5EF17565"/>
    <w:rsid w:val="5F04373C"/>
    <w:rsid w:val="5F076D88"/>
    <w:rsid w:val="5F092B01"/>
    <w:rsid w:val="5F105C3D"/>
    <w:rsid w:val="5F28124A"/>
    <w:rsid w:val="5F2B398C"/>
    <w:rsid w:val="5F577D10"/>
    <w:rsid w:val="5F8F6840"/>
    <w:rsid w:val="5FA744B8"/>
    <w:rsid w:val="5FCA04E2"/>
    <w:rsid w:val="5FD548BA"/>
    <w:rsid w:val="5FDC0215"/>
    <w:rsid w:val="601344B5"/>
    <w:rsid w:val="601479AF"/>
    <w:rsid w:val="60371E24"/>
    <w:rsid w:val="60593614"/>
    <w:rsid w:val="608B6427"/>
    <w:rsid w:val="60B46A9C"/>
    <w:rsid w:val="60B7155B"/>
    <w:rsid w:val="60ED19BA"/>
    <w:rsid w:val="614147D4"/>
    <w:rsid w:val="615950C6"/>
    <w:rsid w:val="619A0388"/>
    <w:rsid w:val="61A84853"/>
    <w:rsid w:val="61D2367E"/>
    <w:rsid w:val="61DD1805"/>
    <w:rsid w:val="61F30B50"/>
    <w:rsid w:val="62080CF8"/>
    <w:rsid w:val="621D6C97"/>
    <w:rsid w:val="622B7232"/>
    <w:rsid w:val="623F6839"/>
    <w:rsid w:val="62B15989"/>
    <w:rsid w:val="62C84A81"/>
    <w:rsid w:val="62CA6A4B"/>
    <w:rsid w:val="62E726D3"/>
    <w:rsid w:val="630E656E"/>
    <w:rsid w:val="631877B6"/>
    <w:rsid w:val="632041D3"/>
    <w:rsid w:val="63594F88"/>
    <w:rsid w:val="637B25C6"/>
    <w:rsid w:val="638E5CCA"/>
    <w:rsid w:val="63936E3D"/>
    <w:rsid w:val="63C94F54"/>
    <w:rsid w:val="63E27526"/>
    <w:rsid w:val="63EB0A27"/>
    <w:rsid w:val="63F91396"/>
    <w:rsid w:val="63FC605D"/>
    <w:rsid w:val="641077A6"/>
    <w:rsid w:val="6437589C"/>
    <w:rsid w:val="643979E4"/>
    <w:rsid w:val="64595EE2"/>
    <w:rsid w:val="645B3DFE"/>
    <w:rsid w:val="648E489D"/>
    <w:rsid w:val="649C61C5"/>
    <w:rsid w:val="64B67287"/>
    <w:rsid w:val="64B90B25"/>
    <w:rsid w:val="64D0306D"/>
    <w:rsid w:val="64D771FD"/>
    <w:rsid w:val="64FD6C64"/>
    <w:rsid w:val="651346D8"/>
    <w:rsid w:val="651915C4"/>
    <w:rsid w:val="65295CAB"/>
    <w:rsid w:val="65313048"/>
    <w:rsid w:val="65432A36"/>
    <w:rsid w:val="654B3A6E"/>
    <w:rsid w:val="654F1498"/>
    <w:rsid w:val="656211BC"/>
    <w:rsid w:val="65744A4C"/>
    <w:rsid w:val="657E7F74"/>
    <w:rsid w:val="65834AA0"/>
    <w:rsid w:val="659D4C79"/>
    <w:rsid w:val="65BA4B55"/>
    <w:rsid w:val="65D94934"/>
    <w:rsid w:val="66075335"/>
    <w:rsid w:val="660854AA"/>
    <w:rsid w:val="661A55F3"/>
    <w:rsid w:val="66302B58"/>
    <w:rsid w:val="663F32AC"/>
    <w:rsid w:val="66410123"/>
    <w:rsid w:val="66410DD2"/>
    <w:rsid w:val="664D59C9"/>
    <w:rsid w:val="66522FDF"/>
    <w:rsid w:val="665B1203"/>
    <w:rsid w:val="669B5028"/>
    <w:rsid w:val="66B772E6"/>
    <w:rsid w:val="66BB0B84"/>
    <w:rsid w:val="66C37A39"/>
    <w:rsid w:val="66E828DD"/>
    <w:rsid w:val="672524A2"/>
    <w:rsid w:val="6727446C"/>
    <w:rsid w:val="676A6106"/>
    <w:rsid w:val="67707E98"/>
    <w:rsid w:val="67954113"/>
    <w:rsid w:val="679C4491"/>
    <w:rsid w:val="67E22141"/>
    <w:rsid w:val="680C2CAF"/>
    <w:rsid w:val="680C4D8F"/>
    <w:rsid w:val="68190258"/>
    <w:rsid w:val="68295DFE"/>
    <w:rsid w:val="682B7F8C"/>
    <w:rsid w:val="682F5188"/>
    <w:rsid w:val="68765127"/>
    <w:rsid w:val="687C4343"/>
    <w:rsid w:val="689B0560"/>
    <w:rsid w:val="68B65AA7"/>
    <w:rsid w:val="68D75A1D"/>
    <w:rsid w:val="68E96090"/>
    <w:rsid w:val="68FB5BB0"/>
    <w:rsid w:val="69180510"/>
    <w:rsid w:val="6946142F"/>
    <w:rsid w:val="69466F51"/>
    <w:rsid w:val="694708F6"/>
    <w:rsid w:val="69794D27"/>
    <w:rsid w:val="698975C2"/>
    <w:rsid w:val="69972089"/>
    <w:rsid w:val="69A37163"/>
    <w:rsid w:val="69DC2C21"/>
    <w:rsid w:val="69EE74C3"/>
    <w:rsid w:val="69FF40E1"/>
    <w:rsid w:val="6A0C16F7"/>
    <w:rsid w:val="6A2B6021"/>
    <w:rsid w:val="6A7379C8"/>
    <w:rsid w:val="6A90057A"/>
    <w:rsid w:val="6A99298E"/>
    <w:rsid w:val="6A9E4A45"/>
    <w:rsid w:val="6AC450A8"/>
    <w:rsid w:val="6B17268F"/>
    <w:rsid w:val="6B1C3BBC"/>
    <w:rsid w:val="6B2F7D93"/>
    <w:rsid w:val="6B3E3B32"/>
    <w:rsid w:val="6B673089"/>
    <w:rsid w:val="6B87372B"/>
    <w:rsid w:val="6BA118C1"/>
    <w:rsid w:val="6BA657DC"/>
    <w:rsid w:val="6BC8789F"/>
    <w:rsid w:val="6BDF70C3"/>
    <w:rsid w:val="6C060B31"/>
    <w:rsid w:val="6C1236EB"/>
    <w:rsid w:val="6C1A4857"/>
    <w:rsid w:val="6C266131"/>
    <w:rsid w:val="6C3C4515"/>
    <w:rsid w:val="6C515AE7"/>
    <w:rsid w:val="6C88045E"/>
    <w:rsid w:val="6CA67DB3"/>
    <w:rsid w:val="6CBF5146"/>
    <w:rsid w:val="6CFC3CA5"/>
    <w:rsid w:val="6D0B156F"/>
    <w:rsid w:val="6D205BE5"/>
    <w:rsid w:val="6D4A0EB4"/>
    <w:rsid w:val="6D594C53"/>
    <w:rsid w:val="6D5F1983"/>
    <w:rsid w:val="6D875C64"/>
    <w:rsid w:val="6D90119D"/>
    <w:rsid w:val="6E1A55A5"/>
    <w:rsid w:val="6E1B015A"/>
    <w:rsid w:val="6E2C05BA"/>
    <w:rsid w:val="6E3F583B"/>
    <w:rsid w:val="6E6E0BD2"/>
    <w:rsid w:val="6E75158F"/>
    <w:rsid w:val="6E772A24"/>
    <w:rsid w:val="6EA6211A"/>
    <w:rsid w:val="6EB26D11"/>
    <w:rsid w:val="6EB364AE"/>
    <w:rsid w:val="6ED46284"/>
    <w:rsid w:val="6EFF182A"/>
    <w:rsid w:val="6F593630"/>
    <w:rsid w:val="6F773AB6"/>
    <w:rsid w:val="6F8F3E7A"/>
    <w:rsid w:val="6F90211C"/>
    <w:rsid w:val="6F906926"/>
    <w:rsid w:val="6FA80114"/>
    <w:rsid w:val="6FB42E28"/>
    <w:rsid w:val="6FD902CD"/>
    <w:rsid w:val="6FEA4288"/>
    <w:rsid w:val="6FEF7AF1"/>
    <w:rsid w:val="70017176"/>
    <w:rsid w:val="70370356"/>
    <w:rsid w:val="70481464"/>
    <w:rsid w:val="706C2EEF"/>
    <w:rsid w:val="707324D0"/>
    <w:rsid w:val="708642BC"/>
    <w:rsid w:val="709A7A5C"/>
    <w:rsid w:val="70A60989"/>
    <w:rsid w:val="70CB2BBE"/>
    <w:rsid w:val="70D25448"/>
    <w:rsid w:val="70EB650A"/>
    <w:rsid w:val="71215326"/>
    <w:rsid w:val="71297032"/>
    <w:rsid w:val="71381023"/>
    <w:rsid w:val="71526589"/>
    <w:rsid w:val="71A558AC"/>
    <w:rsid w:val="720F6228"/>
    <w:rsid w:val="72147984"/>
    <w:rsid w:val="72267461"/>
    <w:rsid w:val="72330169"/>
    <w:rsid w:val="72343EE1"/>
    <w:rsid w:val="72361A07"/>
    <w:rsid w:val="72452905"/>
    <w:rsid w:val="72477770"/>
    <w:rsid w:val="724A7260"/>
    <w:rsid w:val="729606F7"/>
    <w:rsid w:val="729A3D44"/>
    <w:rsid w:val="729B5D0E"/>
    <w:rsid w:val="729C07E1"/>
    <w:rsid w:val="72AF5315"/>
    <w:rsid w:val="72BD487D"/>
    <w:rsid w:val="72C708B1"/>
    <w:rsid w:val="72D56A26"/>
    <w:rsid w:val="72DA05E4"/>
    <w:rsid w:val="72ED47BB"/>
    <w:rsid w:val="73045661"/>
    <w:rsid w:val="73155AC0"/>
    <w:rsid w:val="732C6966"/>
    <w:rsid w:val="73704C22"/>
    <w:rsid w:val="738A450A"/>
    <w:rsid w:val="73A01A58"/>
    <w:rsid w:val="73C3376E"/>
    <w:rsid w:val="73D019E7"/>
    <w:rsid w:val="73D51490"/>
    <w:rsid w:val="74063773"/>
    <w:rsid w:val="74123DAE"/>
    <w:rsid w:val="742A10F7"/>
    <w:rsid w:val="74381A66"/>
    <w:rsid w:val="743E1047"/>
    <w:rsid w:val="74477EFB"/>
    <w:rsid w:val="746960C4"/>
    <w:rsid w:val="74827185"/>
    <w:rsid w:val="74A25132"/>
    <w:rsid w:val="75520F07"/>
    <w:rsid w:val="75736ACE"/>
    <w:rsid w:val="757C3BD5"/>
    <w:rsid w:val="758111EB"/>
    <w:rsid w:val="75A1188D"/>
    <w:rsid w:val="75BE243F"/>
    <w:rsid w:val="75C94940"/>
    <w:rsid w:val="75E672A0"/>
    <w:rsid w:val="75FF0362"/>
    <w:rsid w:val="7600445B"/>
    <w:rsid w:val="76045978"/>
    <w:rsid w:val="760F7E8D"/>
    <w:rsid w:val="7610431D"/>
    <w:rsid w:val="764D5571"/>
    <w:rsid w:val="766E17DB"/>
    <w:rsid w:val="76880357"/>
    <w:rsid w:val="76B007C7"/>
    <w:rsid w:val="76BF646F"/>
    <w:rsid w:val="76DD4B47"/>
    <w:rsid w:val="76E97048"/>
    <w:rsid w:val="77065E4C"/>
    <w:rsid w:val="7719482F"/>
    <w:rsid w:val="776B5CAF"/>
    <w:rsid w:val="776D776B"/>
    <w:rsid w:val="7771703D"/>
    <w:rsid w:val="777B6BED"/>
    <w:rsid w:val="77860D3A"/>
    <w:rsid w:val="77A86F03"/>
    <w:rsid w:val="77CA0F07"/>
    <w:rsid w:val="77FE6B23"/>
    <w:rsid w:val="78020B9E"/>
    <w:rsid w:val="780D320A"/>
    <w:rsid w:val="78190A48"/>
    <w:rsid w:val="78232A2D"/>
    <w:rsid w:val="78342545"/>
    <w:rsid w:val="78511348"/>
    <w:rsid w:val="785D2128"/>
    <w:rsid w:val="78611EEF"/>
    <w:rsid w:val="786731E2"/>
    <w:rsid w:val="787D038F"/>
    <w:rsid w:val="7899684C"/>
    <w:rsid w:val="78AB0D59"/>
    <w:rsid w:val="78AB2535"/>
    <w:rsid w:val="78B418D7"/>
    <w:rsid w:val="78C7160B"/>
    <w:rsid w:val="78CC4EEE"/>
    <w:rsid w:val="78ED717B"/>
    <w:rsid w:val="790A14F7"/>
    <w:rsid w:val="791800B8"/>
    <w:rsid w:val="795C61F7"/>
    <w:rsid w:val="79825532"/>
    <w:rsid w:val="798A52D8"/>
    <w:rsid w:val="79986402"/>
    <w:rsid w:val="79CC49FF"/>
    <w:rsid w:val="79D264B9"/>
    <w:rsid w:val="79EC6B75"/>
    <w:rsid w:val="7A0D5D0B"/>
    <w:rsid w:val="7A222345"/>
    <w:rsid w:val="7A2D1941"/>
    <w:rsid w:val="7A304F8E"/>
    <w:rsid w:val="7A794B87"/>
    <w:rsid w:val="7A85177D"/>
    <w:rsid w:val="7A940CC6"/>
    <w:rsid w:val="7AA272E5"/>
    <w:rsid w:val="7AA5597C"/>
    <w:rsid w:val="7AF67F85"/>
    <w:rsid w:val="7B066FB2"/>
    <w:rsid w:val="7B0C77A9"/>
    <w:rsid w:val="7B2965AD"/>
    <w:rsid w:val="7B364826"/>
    <w:rsid w:val="7B3E36DA"/>
    <w:rsid w:val="7B4E6B2E"/>
    <w:rsid w:val="7B5F3C84"/>
    <w:rsid w:val="7B705F89"/>
    <w:rsid w:val="7C1A73BD"/>
    <w:rsid w:val="7C330D65"/>
    <w:rsid w:val="7C5E4C05"/>
    <w:rsid w:val="7C5F7DAC"/>
    <w:rsid w:val="7C66738C"/>
    <w:rsid w:val="7C796503"/>
    <w:rsid w:val="7C835849"/>
    <w:rsid w:val="7CAF215D"/>
    <w:rsid w:val="7CC12815"/>
    <w:rsid w:val="7CC3033B"/>
    <w:rsid w:val="7CDE5175"/>
    <w:rsid w:val="7CE04A49"/>
    <w:rsid w:val="7CED203D"/>
    <w:rsid w:val="7CF6426C"/>
    <w:rsid w:val="7CFB72B2"/>
    <w:rsid w:val="7D024FBE"/>
    <w:rsid w:val="7D3923AB"/>
    <w:rsid w:val="7D4804BE"/>
    <w:rsid w:val="7D553689"/>
    <w:rsid w:val="7D592A4D"/>
    <w:rsid w:val="7D997DD9"/>
    <w:rsid w:val="7DA57A41"/>
    <w:rsid w:val="7DC46119"/>
    <w:rsid w:val="7DD643FF"/>
    <w:rsid w:val="7DE92023"/>
    <w:rsid w:val="7DEE13E8"/>
    <w:rsid w:val="7E0724A9"/>
    <w:rsid w:val="7E4B4A8C"/>
    <w:rsid w:val="7E503E50"/>
    <w:rsid w:val="7E540C44"/>
    <w:rsid w:val="7E54684C"/>
    <w:rsid w:val="7E6B47E6"/>
    <w:rsid w:val="7E6F077A"/>
    <w:rsid w:val="7E7209F5"/>
    <w:rsid w:val="7E8D0C00"/>
    <w:rsid w:val="7EEA7E01"/>
    <w:rsid w:val="7EED169F"/>
    <w:rsid w:val="7EF859E0"/>
    <w:rsid w:val="7EFA2E85"/>
    <w:rsid w:val="7F0D1D41"/>
    <w:rsid w:val="7F0F7867"/>
    <w:rsid w:val="7F10538E"/>
    <w:rsid w:val="7F1906E6"/>
    <w:rsid w:val="7F1F6DC1"/>
    <w:rsid w:val="7F233313"/>
    <w:rsid w:val="7F271055"/>
    <w:rsid w:val="7F467799"/>
    <w:rsid w:val="7F5C42F5"/>
    <w:rsid w:val="7F5D00D8"/>
    <w:rsid w:val="7F932247"/>
    <w:rsid w:val="7FB16B71"/>
    <w:rsid w:val="7FBB354B"/>
    <w:rsid w:val="7FBC5D23"/>
    <w:rsid w:val="7FC9210C"/>
    <w:rsid w:val="7FED05D3"/>
    <w:rsid w:val="7FFA4074"/>
    <w:rsid w:val="7FFB1AFE"/>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autoRedefine/>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rFonts w:ascii="Cambria" w:hAnsi="Cambria"/>
      <w:b/>
      <w:bCs/>
      <w:sz w:val="32"/>
      <w:szCs w:val="32"/>
    </w:rPr>
  </w:style>
  <w:style w:type="paragraph" w:styleId="6">
    <w:name w:val="heading 4"/>
    <w:basedOn w:val="1"/>
    <w:next w:val="1"/>
    <w:autoRedefine/>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1"/>
    <w:pPr>
      <w:spacing w:after="120"/>
    </w:pPr>
    <w:rPr>
      <w:rFonts w:ascii="Cambria" w:hAnsi="Cambria"/>
      <w:sz w:val="24"/>
      <w:szCs w:val="20"/>
    </w:rPr>
  </w:style>
  <w:style w:type="paragraph" w:styleId="7">
    <w:name w:val="Normal Indent"/>
    <w:basedOn w:val="1"/>
    <w:next w:val="1"/>
    <w:autoRedefine/>
    <w:qFormat/>
    <w:uiPriority w:val="0"/>
    <w:pPr>
      <w:adjustRightInd w:val="0"/>
      <w:snapToGrid w:val="0"/>
      <w:spacing w:line="300" w:lineRule="auto"/>
    </w:pPr>
    <w:rPr>
      <w:rFonts w:ascii="仿宋_GB2312" w:eastAsia="仿宋_GB2312"/>
      <w:sz w:val="28"/>
    </w:rPr>
  </w:style>
  <w:style w:type="paragraph" w:styleId="8">
    <w:name w:val="annotation text"/>
    <w:basedOn w:val="1"/>
    <w:link w:val="34"/>
    <w:autoRedefine/>
    <w:qFormat/>
    <w:uiPriority w:val="0"/>
    <w:pPr>
      <w:jc w:val="left"/>
    </w:pPr>
  </w:style>
  <w:style w:type="paragraph" w:styleId="9">
    <w:name w:val="Body Text Indent"/>
    <w:basedOn w:val="1"/>
    <w:next w:val="10"/>
    <w:autoRedefine/>
    <w:qFormat/>
    <w:uiPriority w:val="0"/>
    <w:pPr>
      <w:ind w:left="-3" w:firstLine="423"/>
    </w:pPr>
    <w:rPr>
      <w:rFonts w:ascii="楷体_GB2312" w:eastAsia="楷体_GB2312"/>
    </w:rPr>
  </w:style>
  <w:style w:type="paragraph" w:styleId="10">
    <w:name w:val="Body Text Indent 2"/>
    <w:basedOn w:val="1"/>
    <w:next w:val="11"/>
    <w:autoRedefine/>
    <w:qFormat/>
    <w:uiPriority w:val="99"/>
    <w:pPr>
      <w:ind w:firstLine="640" w:firstLineChars="200"/>
    </w:pPr>
    <w:rPr>
      <w:sz w:val="32"/>
    </w:rPr>
  </w:style>
  <w:style w:type="paragraph" w:styleId="11">
    <w:name w:val="Body Text First Indent 2"/>
    <w:basedOn w:val="9"/>
    <w:next w:val="1"/>
    <w:autoRedefine/>
    <w:qFormat/>
    <w:uiPriority w:val="0"/>
    <w:pPr>
      <w:spacing w:after="120"/>
      <w:ind w:left="420" w:leftChars="200" w:firstLine="420" w:firstLineChars="200"/>
    </w:pPr>
    <w:rPr>
      <w:rFonts w:ascii="Times New Roman" w:eastAsia="宋体"/>
    </w:rPr>
  </w:style>
  <w:style w:type="paragraph" w:styleId="12">
    <w:name w:val="Plain Text"/>
    <w:basedOn w:val="1"/>
    <w:next w:val="13"/>
    <w:qFormat/>
    <w:uiPriority w:val="99"/>
    <w:rPr>
      <w:rFonts w:ascii="宋体" w:hAnsi="Courier New"/>
    </w:rPr>
  </w:style>
  <w:style w:type="paragraph" w:styleId="13">
    <w:name w:val="toc 1"/>
    <w:basedOn w:val="1"/>
    <w:next w:val="1"/>
    <w:qFormat/>
    <w:uiPriority w:val="0"/>
    <w:pPr>
      <w:widowControl/>
      <w:tabs>
        <w:tab w:val="right" w:leader="dot" w:pos="9061"/>
      </w:tabs>
      <w:adjustRightInd w:val="0"/>
      <w:snapToGrid w:val="0"/>
      <w:spacing w:before="100" w:beforeAutospacing="1" w:after="100" w:afterAutospacing="1"/>
    </w:pPr>
    <w:rPr>
      <w:rFonts w:cs="宋体-18030"/>
      <w:b/>
      <w:bCs/>
      <w:caps/>
      <w:kern w:val="0"/>
      <w:szCs w:val="22"/>
      <w:lang w:eastAsia="en-US" w:bidi="en-US"/>
    </w:rPr>
  </w:style>
  <w:style w:type="paragraph" w:styleId="14">
    <w:name w:val="Balloon Text"/>
    <w:basedOn w:val="1"/>
    <w:link w:val="36"/>
    <w:autoRedefine/>
    <w:qFormat/>
    <w:uiPriority w:val="0"/>
    <w:rPr>
      <w:sz w:val="18"/>
      <w:szCs w:val="18"/>
    </w:rPr>
  </w:style>
  <w:style w:type="paragraph" w:styleId="15">
    <w:name w:val="footer"/>
    <w:basedOn w:val="1"/>
    <w:autoRedefine/>
    <w:unhideWhenUsed/>
    <w:qFormat/>
    <w:uiPriority w:val="99"/>
    <w:pPr>
      <w:tabs>
        <w:tab w:val="center" w:pos="4153"/>
        <w:tab w:val="right" w:pos="8306"/>
      </w:tabs>
      <w:snapToGrid w:val="0"/>
      <w:jc w:val="left"/>
    </w:pPr>
    <w:rPr>
      <w:sz w:val="18"/>
      <w:szCs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Normal (Web)"/>
    <w:basedOn w:val="1"/>
    <w:autoRedefine/>
    <w:qFormat/>
    <w:uiPriority w:val="99"/>
    <w:pPr>
      <w:widowControl/>
      <w:spacing w:before="100" w:beforeAutospacing="1" w:after="100" w:afterAutospacing="1"/>
      <w:jc w:val="left"/>
    </w:pPr>
    <w:rPr>
      <w:rFonts w:ascii="宋体" w:hAnsi="宋体"/>
      <w:kern w:val="0"/>
      <w:sz w:val="24"/>
      <w:szCs w:val="20"/>
    </w:rPr>
  </w:style>
  <w:style w:type="paragraph" w:styleId="18">
    <w:name w:val="annotation subject"/>
    <w:basedOn w:val="8"/>
    <w:next w:val="8"/>
    <w:link w:val="35"/>
    <w:autoRedefine/>
    <w:qFormat/>
    <w:uiPriority w:val="0"/>
    <w:rPr>
      <w:b/>
      <w:bCs/>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Hyperlink"/>
    <w:basedOn w:val="21"/>
    <w:autoRedefine/>
    <w:qFormat/>
    <w:uiPriority w:val="0"/>
    <w:rPr>
      <w:color w:val="0000FF"/>
      <w:u w:val="single"/>
    </w:rPr>
  </w:style>
  <w:style w:type="character" w:styleId="24">
    <w:name w:val="annotation reference"/>
    <w:autoRedefine/>
    <w:qFormat/>
    <w:uiPriority w:val="0"/>
    <w:rPr>
      <w:sz w:val="21"/>
      <w:szCs w:val="21"/>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表格"/>
    <w:basedOn w:val="28"/>
    <w:next w:val="1"/>
    <w:link w:val="33"/>
    <w:autoRedefine/>
    <w:qFormat/>
    <w:uiPriority w:val="0"/>
    <w:rPr>
      <w:rFonts w:ascii="Calibri" w:hAnsi="Calibri"/>
      <w:sz w:val="24"/>
    </w:rPr>
  </w:style>
  <w:style w:type="paragraph" w:customStyle="1" w:styleId="28">
    <w:name w:val="表头"/>
    <w:basedOn w:val="29"/>
    <w:next w:val="1"/>
    <w:autoRedefine/>
    <w:qFormat/>
    <w:uiPriority w:val="0"/>
    <w:pPr>
      <w:spacing w:line="320" w:lineRule="atLeast"/>
      <w:ind w:firstLine="0" w:firstLineChars="0"/>
      <w:jc w:val="center"/>
      <w:textAlignment w:val="baseline"/>
    </w:pPr>
    <w:rPr>
      <w:rFonts w:eastAsia="黑体"/>
      <w:color w:val="000000"/>
      <w:spacing w:val="-10"/>
      <w:kern w:val="0"/>
      <w:sz w:val="21"/>
      <w:szCs w:val="20"/>
    </w:rPr>
  </w:style>
  <w:style w:type="paragraph" w:customStyle="1" w:styleId="29">
    <w:name w:val="文本"/>
    <w:basedOn w:val="1"/>
    <w:next w:val="1"/>
    <w:autoRedefine/>
    <w:qFormat/>
    <w:uiPriority w:val="0"/>
    <w:pPr>
      <w:adjustRightInd w:val="0"/>
      <w:snapToGrid w:val="0"/>
      <w:spacing w:line="360" w:lineRule="auto"/>
      <w:ind w:firstLine="1446" w:firstLineChars="200"/>
    </w:pPr>
    <w:rPr>
      <w:sz w:val="24"/>
    </w:rPr>
  </w:style>
  <w:style w:type="paragraph" w:customStyle="1" w:styleId="30">
    <w:name w:val="表格文字2"/>
    <w:basedOn w:val="1"/>
    <w:autoRedefine/>
    <w:qFormat/>
    <w:uiPriority w:val="0"/>
    <w:pPr>
      <w:tabs>
        <w:tab w:val="left" w:pos="277"/>
        <w:tab w:val="left" w:pos="600"/>
        <w:tab w:val="left" w:pos="780"/>
        <w:tab w:val="left" w:pos="2517"/>
      </w:tabs>
      <w:adjustRightInd w:val="0"/>
      <w:snapToGrid w:val="0"/>
      <w:jc w:val="center"/>
      <w:textAlignment w:val="baseline"/>
    </w:pPr>
    <w:rPr>
      <w:kern w:val="0"/>
      <w:szCs w:val="21"/>
    </w:rPr>
  </w:style>
  <w:style w:type="paragraph" w:customStyle="1" w:styleId="31">
    <w:name w:val="表格加粗"/>
    <w:basedOn w:val="1"/>
    <w:next w:val="1"/>
    <w:autoRedefine/>
    <w:qFormat/>
    <w:uiPriority w:val="0"/>
    <w:pPr>
      <w:spacing w:line="400" w:lineRule="exact"/>
      <w:jc w:val="center"/>
    </w:pPr>
    <w:rPr>
      <w:b/>
      <w:bCs/>
      <w:sz w:val="18"/>
      <w:szCs w:val="18"/>
    </w:rPr>
  </w:style>
  <w:style w:type="paragraph" w:customStyle="1" w:styleId="32">
    <w:name w:val="简单回函地址"/>
    <w:basedOn w:val="1"/>
    <w:autoRedefine/>
    <w:qFormat/>
    <w:uiPriority w:val="0"/>
    <w:pPr>
      <w:keepNext/>
      <w:keepLines/>
      <w:snapToGrid w:val="0"/>
      <w:spacing w:line="480" w:lineRule="exact"/>
      <w:ind w:firstLine="480" w:firstLineChars="200"/>
    </w:pPr>
    <w:rPr>
      <w:sz w:val="24"/>
      <w:szCs w:val="20"/>
    </w:rPr>
  </w:style>
  <w:style w:type="character" w:customStyle="1" w:styleId="33">
    <w:name w:val="表格 Char Char"/>
    <w:link w:val="27"/>
    <w:autoRedefine/>
    <w:qFormat/>
    <w:uiPriority w:val="0"/>
    <w:rPr>
      <w:rFonts w:ascii="Calibri" w:hAnsi="Calibri"/>
      <w:kern w:val="0"/>
      <w:sz w:val="24"/>
      <w:szCs w:val="20"/>
    </w:rPr>
  </w:style>
  <w:style w:type="character" w:customStyle="1" w:styleId="34">
    <w:name w:val="批注文字 Char"/>
    <w:basedOn w:val="21"/>
    <w:link w:val="8"/>
    <w:autoRedefine/>
    <w:qFormat/>
    <w:uiPriority w:val="0"/>
    <w:rPr>
      <w:kern w:val="2"/>
      <w:sz w:val="21"/>
      <w:szCs w:val="24"/>
    </w:rPr>
  </w:style>
  <w:style w:type="character" w:customStyle="1" w:styleId="35">
    <w:name w:val="批注主题 Char"/>
    <w:basedOn w:val="34"/>
    <w:link w:val="18"/>
    <w:autoRedefine/>
    <w:qFormat/>
    <w:uiPriority w:val="0"/>
    <w:rPr>
      <w:b/>
      <w:bCs/>
      <w:kern w:val="2"/>
      <w:sz w:val="21"/>
      <w:szCs w:val="24"/>
    </w:rPr>
  </w:style>
  <w:style w:type="character" w:customStyle="1" w:styleId="36">
    <w:name w:val="批注框文本 Char"/>
    <w:basedOn w:val="21"/>
    <w:link w:val="14"/>
    <w:autoRedefine/>
    <w:qFormat/>
    <w:uiPriority w:val="0"/>
    <w:rPr>
      <w:kern w:val="2"/>
      <w:sz w:val="18"/>
      <w:szCs w:val="18"/>
    </w:rPr>
  </w:style>
  <w:style w:type="character" w:customStyle="1" w:styleId="37">
    <w:name w:val="font41"/>
    <w:basedOn w:val="21"/>
    <w:autoRedefine/>
    <w:qFormat/>
    <w:uiPriority w:val="0"/>
    <w:rPr>
      <w:rFonts w:ascii="MS Sans Serif" w:hAnsi="MS Sans Serif" w:eastAsia="MS Sans Serif" w:cs="MS Sans Serif"/>
      <w:color w:val="000000"/>
      <w:sz w:val="20"/>
      <w:szCs w:val="20"/>
      <w:u w:val="none"/>
    </w:rPr>
  </w:style>
  <w:style w:type="character" w:customStyle="1" w:styleId="38">
    <w:name w:val="font21"/>
    <w:basedOn w:val="21"/>
    <w:autoRedefine/>
    <w:qFormat/>
    <w:uiPriority w:val="0"/>
    <w:rPr>
      <w:rFonts w:hint="eastAsia" w:ascii="宋体" w:hAnsi="宋体" w:eastAsia="宋体" w:cs="宋体"/>
      <w:color w:val="000000"/>
      <w:sz w:val="20"/>
      <w:szCs w:val="20"/>
      <w:u w:val="none"/>
    </w:rPr>
  </w:style>
  <w:style w:type="paragraph" w:customStyle="1" w:styleId="39">
    <w:name w:val="表格文字"/>
    <w:basedOn w:val="1"/>
    <w:qFormat/>
    <w:uiPriority w:val="0"/>
    <w:pPr>
      <w:widowControl/>
      <w:adjustRightInd w:val="0"/>
      <w:snapToGrid w:val="0"/>
      <w:jc w:val="center"/>
    </w:pPr>
    <w:rPr>
      <w:rFonts w:ascii="仿宋_GB2312" w:hAnsi="Arial Black" w:eastAsia="仿宋_GB2312"/>
      <w:kern w:val="44"/>
      <w:szCs w:val="24"/>
      <w:lang w:eastAsia="en-US" w:bidi="en-US"/>
    </w:rPr>
  </w:style>
  <w:style w:type="paragraph" w:customStyle="1" w:styleId="40">
    <w:name w:val="Table Paragraph"/>
    <w:basedOn w:val="1"/>
    <w:qFormat/>
    <w:uiPriority w:val="1"/>
    <w:pPr>
      <w:jc w:val="left"/>
    </w:pPr>
    <w:rPr>
      <w:rFonts w:ascii="Calibri" w:hAnsi="Calibri"/>
      <w:kern w:val="0"/>
      <w:sz w:val="22"/>
      <w:szCs w:val="22"/>
      <w:lang w:eastAsia="en-US"/>
    </w:rPr>
  </w:style>
  <w:style w:type="character" w:customStyle="1" w:styleId="41">
    <w:name w:val="font31"/>
    <w:basedOn w:val="21"/>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9.wmf"/><Relationship Id="rId17" Type="http://schemas.openxmlformats.org/officeDocument/2006/relationships/oleObject" Target="embeddings/oleObject1.bin"/><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47498</Words>
  <Characters>52119</Characters>
  <Lines>388</Lines>
  <Paragraphs>109</Paragraphs>
  <TotalTime>20</TotalTime>
  <ScaleCrop>false</ScaleCrop>
  <LinksUpToDate>false</LinksUpToDate>
  <CharactersWithSpaces>52511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2023-02-02T00:40:00Z</dcterms:created>
  <dc:creator>皆</dc:creator>
  <cp:lastModifiedBy>TBJ</cp:lastModifiedBy>
  <cp:lastPrinted>2024-06-17T03:40:00Z</cp:lastPrinted>
  <dcterms:modified xsi:type="dcterms:W3CDTF">2024-10-08T10:42:29Z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FCE00C3BEBFC496F83E461C28C228409_13</vt:lpwstr>
  </property>
</Properties>
</file>