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17CAF">
      <w:pPr>
        <w:adjustRightInd w:val="0"/>
        <w:snapToGrid w:val="0"/>
        <w:rPr>
          <w:rFonts w:eastAsia="方正小标宋_GBK"/>
          <w:bCs/>
          <w:sz w:val="72"/>
          <w:szCs w:val="72"/>
        </w:rPr>
      </w:pPr>
    </w:p>
    <w:p w14:paraId="2B27080A">
      <w:pPr>
        <w:adjustRightInd w:val="0"/>
        <w:snapToGrid w:val="0"/>
        <w:jc w:val="center"/>
        <w:rPr>
          <w:rFonts w:eastAsia="方正小标宋_GBK"/>
          <w:bCs/>
          <w:sz w:val="72"/>
          <w:szCs w:val="72"/>
        </w:rPr>
      </w:pPr>
    </w:p>
    <w:p w14:paraId="3AA30919">
      <w:pPr>
        <w:adjustRightInd w:val="0"/>
        <w:snapToGrid w:val="0"/>
        <w:jc w:val="center"/>
        <w:rPr>
          <w:rFonts w:ascii="方正小标宋简体" w:hAnsi="方正小标宋简体" w:eastAsia="方正小标宋简体" w:cs="方正小标宋简体"/>
          <w:bCs/>
          <w:sz w:val="72"/>
          <w:szCs w:val="72"/>
        </w:rPr>
      </w:pPr>
      <w:bookmarkStart w:id="0" w:name="_Hlk57884087"/>
    </w:p>
    <w:p w14:paraId="7EECC6E5">
      <w:pPr>
        <w:adjustRightInd w:val="0"/>
        <w:snapToGrid w:val="0"/>
        <w:jc w:val="center"/>
        <w:rPr>
          <w:rFonts w:eastAsia="楷体_GB2312"/>
          <w:bCs/>
          <w:sz w:val="48"/>
          <w:szCs w:val="48"/>
        </w:rPr>
      </w:pPr>
      <w:r>
        <w:rPr>
          <w:rFonts w:hint="eastAsia" w:ascii="方正小标宋_GBK" w:hAnsi="方正小标宋_GBK" w:eastAsia="方正小标宋_GBK" w:cs="方正小标宋_GBK"/>
          <w:bCs/>
          <w:sz w:val="72"/>
          <w:szCs w:val="72"/>
        </w:rPr>
        <w:t>建设项目环境影响报告表</w:t>
      </w:r>
    </w:p>
    <w:p w14:paraId="4426F1E9">
      <w:pPr>
        <w:adjustRightInd w:val="0"/>
        <w:snapToGrid w:val="0"/>
        <w:spacing w:before="249" w:beforeLines="80"/>
        <w:jc w:val="center"/>
        <w:rPr>
          <w:rFonts w:eastAsia="楷体_GB2312"/>
          <w:bCs/>
          <w:sz w:val="48"/>
          <w:szCs w:val="48"/>
        </w:rPr>
      </w:pPr>
    </w:p>
    <w:p w14:paraId="7B58F770">
      <w:pPr>
        <w:adjustRightInd w:val="0"/>
        <w:snapToGrid w:val="0"/>
        <w:spacing w:before="249" w:beforeLines="80"/>
        <w:jc w:val="center"/>
        <w:rPr>
          <w:rFonts w:eastAsia="楷体_GB2312"/>
          <w:bCs/>
          <w:sz w:val="48"/>
          <w:szCs w:val="48"/>
        </w:rPr>
      </w:pPr>
      <w:r>
        <w:rPr>
          <w:rFonts w:eastAsia="楷体_GB2312"/>
          <w:bCs/>
          <w:sz w:val="48"/>
          <w:szCs w:val="48"/>
        </w:rPr>
        <w:t>（污染影响类）</w:t>
      </w:r>
    </w:p>
    <w:p w14:paraId="745BDEFA">
      <w:pPr>
        <w:adjustRightInd w:val="0"/>
        <w:snapToGrid w:val="0"/>
        <w:spacing w:line="288" w:lineRule="auto"/>
        <w:jc w:val="center"/>
        <w:rPr>
          <w:rFonts w:eastAsia="华文仿宋"/>
          <w:kern w:val="44"/>
          <w:sz w:val="44"/>
          <w:szCs w:val="44"/>
        </w:rPr>
      </w:pPr>
    </w:p>
    <w:p w14:paraId="54E97ADF">
      <w:pPr>
        <w:jc w:val="center"/>
        <w:rPr>
          <w:rFonts w:eastAsia="仿宋"/>
          <w:sz w:val="52"/>
          <w:szCs w:val="52"/>
        </w:rPr>
      </w:pPr>
    </w:p>
    <w:p w14:paraId="618A4128">
      <w:pPr>
        <w:ind w:firstLine="1040"/>
        <w:rPr>
          <w:rFonts w:eastAsia="仿宋"/>
          <w:sz w:val="44"/>
          <w:szCs w:val="44"/>
        </w:rPr>
      </w:pPr>
    </w:p>
    <w:p w14:paraId="638533D8">
      <w:pPr>
        <w:ind w:firstLine="1040"/>
        <w:rPr>
          <w:rFonts w:eastAsia="仿宋"/>
          <w:sz w:val="44"/>
          <w:szCs w:val="44"/>
        </w:rPr>
      </w:pPr>
    </w:p>
    <w:p w14:paraId="40F2FFDF">
      <w:pPr>
        <w:adjustRightInd w:val="0"/>
        <w:snapToGrid w:val="0"/>
        <w:spacing w:line="288" w:lineRule="auto"/>
        <w:ind w:left="1959" w:leftChars="171" w:hanging="1600" w:hangingChars="500"/>
        <w:rPr>
          <w:sz w:val="32"/>
          <w:szCs w:val="32"/>
        </w:rPr>
      </w:pPr>
    </w:p>
    <w:p w14:paraId="729883ED">
      <w:pPr>
        <w:adjustRightInd w:val="0"/>
        <w:snapToGrid w:val="0"/>
        <w:spacing w:line="360" w:lineRule="auto"/>
        <w:ind w:left="1959" w:leftChars="171" w:hanging="1600" w:hangingChars="500"/>
        <w:rPr>
          <w:rFonts w:eastAsia="仿宋_GB2312"/>
          <w:sz w:val="32"/>
          <w:szCs w:val="32"/>
          <w:u w:val="single"/>
        </w:rPr>
      </w:pPr>
      <w:r>
        <w:rPr>
          <w:sz w:val="32"/>
          <w:szCs w:val="32"/>
        </w:rPr>
        <w:t>项目名称：</w:t>
      </w:r>
      <w:r>
        <w:rPr>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r>
        <w:rPr>
          <w:rFonts w:hint="eastAsia"/>
          <w:sz w:val="32"/>
          <w:szCs w:val="32"/>
          <w:u w:val="single"/>
          <w:lang w:eastAsia="zh-CN"/>
        </w:rPr>
        <w:t>年产</w:t>
      </w:r>
      <w:r>
        <w:rPr>
          <w:rFonts w:hint="eastAsia"/>
          <w:sz w:val="32"/>
          <w:szCs w:val="32"/>
          <w:u w:val="single"/>
          <w:lang w:val="en-US" w:eastAsia="zh-CN"/>
        </w:rPr>
        <w:t>100</w:t>
      </w:r>
      <w:r>
        <w:rPr>
          <w:rFonts w:hint="eastAsia"/>
          <w:sz w:val="32"/>
          <w:szCs w:val="32"/>
          <w:u w:val="single"/>
          <w:lang w:eastAsia="zh-CN"/>
        </w:rPr>
        <w:t>0吨色母粒项目</w:t>
      </w:r>
      <w:r>
        <w:rPr>
          <w:sz w:val="32"/>
          <w:szCs w:val="32"/>
          <w:u w:val="single"/>
        </w:rPr>
        <w:t xml:space="preserve">  </w:t>
      </w:r>
      <w:r>
        <w:rPr>
          <w:rFonts w:hint="eastAsia"/>
          <w:sz w:val="32"/>
          <w:szCs w:val="32"/>
          <w:u w:val="single"/>
        </w:rPr>
        <w:t xml:space="preserve">  </w:t>
      </w:r>
      <w:r>
        <w:rPr>
          <w:sz w:val="32"/>
          <w:szCs w:val="32"/>
          <w:u w:val="single"/>
        </w:rPr>
        <w:t xml:space="preserve">     </w:t>
      </w:r>
    </w:p>
    <w:p w14:paraId="3EA3AC15">
      <w:pPr>
        <w:adjustRightInd w:val="0"/>
        <w:snapToGrid w:val="0"/>
        <w:spacing w:line="360" w:lineRule="auto"/>
        <w:ind w:left="1959" w:leftChars="171" w:hanging="1600" w:hangingChars="500"/>
        <w:rPr>
          <w:rFonts w:ascii="Times New Roman" w:hAnsi="Times New Roman" w:eastAsia="宋体" w:cs="Times New Roman"/>
          <w:sz w:val="32"/>
          <w:szCs w:val="32"/>
        </w:rPr>
      </w:pPr>
      <w:r>
        <w:rPr>
          <w:rFonts w:ascii="Times New Roman" w:hAnsi="Times New Roman" w:eastAsia="宋体" w:cs="Times New Roman"/>
          <w:sz w:val="32"/>
          <w:szCs w:val="32"/>
        </w:rPr>
        <w:t>建设单位（盖章）：</w:t>
      </w:r>
      <w:r>
        <w:rPr>
          <w:rFonts w:hint="eastAsia" w:ascii="Times New Roman" w:hAnsi="Times New Roman" w:eastAsia="宋体" w:cs="Times New Roman"/>
          <w:sz w:val="32"/>
          <w:szCs w:val="32"/>
          <w:u w:val="single"/>
        </w:rPr>
        <w:t>南通华略高新材料科技有限公司</w:t>
      </w:r>
      <w:r>
        <w:rPr>
          <w:rFonts w:ascii="Times New Roman" w:hAnsi="Times New Roman" w:eastAsia="宋体" w:cs="Times New Roman"/>
          <w:sz w:val="32"/>
          <w:szCs w:val="32"/>
        </w:rPr>
        <w:t xml:space="preserve">   </w:t>
      </w:r>
    </w:p>
    <w:p w14:paraId="5A89684D">
      <w:pPr>
        <w:adjustRightInd w:val="0"/>
        <w:snapToGrid w:val="0"/>
        <w:spacing w:line="360" w:lineRule="auto"/>
        <w:ind w:left="1959" w:leftChars="171" w:hanging="1600" w:hangingChars="500"/>
        <w:rPr>
          <w:rFonts w:eastAsia="仿宋_GB2312"/>
          <w:sz w:val="32"/>
          <w:szCs w:val="32"/>
          <w:u w:val="single"/>
        </w:rPr>
      </w:pPr>
      <w:r>
        <w:rPr>
          <w:rFonts w:ascii="Times New Roman" w:hAnsi="Times New Roman" w:eastAsia="宋体" w:cs="Times New Roman"/>
          <w:sz w:val="32"/>
          <w:szCs w:val="32"/>
        </w:rPr>
        <w:t>编制日期：</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hint="eastAsia" w:ascii="宋体" w:hAnsi="宋体" w:eastAsia="宋体" w:cs="宋体"/>
          <w:sz w:val="32"/>
          <w:szCs w:val="32"/>
          <w:u w:val="single"/>
        </w:rPr>
        <w:t>202</w:t>
      </w:r>
      <w:r>
        <w:rPr>
          <w:rFonts w:hint="eastAsia" w:ascii="宋体" w:hAnsi="宋体" w:cs="宋体"/>
          <w:sz w:val="32"/>
          <w:szCs w:val="32"/>
          <w:u w:val="single"/>
          <w:lang w:val="en-US" w:eastAsia="zh-CN"/>
        </w:rPr>
        <w:t>4</w:t>
      </w:r>
      <w:r>
        <w:rPr>
          <w:rFonts w:hint="eastAsia" w:ascii="宋体" w:hAnsi="宋体" w:eastAsia="宋体" w:cs="宋体"/>
          <w:sz w:val="32"/>
          <w:szCs w:val="32"/>
          <w:u w:val="single"/>
        </w:rPr>
        <w:t>年</w:t>
      </w:r>
      <w:r>
        <w:rPr>
          <w:rFonts w:hint="eastAsia" w:ascii="宋体" w:hAnsi="宋体" w:cs="宋体"/>
          <w:sz w:val="32"/>
          <w:szCs w:val="32"/>
          <w:u w:val="single"/>
          <w:lang w:val="en-US" w:eastAsia="zh-CN"/>
        </w:rPr>
        <w:t>9</w:t>
      </w:r>
      <w:r>
        <w:rPr>
          <w:rFonts w:hint="eastAsia" w:ascii="宋体" w:hAnsi="宋体" w:eastAsia="宋体" w:cs="宋体"/>
          <w:sz w:val="32"/>
          <w:szCs w:val="32"/>
          <w:u w:val="single"/>
        </w:rPr>
        <w:t>月</w:t>
      </w:r>
      <w:r>
        <w:rPr>
          <w:rFonts w:eastAsia="仿宋_GB2312"/>
          <w:sz w:val="32"/>
          <w:szCs w:val="32"/>
          <w:u w:val="single"/>
        </w:rPr>
        <w:t xml:space="preserve">     </w:t>
      </w:r>
      <w:r>
        <w:rPr>
          <w:rFonts w:eastAsia="仿宋_GB2312"/>
          <w:spacing w:val="16"/>
          <w:sz w:val="32"/>
          <w:szCs w:val="32"/>
          <w:u w:val="single"/>
        </w:rPr>
        <w:t xml:space="preserve">      </w:t>
      </w:r>
    </w:p>
    <w:p w14:paraId="3B049BDA">
      <w:pPr>
        <w:adjustRightInd w:val="0"/>
        <w:snapToGrid w:val="0"/>
        <w:spacing w:line="288" w:lineRule="auto"/>
        <w:ind w:firstLine="1040"/>
        <w:rPr>
          <w:rFonts w:eastAsia="仿宋_GB2312"/>
          <w:sz w:val="36"/>
          <w:szCs w:val="36"/>
        </w:rPr>
      </w:pPr>
    </w:p>
    <w:p w14:paraId="316F8B23">
      <w:pPr>
        <w:adjustRightInd w:val="0"/>
        <w:snapToGrid w:val="0"/>
        <w:spacing w:line="288" w:lineRule="auto"/>
        <w:ind w:firstLine="1040"/>
        <w:rPr>
          <w:rFonts w:eastAsia="仿宋_GB2312"/>
          <w:sz w:val="36"/>
          <w:szCs w:val="36"/>
        </w:rPr>
      </w:pPr>
    </w:p>
    <w:p w14:paraId="22D084E0">
      <w:pPr>
        <w:adjustRightInd w:val="0"/>
        <w:snapToGrid w:val="0"/>
        <w:spacing w:line="288" w:lineRule="auto"/>
        <w:ind w:firstLine="1040"/>
        <w:rPr>
          <w:rFonts w:eastAsia="仿宋_GB2312"/>
          <w:sz w:val="36"/>
          <w:szCs w:val="36"/>
        </w:rPr>
      </w:pPr>
    </w:p>
    <w:p w14:paraId="0FA75E9D">
      <w:pPr>
        <w:adjustRightInd w:val="0"/>
        <w:snapToGrid w:val="0"/>
        <w:spacing w:line="288" w:lineRule="auto"/>
        <w:rPr>
          <w:rFonts w:eastAsia="仿宋_GB2312"/>
          <w:sz w:val="36"/>
          <w:szCs w:val="36"/>
        </w:rPr>
      </w:pPr>
    </w:p>
    <w:p w14:paraId="1BEB0C0F">
      <w:pPr>
        <w:adjustRightInd w:val="0"/>
        <w:snapToGrid w:val="0"/>
        <w:spacing w:line="288" w:lineRule="auto"/>
        <w:ind w:firstLine="1040"/>
        <w:rPr>
          <w:rFonts w:eastAsia="仿宋_GB2312"/>
          <w:sz w:val="36"/>
          <w:szCs w:val="36"/>
        </w:rPr>
      </w:pPr>
    </w:p>
    <w:bookmarkEnd w:id="0"/>
    <w:p w14:paraId="3A2D2998">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14:paraId="33DEA520">
      <w:pPr>
        <w:spacing w:before="156" w:beforeLines="50" w:after="156" w:afterLines="50"/>
        <w:jc w:val="center"/>
        <w:outlineLvl w:val="0"/>
        <w:rPr>
          <w:rFonts w:eastAsia="黑体"/>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9FA69FC">
      <w:pPr>
        <w:spacing w:before="156" w:beforeLines="50" w:after="156" w:afterLines="50"/>
        <w:jc w:val="center"/>
        <w:outlineLvl w:val="0"/>
        <w:rPr>
          <w:rFonts w:eastAsia="黑体"/>
          <w:sz w:val="30"/>
          <w:szCs w:val="30"/>
        </w:rPr>
      </w:pPr>
    </w:p>
    <w:p w14:paraId="40BA805D">
      <w:pPr>
        <w:spacing w:before="156" w:beforeLines="50" w:after="156" w:afterLines="50"/>
        <w:jc w:val="center"/>
        <w:outlineLvl w:val="0"/>
        <w:rPr>
          <w:rFonts w:eastAsia="黑体"/>
          <w:sz w:val="30"/>
          <w:szCs w:val="30"/>
        </w:rPr>
      </w:pPr>
    </w:p>
    <w:p w14:paraId="2A7C4078">
      <w:pPr>
        <w:spacing w:before="156" w:beforeLines="50" w:after="156" w:afterLines="50"/>
        <w:jc w:val="center"/>
        <w:outlineLvl w:val="0"/>
        <w:rPr>
          <w:rFonts w:eastAsia="黑体"/>
          <w:sz w:val="30"/>
          <w:szCs w:val="30"/>
        </w:rPr>
      </w:pPr>
    </w:p>
    <w:p w14:paraId="46088CF6">
      <w:pPr>
        <w:spacing w:before="156" w:beforeLines="50" w:after="156" w:afterLines="50"/>
        <w:jc w:val="center"/>
        <w:outlineLvl w:val="0"/>
        <w:rPr>
          <w:rFonts w:eastAsia="黑体"/>
          <w:sz w:val="30"/>
          <w:szCs w:val="30"/>
        </w:rPr>
      </w:pPr>
    </w:p>
    <w:p w14:paraId="2F2C0384">
      <w:pPr>
        <w:spacing w:before="156" w:beforeLines="50" w:after="156" w:afterLines="50"/>
        <w:jc w:val="center"/>
        <w:outlineLvl w:val="0"/>
        <w:rPr>
          <w:rFonts w:eastAsia="黑体"/>
          <w:sz w:val="30"/>
          <w:szCs w:val="30"/>
        </w:rPr>
      </w:pPr>
    </w:p>
    <w:p w14:paraId="480E408E">
      <w:pPr>
        <w:spacing w:before="156" w:beforeLines="50" w:after="156" w:afterLines="50"/>
        <w:jc w:val="center"/>
        <w:outlineLvl w:val="0"/>
        <w:rPr>
          <w:rFonts w:eastAsia="黑体"/>
          <w:sz w:val="30"/>
          <w:szCs w:val="30"/>
        </w:rPr>
      </w:pPr>
    </w:p>
    <w:p w14:paraId="1678B759">
      <w:pPr>
        <w:spacing w:before="156" w:beforeLines="50" w:after="156" w:afterLines="50"/>
        <w:jc w:val="center"/>
        <w:outlineLvl w:val="0"/>
        <w:rPr>
          <w:rFonts w:eastAsia="黑体"/>
          <w:sz w:val="30"/>
          <w:szCs w:val="30"/>
        </w:rPr>
      </w:pPr>
    </w:p>
    <w:p w14:paraId="0D552FA9">
      <w:pPr>
        <w:spacing w:before="156" w:beforeLines="50" w:after="156" w:afterLines="50"/>
        <w:jc w:val="center"/>
        <w:outlineLvl w:val="0"/>
        <w:rPr>
          <w:rFonts w:eastAsia="黑体"/>
          <w:sz w:val="30"/>
          <w:szCs w:val="30"/>
        </w:rPr>
      </w:pPr>
    </w:p>
    <w:p w14:paraId="5DFA5F6A">
      <w:pPr>
        <w:spacing w:before="156" w:beforeLines="50" w:after="156" w:afterLines="50"/>
        <w:jc w:val="center"/>
        <w:outlineLvl w:val="0"/>
        <w:rPr>
          <w:rFonts w:eastAsia="黑体"/>
          <w:sz w:val="30"/>
          <w:szCs w:val="30"/>
        </w:rPr>
      </w:pPr>
    </w:p>
    <w:p w14:paraId="6E12FDC5">
      <w:pPr>
        <w:spacing w:before="156" w:beforeLines="50" w:after="156" w:afterLines="50"/>
        <w:jc w:val="center"/>
        <w:outlineLvl w:val="0"/>
        <w:rPr>
          <w:rFonts w:eastAsia="黑体"/>
          <w:sz w:val="30"/>
          <w:szCs w:val="30"/>
        </w:rPr>
      </w:pPr>
    </w:p>
    <w:p w14:paraId="1EA3CCF5">
      <w:pPr>
        <w:spacing w:before="156" w:beforeLines="50" w:after="156" w:afterLines="50"/>
        <w:jc w:val="center"/>
        <w:outlineLvl w:val="0"/>
        <w:rPr>
          <w:rFonts w:eastAsia="黑体"/>
          <w:sz w:val="30"/>
          <w:szCs w:val="30"/>
        </w:rPr>
      </w:pPr>
    </w:p>
    <w:p w14:paraId="76ACC54A">
      <w:pPr>
        <w:spacing w:before="156" w:beforeLines="50" w:after="156" w:afterLines="50"/>
        <w:jc w:val="center"/>
        <w:outlineLvl w:val="0"/>
        <w:rPr>
          <w:rFonts w:eastAsia="黑体"/>
          <w:sz w:val="30"/>
          <w:szCs w:val="30"/>
        </w:rPr>
      </w:pPr>
    </w:p>
    <w:p w14:paraId="4FCE3008">
      <w:pPr>
        <w:spacing w:before="156" w:beforeLines="50" w:after="156" w:afterLines="50"/>
        <w:jc w:val="center"/>
        <w:outlineLvl w:val="0"/>
        <w:rPr>
          <w:rFonts w:eastAsia="黑体"/>
          <w:sz w:val="30"/>
          <w:szCs w:val="30"/>
        </w:rPr>
      </w:pPr>
    </w:p>
    <w:p w14:paraId="309E1E52">
      <w:pPr>
        <w:spacing w:before="156" w:beforeLines="50" w:after="156" w:afterLines="50"/>
        <w:jc w:val="center"/>
        <w:outlineLvl w:val="0"/>
        <w:rPr>
          <w:rFonts w:eastAsia="黑体"/>
          <w:sz w:val="30"/>
          <w:szCs w:val="30"/>
        </w:rPr>
      </w:pPr>
    </w:p>
    <w:p w14:paraId="2421E4DB">
      <w:pPr>
        <w:spacing w:before="156" w:beforeLines="50" w:after="156" w:afterLines="50"/>
        <w:jc w:val="center"/>
        <w:outlineLvl w:val="0"/>
        <w:rPr>
          <w:rFonts w:eastAsia="黑体"/>
          <w:sz w:val="30"/>
          <w:szCs w:val="30"/>
        </w:rPr>
      </w:pPr>
    </w:p>
    <w:p w14:paraId="00302A7F">
      <w:pPr>
        <w:spacing w:before="156" w:beforeLines="50" w:after="156" w:afterLines="50"/>
        <w:jc w:val="center"/>
        <w:outlineLvl w:val="0"/>
        <w:rPr>
          <w:rFonts w:eastAsia="黑体"/>
          <w:sz w:val="30"/>
          <w:szCs w:val="30"/>
        </w:rPr>
      </w:pPr>
    </w:p>
    <w:p w14:paraId="1AE33484">
      <w:pPr>
        <w:spacing w:before="156" w:beforeLines="50" w:after="156" w:afterLines="50"/>
        <w:jc w:val="center"/>
        <w:outlineLvl w:val="0"/>
        <w:rPr>
          <w:rFonts w:eastAsia="黑体"/>
          <w:sz w:val="30"/>
          <w:szCs w:val="30"/>
        </w:rPr>
      </w:pPr>
    </w:p>
    <w:p w14:paraId="16174D53">
      <w:pPr>
        <w:spacing w:before="156" w:beforeLines="50" w:after="156" w:afterLines="50"/>
        <w:jc w:val="center"/>
        <w:outlineLvl w:val="0"/>
        <w:rPr>
          <w:rFonts w:eastAsia="黑体"/>
          <w:sz w:val="30"/>
          <w:szCs w:val="30"/>
        </w:rPr>
        <w:sectPr>
          <w:footerReference r:id="rId3" w:type="default"/>
          <w:pgSz w:w="11906" w:h="16838"/>
          <w:pgMar w:top="1587" w:right="1531" w:bottom="1587" w:left="1531"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37793DB">
      <w:pPr>
        <w:spacing w:before="156" w:beforeLines="50" w:after="156" w:afterLines="50"/>
        <w:jc w:val="center"/>
        <w:outlineLvl w:val="0"/>
        <w:rPr>
          <w:rFonts w:eastAsia="黑体"/>
          <w:sz w:val="30"/>
          <w:szCs w:val="30"/>
        </w:rPr>
      </w:pPr>
      <w:r>
        <w:rPr>
          <w:rFonts w:eastAsia="黑体"/>
          <w:sz w:val="30"/>
          <w:szCs w:val="30"/>
        </w:rPr>
        <w:t>一、建设项目基本情况</w:t>
      </w:r>
    </w:p>
    <w:tbl>
      <w:tblPr>
        <w:tblStyle w:val="16"/>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63"/>
        <w:gridCol w:w="2137"/>
        <w:gridCol w:w="225"/>
        <w:gridCol w:w="1824"/>
        <w:gridCol w:w="3021"/>
      </w:tblGrid>
      <w:tr w14:paraId="2AB354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663" w:type="dxa"/>
            <w:tcMar>
              <w:top w:w="16" w:type="dxa"/>
              <w:left w:w="16" w:type="dxa"/>
              <w:right w:w="16" w:type="dxa"/>
            </w:tcMar>
            <w:vAlign w:val="center"/>
          </w:tcPr>
          <w:p w14:paraId="744EA9C9">
            <w:pPr>
              <w:adjustRightInd w:val="0"/>
              <w:snapToGrid w:val="0"/>
              <w:jc w:val="center"/>
              <w:rPr>
                <w:szCs w:val="21"/>
              </w:rPr>
            </w:pPr>
            <w:r>
              <w:rPr>
                <w:szCs w:val="21"/>
              </w:rPr>
              <w:t>建设项目名称</w:t>
            </w:r>
          </w:p>
        </w:tc>
        <w:tc>
          <w:tcPr>
            <w:tcW w:w="7207" w:type="dxa"/>
            <w:gridSpan w:val="4"/>
            <w:vAlign w:val="center"/>
          </w:tcPr>
          <w:p w14:paraId="1B900F88">
            <w:pPr>
              <w:adjustRightInd w:val="0"/>
              <w:snapToGrid w:val="0"/>
              <w:jc w:val="center"/>
              <w:rPr>
                <w:szCs w:val="21"/>
              </w:rPr>
            </w:pPr>
            <w:r>
              <w:rPr>
                <w:rFonts w:hint="eastAsia"/>
                <w:szCs w:val="21"/>
              </w:rPr>
              <w:t>年产</w:t>
            </w:r>
            <w:r>
              <w:rPr>
                <w:rFonts w:hint="eastAsia"/>
                <w:szCs w:val="21"/>
                <w:lang w:val="en-US" w:eastAsia="zh-CN"/>
              </w:rPr>
              <w:t>1000</w:t>
            </w:r>
            <w:r>
              <w:rPr>
                <w:rFonts w:hint="eastAsia"/>
                <w:szCs w:val="21"/>
              </w:rPr>
              <w:t>吨色母粒项目</w:t>
            </w:r>
          </w:p>
        </w:tc>
      </w:tr>
      <w:tr w14:paraId="611AE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1663" w:type="dxa"/>
            <w:tcMar>
              <w:top w:w="16" w:type="dxa"/>
              <w:left w:w="16" w:type="dxa"/>
              <w:right w:w="16" w:type="dxa"/>
            </w:tcMar>
            <w:vAlign w:val="center"/>
          </w:tcPr>
          <w:p w14:paraId="27B41EAC">
            <w:pPr>
              <w:adjustRightInd w:val="0"/>
              <w:snapToGrid w:val="0"/>
              <w:jc w:val="center"/>
              <w:rPr>
                <w:szCs w:val="21"/>
              </w:rPr>
            </w:pPr>
            <w:r>
              <w:rPr>
                <w:szCs w:val="21"/>
              </w:rPr>
              <w:t>项目代码</w:t>
            </w:r>
          </w:p>
        </w:tc>
        <w:tc>
          <w:tcPr>
            <w:tcW w:w="7207" w:type="dxa"/>
            <w:gridSpan w:val="4"/>
            <w:vAlign w:val="center"/>
          </w:tcPr>
          <w:p w14:paraId="77F0F313">
            <w:pPr>
              <w:adjustRightInd w:val="0"/>
              <w:snapToGrid w:val="0"/>
              <w:jc w:val="center"/>
              <w:rPr>
                <w:szCs w:val="21"/>
              </w:rPr>
            </w:pPr>
            <w:r>
              <w:rPr>
                <w:rFonts w:hint="eastAsia"/>
                <w:color w:val="auto"/>
                <w:szCs w:val="21"/>
              </w:rPr>
              <w:t>2020-320612-29-03-567768</w:t>
            </w:r>
          </w:p>
        </w:tc>
      </w:tr>
      <w:tr w14:paraId="6C8D4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63" w:type="dxa"/>
            <w:tcMar>
              <w:top w:w="16" w:type="dxa"/>
              <w:left w:w="16" w:type="dxa"/>
              <w:right w:w="16" w:type="dxa"/>
            </w:tcMar>
            <w:vAlign w:val="center"/>
          </w:tcPr>
          <w:p w14:paraId="3C62DCB8">
            <w:pPr>
              <w:adjustRightInd w:val="0"/>
              <w:snapToGrid w:val="0"/>
              <w:jc w:val="center"/>
              <w:rPr>
                <w:szCs w:val="21"/>
              </w:rPr>
            </w:pPr>
            <w:r>
              <w:rPr>
                <w:szCs w:val="21"/>
              </w:rPr>
              <w:t>建设单位联系人</w:t>
            </w:r>
          </w:p>
        </w:tc>
        <w:tc>
          <w:tcPr>
            <w:tcW w:w="2362" w:type="dxa"/>
            <w:gridSpan w:val="2"/>
            <w:vAlign w:val="center"/>
          </w:tcPr>
          <w:p w14:paraId="281FD3A8">
            <w:pPr>
              <w:adjustRightInd w:val="0"/>
              <w:snapToGrid w:val="0"/>
              <w:jc w:val="center"/>
              <w:rPr>
                <w:rFonts w:hint="eastAsia" w:eastAsia="宋体"/>
                <w:szCs w:val="21"/>
                <w:lang w:eastAsia="zh-CN"/>
              </w:rPr>
            </w:pPr>
            <w:r>
              <w:rPr>
                <w:rFonts w:hint="eastAsia"/>
                <w:szCs w:val="21"/>
                <w:lang w:eastAsia="zh-CN"/>
              </w:rPr>
              <w:t>陶星</w:t>
            </w:r>
          </w:p>
        </w:tc>
        <w:tc>
          <w:tcPr>
            <w:tcW w:w="1824" w:type="dxa"/>
            <w:vAlign w:val="center"/>
          </w:tcPr>
          <w:p w14:paraId="77E41704">
            <w:pPr>
              <w:adjustRightInd w:val="0"/>
              <w:snapToGrid w:val="0"/>
              <w:jc w:val="center"/>
              <w:rPr>
                <w:szCs w:val="21"/>
              </w:rPr>
            </w:pPr>
            <w:r>
              <w:rPr>
                <w:szCs w:val="21"/>
              </w:rPr>
              <w:t>联系方式</w:t>
            </w:r>
          </w:p>
        </w:tc>
        <w:tc>
          <w:tcPr>
            <w:tcW w:w="3021" w:type="dxa"/>
            <w:vAlign w:val="center"/>
          </w:tcPr>
          <w:p w14:paraId="407E4E58">
            <w:pPr>
              <w:adjustRightInd w:val="0"/>
              <w:snapToGrid w:val="0"/>
              <w:jc w:val="center"/>
              <w:rPr>
                <w:szCs w:val="21"/>
              </w:rPr>
            </w:pPr>
            <w:r>
              <w:rPr>
                <w:rFonts w:hint="eastAsia"/>
                <w:szCs w:val="21"/>
              </w:rPr>
              <w:t>13862958246</w:t>
            </w:r>
          </w:p>
        </w:tc>
      </w:tr>
      <w:tr w14:paraId="1DC45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1663" w:type="dxa"/>
            <w:tcMar>
              <w:top w:w="16" w:type="dxa"/>
              <w:left w:w="16" w:type="dxa"/>
              <w:right w:w="16" w:type="dxa"/>
            </w:tcMar>
            <w:vAlign w:val="center"/>
          </w:tcPr>
          <w:p w14:paraId="7DE70A18">
            <w:pPr>
              <w:adjustRightInd w:val="0"/>
              <w:snapToGrid w:val="0"/>
              <w:jc w:val="center"/>
              <w:rPr>
                <w:szCs w:val="21"/>
              </w:rPr>
            </w:pPr>
            <w:r>
              <w:rPr>
                <w:szCs w:val="21"/>
              </w:rPr>
              <w:t>建设地点</w:t>
            </w:r>
          </w:p>
        </w:tc>
        <w:tc>
          <w:tcPr>
            <w:tcW w:w="7207" w:type="dxa"/>
            <w:gridSpan w:val="4"/>
            <w:vAlign w:val="center"/>
          </w:tcPr>
          <w:p w14:paraId="2550BD99">
            <w:pPr>
              <w:adjustRightInd w:val="0"/>
              <w:snapToGrid w:val="0"/>
              <w:jc w:val="center"/>
              <w:rPr>
                <w:szCs w:val="21"/>
              </w:rPr>
            </w:pPr>
            <w:r>
              <w:rPr>
                <w:rFonts w:hint="eastAsia"/>
                <w:szCs w:val="21"/>
              </w:rPr>
              <w:t>南通市通州区刘桥镇蒋一村十五组</w:t>
            </w:r>
          </w:p>
        </w:tc>
      </w:tr>
      <w:tr w14:paraId="2DF2A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63" w:type="dxa"/>
            <w:tcMar>
              <w:top w:w="16" w:type="dxa"/>
              <w:left w:w="16" w:type="dxa"/>
              <w:right w:w="16" w:type="dxa"/>
            </w:tcMar>
            <w:vAlign w:val="center"/>
          </w:tcPr>
          <w:p w14:paraId="37893342">
            <w:pPr>
              <w:adjustRightInd w:val="0"/>
              <w:snapToGrid w:val="0"/>
              <w:jc w:val="center"/>
              <w:rPr>
                <w:szCs w:val="21"/>
              </w:rPr>
            </w:pPr>
            <w:r>
              <w:rPr>
                <w:szCs w:val="21"/>
              </w:rPr>
              <w:t>地理坐标</w:t>
            </w:r>
          </w:p>
        </w:tc>
        <w:tc>
          <w:tcPr>
            <w:tcW w:w="7207" w:type="dxa"/>
            <w:gridSpan w:val="4"/>
            <w:vAlign w:val="center"/>
          </w:tcPr>
          <w:p w14:paraId="5FAA6C15">
            <w:pPr>
              <w:jc w:val="center"/>
              <w:rPr>
                <w:szCs w:val="21"/>
              </w:rPr>
            </w:pPr>
            <w:r>
              <w:rPr>
                <w:rFonts w:hint="eastAsia"/>
                <w:szCs w:val="21"/>
              </w:rPr>
              <w:t>北纬</w:t>
            </w:r>
            <w:r>
              <w:rPr>
                <w:rFonts w:hint="eastAsia"/>
                <w:szCs w:val="21"/>
                <w:u w:val="single"/>
              </w:rPr>
              <w:t>32</w:t>
            </w:r>
            <w:r>
              <w:rPr>
                <w:szCs w:val="21"/>
              </w:rPr>
              <w:t>度</w:t>
            </w:r>
            <w:r>
              <w:rPr>
                <w:rFonts w:hint="eastAsia"/>
                <w:szCs w:val="21"/>
                <w:u w:val="single"/>
                <w:lang w:val="en-US" w:eastAsia="zh-CN"/>
              </w:rPr>
              <w:t>10</w:t>
            </w:r>
            <w:r>
              <w:rPr>
                <w:szCs w:val="21"/>
              </w:rPr>
              <w:t>分</w:t>
            </w:r>
            <w:r>
              <w:rPr>
                <w:rFonts w:hint="eastAsia"/>
                <w:szCs w:val="21"/>
                <w:u w:val="single"/>
                <w:lang w:val="en-US" w:eastAsia="zh-CN"/>
              </w:rPr>
              <w:t>44.133</w:t>
            </w:r>
            <w:r>
              <w:rPr>
                <w:szCs w:val="21"/>
              </w:rPr>
              <w:t>秒，东经</w:t>
            </w:r>
            <w:r>
              <w:rPr>
                <w:rFonts w:hint="eastAsia"/>
                <w:szCs w:val="21"/>
                <w:u w:val="single"/>
              </w:rPr>
              <w:t>12</w:t>
            </w:r>
            <w:r>
              <w:rPr>
                <w:rFonts w:hint="eastAsia"/>
                <w:szCs w:val="21"/>
                <w:u w:val="single"/>
                <w:lang w:val="en-US" w:eastAsia="zh-CN"/>
              </w:rPr>
              <w:t>0</w:t>
            </w:r>
            <w:r>
              <w:rPr>
                <w:szCs w:val="21"/>
              </w:rPr>
              <w:t>度</w:t>
            </w:r>
            <w:r>
              <w:rPr>
                <w:rFonts w:hint="eastAsia"/>
                <w:szCs w:val="21"/>
                <w:u w:val="single"/>
                <w:lang w:val="en-US" w:eastAsia="zh-CN"/>
              </w:rPr>
              <w:t>51</w:t>
            </w:r>
            <w:r>
              <w:rPr>
                <w:szCs w:val="21"/>
              </w:rPr>
              <w:t>分</w:t>
            </w:r>
            <w:r>
              <w:rPr>
                <w:rFonts w:hint="eastAsia"/>
                <w:szCs w:val="21"/>
                <w:u w:val="single"/>
                <w:lang w:val="en-US" w:eastAsia="zh-CN"/>
              </w:rPr>
              <w:t>40.355</w:t>
            </w:r>
            <w:r>
              <w:rPr>
                <w:szCs w:val="21"/>
              </w:rPr>
              <w:t>秒</w:t>
            </w:r>
          </w:p>
        </w:tc>
      </w:tr>
      <w:tr w14:paraId="45F93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1663" w:type="dxa"/>
            <w:tcMar>
              <w:top w:w="16" w:type="dxa"/>
              <w:left w:w="16" w:type="dxa"/>
              <w:right w:w="16" w:type="dxa"/>
            </w:tcMar>
            <w:vAlign w:val="center"/>
          </w:tcPr>
          <w:p w14:paraId="1CA9FEAE">
            <w:pPr>
              <w:adjustRightInd w:val="0"/>
              <w:snapToGrid w:val="0"/>
              <w:jc w:val="center"/>
              <w:rPr>
                <w:szCs w:val="21"/>
              </w:rPr>
            </w:pPr>
            <w:r>
              <w:rPr>
                <w:szCs w:val="21"/>
              </w:rPr>
              <w:t>国民经济</w:t>
            </w:r>
          </w:p>
          <w:p w14:paraId="4BF0F116">
            <w:pPr>
              <w:adjustRightInd w:val="0"/>
              <w:snapToGrid w:val="0"/>
              <w:jc w:val="center"/>
              <w:rPr>
                <w:szCs w:val="21"/>
              </w:rPr>
            </w:pPr>
            <w:r>
              <w:rPr>
                <w:szCs w:val="21"/>
              </w:rPr>
              <w:t>行业类别</w:t>
            </w:r>
          </w:p>
        </w:tc>
        <w:tc>
          <w:tcPr>
            <w:tcW w:w="2137" w:type="dxa"/>
            <w:vAlign w:val="center"/>
          </w:tcPr>
          <w:p w14:paraId="77106AE1">
            <w:pPr>
              <w:adjustRightInd w:val="0"/>
              <w:snapToGrid w:val="0"/>
              <w:jc w:val="center"/>
              <w:rPr>
                <w:rFonts w:hint="default" w:eastAsia="宋体"/>
                <w:szCs w:val="21"/>
                <w:lang w:val="en-US" w:eastAsia="zh-CN"/>
              </w:rPr>
            </w:pPr>
            <w:r>
              <w:rPr>
                <w:rFonts w:hint="eastAsia"/>
                <w:szCs w:val="21"/>
                <w:lang w:val="en-US" w:eastAsia="zh-CN"/>
              </w:rPr>
              <w:t>C2929塑料零件及其它塑料制品制造</w:t>
            </w:r>
          </w:p>
        </w:tc>
        <w:tc>
          <w:tcPr>
            <w:tcW w:w="2049" w:type="dxa"/>
            <w:gridSpan w:val="2"/>
            <w:vAlign w:val="center"/>
          </w:tcPr>
          <w:p w14:paraId="06F3E151">
            <w:pPr>
              <w:adjustRightInd w:val="0"/>
              <w:snapToGrid w:val="0"/>
              <w:jc w:val="center"/>
              <w:rPr>
                <w:szCs w:val="21"/>
              </w:rPr>
            </w:pPr>
            <w:r>
              <w:rPr>
                <w:szCs w:val="21"/>
              </w:rPr>
              <w:t>建设项目</w:t>
            </w:r>
          </w:p>
          <w:p w14:paraId="199C4052">
            <w:pPr>
              <w:adjustRightInd w:val="0"/>
              <w:snapToGrid w:val="0"/>
              <w:jc w:val="center"/>
              <w:rPr>
                <w:szCs w:val="21"/>
              </w:rPr>
            </w:pPr>
            <w:r>
              <w:rPr>
                <w:szCs w:val="21"/>
              </w:rPr>
              <w:t>行业类别</w:t>
            </w:r>
          </w:p>
        </w:tc>
        <w:tc>
          <w:tcPr>
            <w:tcW w:w="3021" w:type="dxa"/>
            <w:vAlign w:val="center"/>
          </w:tcPr>
          <w:p w14:paraId="249AA933">
            <w:pPr>
              <w:widowControl/>
              <w:jc w:val="left"/>
              <w:rPr>
                <w:szCs w:val="21"/>
              </w:rPr>
            </w:pPr>
            <w:r>
              <w:rPr>
                <w:rFonts w:hint="eastAsia"/>
                <w:szCs w:val="21"/>
              </w:rPr>
              <w:t>二十六、橡胶和塑料制品业 29</w:t>
            </w:r>
            <w:r>
              <w:rPr>
                <w:rFonts w:hint="eastAsia"/>
                <w:szCs w:val="21"/>
                <w:lang w:eastAsia="zh-CN"/>
              </w:rPr>
              <w:t>－</w:t>
            </w:r>
            <w:r>
              <w:rPr>
                <w:rFonts w:hint="eastAsia"/>
                <w:szCs w:val="21"/>
              </w:rPr>
              <w:t>塑料制品业292</w:t>
            </w:r>
            <w:r>
              <w:rPr>
                <w:rFonts w:hint="eastAsia"/>
                <w:szCs w:val="21"/>
                <w:lang w:eastAsia="zh-CN"/>
              </w:rPr>
              <w:t>－</w:t>
            </w:r>
            <w:r>
              <w:rPr>
                <w:rFonts w:hint="eastAsia"/>
                <w:szCs w:val="21"/>
              </w:rPr>
              <w:t>其他（年用非溶剂型低VOCs含量涂料10吨以下的除外）</w:t>
            </w:r>
          </w:p>
        </w:tc>
      </w:tr>
      <w:tr w14:paraId="1F9CD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663" w:type="dxa"/>
            <w:tcMar>
              <w:top w:w="16" w:type="dxa"/>
              <w:left w:w="16" w:type="dxa"/>
              <w:right w:w="16" w:type="dxa"/>
            </w:tcMar>
            <w:vAlign w:val="center"/>
          </w:tcPr>
          <w:p w14:paraId="2A89E40B">
            <w:pPr>
              <w:adjustRightInd w:val="0"/>
              <w:snapToGrid w:val="0"/>
              <w:jc w:val="center"/>
              <w:rPr>
                <w:szCs w:val="21"/>
              </w:rPr>
            </w:pPr>
            <w:r>
              <w:rPr>
                <w:szCs w:val="21"/>
              </w:rPr>
              <w:t>建设性质</w:t>
            </w:r>
          </w:p>
        </w:tc>
        <w:tc>
          <w:tcPr>
            <w:tcW w:w="2137" w:type="dxa"/>
            <w:vAlign w:val="center"/>
          </w:tcPr>
          <w:p w14:paraId="41A90F8A">
            <w:pPr>
              <w:jc w:val="left"/>
              <w:rPr>
                <w:szCs w:val="21"/>
              </w:rPr>
            </w:pPr>
            <w:r>
              <w:rPr>
                <w:rFonts w:hint="eastAsia" w:ascii="MS Mincho" w:hAnsi="MS Mincho" w:cs="MS Mincho"/>
                <w:sz w:val="20"/>
                <w:szCs w:val="20"/>
                <w:shd w:val="clear" w:color="auto" w:fill="FFFFFF"/>
              </w:rPr>
              <w:sym w:font="Wingdings 2" w:char="0052"/>
            </w:r>
            <w:r>
              <w:rPr>
                <w:szCs w:val="21"/>
              </w:rPr>
              <w:t>新建（迁建）</w:t>
            </w:r>
          </w:p>
          <w:p w14:paraId="3620BDA2">
            <w:pPr>
              <w:jc w:val="left"/>
              <w:rPr>
                <w:szCs w:val="21"/>
              </w:rPr>
            </w:pPr>
            <w:r>
              <w:rPr>
                <w:szCs w:val="21"/>
              </w:rPr>
              <w:sym w:font="Wingdings 2" w:char="00A3"/>
            </w:r>
            <w:r>
              <w:rPr>
                <w:szCs w:val="21"/>
              </w:rPr>
              <w:t>改建</w:t>
            </w:r>
          </w:p>
          <w:p w14:paraId="0F44F654">
            <w:pPr>
              <w:jc w:val="left"/>
              <w:rPr>
                <w:szCs w:val="21"/>
              </w:rPr>
            </w:pPr>
            <w:r>
              <w:rPr>
                <w:szCs w:val="21"/>
              </w:rPr>
              <w:sym w:font="Wingdings 2" w:char="00A3"/>
            </w:r>
            <w:r>
              <w:rPr>
                <w:szCs w:val="21"/>
              </w:rPr>
              <w:t>扩建</w:t>
            </w:r>
          </w:p>
          <w:p w14:paraId="46BA215E">
            <w:pPr>
              <w:jc w:val="left"/>
              <w:rPr>
                <w:szCs w:val="21"/>
              </w:rPr>
            </w:pPr>
            <w:r>
              <w:rPr>
                <w:szCs w:val="21"/>
              </w:rPr>
              <w:sym w:font="Wingdings 2" w:char="00A3"/>
            </w:r>
            <w:r>
              <w:rPr>
                <w:szCs w:val="21"/>
              </w:rPr>
              <w:t>技术改造</w:t>
            </w:r>
          </w:p>
        </w:tc>
        <w:tc>
          <w:tcPr>
            <w:tcW w:w="2049" w:type="dxa"/>
            <w:gridSpan w:val="2"/>
            <w:vAlign w:val="center"/>
          </w:tcPr>
          <w:p w14:paraId="719616D5">
            <w:pPr>
              <w:adjustRightInd w:val="0"/>
              <w:snapToGrid w:val="0"/>
              <w:jc w:val="center"/>
              <w:rPr>
                <w:szCs w:val="21"/>
              </w:rPr>
            </w:pPr>
            <w:r>
              <w:rPr>
                <w:szCs w:val="21"/>
              </w:rPr>
              <w:t>建设项目</w:t>
            </w:r>
          </w:p>
          <w:p w14:paraId="1A2BC6F4">
            <w:pPr>
              <w:adjustRightInd w:val="0"/>
              <w:snapToGrid w:val="0"/>
              <w:jc w:val="center"/>
              <w:rPr>
                <w:szCs w:val="21"/>
              </w:rPr>
            </w:pPr>
            <w:r>
              <w:rPr>
                <w:szCs w:val="21"/>
              </w:rPr>
              <w:t>申报情形</w:t>
            </w:r>
          </w:p>
        </w:tc>
        <w:tc>
          <w:tcPr>
            <w:tcW w:w="3021" w:type="dxa"/>
            <w:vAlign w:val="center"/>
          </w:tcPr>
          <w:p w14:paraId="70FEBA0B">
            <w:pPr>
              <w:jc w:val="left"/>
              <w:rPr>
                <w:szCs w:val="21"/>
              </w:rPr>
            </w:pPr>
            <w:r>
              <w:rPr>
                <w:rFonts w:hint="eastAsia" w:ascii="MS Mincho" w:hAnsi="MS Mincho" w:cs="MS Mincho"/>
                <w:sz w:val="20"/>
                <w:szCs w:val="20"/>
                <w:shd w:val="clear" w:color="auto" w:fill="FFFFFF"/>
              </w:rPr>
              <w:sym w:font="Wingdings 2" w:char="0052"/>
            </w:r>
            <w:r>
              <w:rPr>
                <w:szCs w:val="21"/>
              </w:rPr>
              <w:t xml:space="preserve">首次申报项目             </w:t>
            </w:r>
          </w:p>
          <w:p w14:paraId="345209AC">
            <w:pPr>
              <w:jc w:val="left"/>
              <w:rPr>
                <w:szCs w:val="21"/>
              </w:rPr>
            </w:pPr>
            <w:r>
              <w:rPr>
                <w:szCs w:val="21"/>
              </w:rPr>
              <w:sym w:font="Wingdings 2" w:char="00A3"/>
            </w:r>
            <w:r>
              <w:rPr>
                <w:szCs w:val="21"/>
              </w:rPr>
              <w:t>不予批准后再次申报项目</w:t>
            </w:r>
          </w:p>
          <w:p w14:paraId="32177681">
            <w:pPr>
              <w:jc w:val="left"/>
              <w:rPr>
                <w:szCs w:val="21"/>
              </w:rPr>
            </w:pPr>
            <w:r>
              <w:rPr>
                <w:szCs w:val="21"/>
              </w:rPr>
              <w:sym w:font="Wingdings 2" w:char="00A3"/>
            </w:r>
            <w:r>
              <w:rPr>
                <w:szCs w:val="21"/>
              </w:rPr>
              <w:t xml:space="preserve">超五年重新审核项目     </w:t>
            </w:r>
          </w:p>
          <w:p w14:paraId="08D3EF75">
            <w:pPr>
              <w:jc w:val="left"/>
              <w:rPr>
                <w:szCs w:val="21"/>
              </w:rPr>
            </w:pPr>
            <w:r>
              <w:rPr>
                <w:szCs w:val="21"/>
              </w:rPr>
              <w:sym w:font="Wingdings 2" w:char="00A3"/>
            </w:r>
            <w:r>
              <w:rPr>
                <w:szCs w:val="21"/>
              </w:rPr>
              <w:t>重大变动重新报批项目</w:t>
            </w:r>
          </w:p>
        </w:tc>
      </w:tr>
      <w:tr w14:paraId="42109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1663" w:type="dxa"/>
            <w:tcMar>
              <w:top w:w="16" w:type="dxa"/>
              <w:left w:w="16" w:type="dxa"/>
              <w:right w:w="16" w:type="dxa"/>
            </w:tcMar>
            <w:vAlign w:val="center"/>
          </w:tcPr>
          <w:p w14:paraId="6B0566D7">
            <w:pPr>
              <w:adjustRightInd w:val="0"/>
              <w:snapToGrid w:val="0"/>
              <w:jc w:val="center"/>
              <w:rPr>
                <w:szCs w:val="21"/>
              </w:rPr>
            </w:pPr>
            <w:r>
              <w:rPr>
                <w:szCs w:val="21"/>
              </w:rPr>
              <w:t>项目审批（核准/备案）部门（选填）</w:t>
            </w:r>
          </w:p>
        </w:tc>
        <w:tc>
          <w:tcPr>
            <w:tcW w:w="2137" w:type="dxa"/>
            <w:vAlign w:val="center"/>
          </w:tcPr>
          <w:p w14:paraId="771B62BF">
            <w:pPr>
              <w:adjustRightInd w:val="0"/>
              <w:snapToGrid w:val="0"/>
              <w:jc w:val="center"/>
              <w:rPr>
                <w:color w:val="auto"/>
                <w:szCs w:val="21"/>
              </w:rPr>
            </w:pPr>
            <w:r>
              <w:rPr>
                <w:rFonts w:hint="eastAsia"/>
                <w:color w:val="auto"/>
                <w:szCs w:val="21"/>
              </w:rPr>
              <w:t>南通市通州区</w:t>
            </w:r>
            <w:r>
              <w:rPr>
                <w:rFonts w:hint="eastAsia"/>
                <w:color w:val="auto"/>
                <w:szCs w:val="21"/>
                <w:lang w:eastAsia="zh-CN"/>
              </w:rPr>
              <w:t>数据局</w:t>
            </w:r>
          </w:p>
        </w:tc>
        <w:tc>
          <w:tcPr>
            <w:tcW w:w="2049" w:type="dxa"/>
            <w:gridSpan w:val="2"/>
            <w:vAlign w:val="center"/>
          </w:tcPr>
          <w:p w14:paraId="439D85F8">
            <w:pPr>
              <w:adjustRightInd w:val="0"/>
              <w:snapToGrid w:val="0"/>
              <w:jc w:val="center"/>
              <w:rPr>
                <w:color w:val="auto"/>
                <w:szCs w:val="21"/>
              </w:rPr>
            </w:pPr>
            <w:r>
              <w:rPr>
                <w:color w:val="auto"/>
                <w:szCs w:val="21"/>
              </w:rPr>
              <w:t>项目审批（核准/</w:t>
            </w:r>
          </w:p>
          <w:p w14:paraId="436B3C0F">
            <w:pPr>
              <w:adjustRightInd w:val="0"/>
              <w:snapToGrid w:val="0"/>
              <w:jc w:val="center"/>
              <w:rPr>
                <w:color w:val="auto"/>
                <w:szCs w:val="21"/>
              </w:rPr>
            </w:pPr>
            <w:r>
              <w:rPr>
                <w:color w:val="auto"/>
                <w:szCs w:val="21"/>
              </w:rPr>
              <w:t>备案）文号（选填）</w:t>
            </w:r>
          </w:p>
        </w:tc>
        <w:tc>
          <w:tcPr>
            <w:tcW w:w="3021" w:type="dxa"/>
            <w:vAlign w:val="center"/>
          </w:tcPr>
          <w:p w14:paraId="09158970">
            <w:pPr>
              <w:adjustRightInd w:val="0"/>
              <w:snapToGrid w:val="0"/>
              <w:jc w:val="center"/>
              <w:rPr>
                <w:color w:val="auto"/>
                <w:szCs w:val="21"/>
              </w:rPr>
            </w:pPr>
            <w:r>
              <w:rPr>
                <w:rFonts w:hint="eastAsia"/>
                <w:color w:val="auto"/>
                <w:szCs w:val="21"/>
              </w:rPr>
              <w:t>通</w:t>
            </w:r>
            <w:r>
              <w:rPr>
                <w:rFonts w:hint="eastAsia"/>
                <w:color w:val="auto"/>
                <w:szCs w:val="21"/>
                <w:lang w:eastAsia="zh-CN"/>
              </w:rPr>
              <w:t>数据投备</w:t>
            </w:r>
            <w:r>
              <w:rPr>
                <w:rFonts w:hint="eastAsia"/>
                <w:color w:val="auto"/>
                <w:szCs w:val="21"/>
              </w:rPr>
              <w:t>〔202</w:t>
            </w:r>
            <w:r>
              <w:rPr>
                <w:rFonts w:hint="eastAsia"/>
                <w:color w:val="auto"/>
                <w:szCs w:val="21"/>
                <w:lang w:val="en-US" w:eastAsia="zh-CN"/>
              </w:rPr>
              <w:t>4</w:t>
            </w:r>
            <w:r>
              <w:rPr>
                <w:rFonts w:hint="eastAsia"/>
                <w:color w:val="auto"/>
                <w:szCs w:val="21"/>
              </w:rPr>
              <w:t>〕</w:t>
            </w:r>
            <w:r>
              <w:rPr>
                <w:rFonts w:hint="eastAsia"/>
                <w:color w:val="auto"/>
                <w:szCs w:val="21"/>
                <w:lang w:val="en-US" w:eastAsia="zh-CN"/>
              </w:rPr>
              <w:t>141</w:t>
            </w:r>
            <w:r>
              <w:rPr>
                <w:rFonts w:hint="eastAsia"/>
                <w:color w:val="auto"/>
                <w:szCs w:val="21"/>
              </w:rPr>
              <w:t>号</w:t>
            </w:r>
          </w:p>
        </w:tc>
      </w:tr>
      <w:tr w14:paraId="17E84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63" w:type="dxa"/>
            <w:tcMar>
              <w:top w:w="16" w:type="dxa"/>
              <w:left w:w="16" w:type="dxa"/>
              <w:right w:w="16" w:type="dxa"/>
            </w:tcMar>
            <w:vAlign w:val="center"/>
          </w:tcPr>
          <w:p w14:paraId="578163B1">
            <w:pPr>
              <w:adjustRightInd w:val="0"/>
              <w:snapToGrid w:val="0"/>
              <w:jc w:val="center"/>
              <w:rPr>
                <w:szCs w:val="21"/>
              </w:rPr>
            </w:pPr>
            <w:r>
              <w:rPr>
                <w:szCs w:val="21"/>
              </w:rPr>
              <w:t>总投资（万元）</w:t>
            </w:r>
          </w:p>
        </w:tc>
        <w:tc>
          <w:tcPr>
            <w:tcW w:w="2137" w:type="dxa"/>
            <w:vAlign w:val="center"/>
          </w:tcPr>
          <w:p w14:paraId="1590A25E">
            <w:pPr>
              <w:adjustRightInd w:val="0"/>
              <w:snapToGrid w:val="0"/>
              <w:jc w:val="center"/>
              <w:rPr>
                <w:rFonts w:hint="default"/>
                <w:szCs w:val="21"/>
                <w:lang w:val="en-US" w:eastAsia="zh-CN"/>
              </w:rPr>
            </w:pPr>
            <w:r>
              <w:rPr>
                <w:rFonts w:hint="eastAsia"/>
                <w:szCs w:val="21"/>
                <w:lang w:val="en-US" w:eastAsia="zh-CN"/>
              </w:rPr>
              <w:t>1000</w:t>
            </w:r>
          </w:p>
        </w:tc>
        <w:tc>
          <w:tcPr>
            <w:tcW w:w="2049" w:type="dxa"/>
            <w:gridSpan w:val="2"/>
            <w:tcMar>
              <w:top w:w="16" w:type="dxa"/>
              <w:left w:w="16" w:type="dxa"/>
              <w:right w:w="16" w:type="dxa"/>
            </w:tcMar>
            <w:vAlign w:val="center"/>
          </w:tcPr>
          <w:p w14:paraId="17E02642">
            <w:pPr>
              <w:adjustRightInd w:val="0"/>
              <w:snapToGrid w:val="0"/>
              <w:jc w:val="center"/>
              <w:rPr>
                <w:szCs w:val="21"/>
              </w:rPr>
            </w:pPr>
            <w:r>
              <w:rPr>
                <w:szCs w:val="21"/>
              </w:rPr>
              <w:t>环保投资（万元）</w:t>
            </w:r>
          </w:p>
        </w:tc>
        <w:tc>
          <w:tcPr>
            <w:tcW w:w="3021" w:type="dxa"/>
            <w:vAlign w:val="center"/>
          </w:tcPr>
          <w:p w14:paraId="2F7BEC68">
            <w:pPr>
              <w:adjustRightInd w:val="0"/>
              <w:snapToGrid w:val="0"/>
              <w:jc w:val="center"/>
              <w:rPr>
                <w:rFonts w:hint="default"/>
                <w:szCs w:val="21"/>
                <w:lang w:val="en-US"/>
              </w:rPr>
            </w:pPr>
            <w:r>
              <w:rPr>
                <w:rFonts w:hint="eastAsia"/>
                <w:szCs w:val="21"/>
                <w:lang w:val="en-US" w:eastAsia="zh-CN"/>
              </w:rPr>
              <w:t>50</w:t>
            </w:r>
          </w:p>
        </w:tc>
      </w:tr>
      <w:tr w14:paraId="1FCCC4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63" w:type="dxa"/>
            <w:tcMar>
              <w:top w:w="16" w:type="dxa"/>
              <w:left w:w="16" w:type="dxa"/>
              <w:right w:w="16" w:type="dxa"/>
            </w:tcMar>
            <w:vAlign w:val="center"/>
          </w:tcPr>
          <w:p w14:paraId="68ED93C6">
            <w:pPr>
              <w:adjustRightInd w:val="0"/>
              <w:snapToGrid w:val="0"/>
              <w:jc w:val="center"/>
              <w:rPr>
                <w:szCs w:val="21"/>
              </w:rPr>
            </w:pPr>
            <w:r>
              <w:rPr>
                <w:szCs w:val="21"/>
              </w:rPr>
              <w:t>环保投资占比（%）</w:t>
            </w:r>
          </w:p>
        </w:tc>
        <w:tc>
          <w:tcPr>
            <w:tcW w:w="2137" w:type="dxa"/>
            <w:vAlign w:val="center"/>
          </w:tcPr>
          <w:p w14:paraId="57BC80C4">
            <w:pPr>
              <w:adjustRightInd w:val="0"/>
              <w:snapToGrid w:val="0"/>
              <w:jc w:val="center"/>
              <w:rPr>
                <w:szCs w:val="21"/>
              </w:rPr>
            </w:pPr>
            <w:r>
              <w:rPr>
                <w:rFonts w:hint="eastAsia"/>
                <w:szCs w:val="21"/>
                <w:lang w:val="en-US" w:eastAsia="zh-CN"/>
              </w:rPr>
              <w:t>5</w:t>
            </w:r>
            <w:r>
              <w:rPr>
                <w:rFonts w:hint="eastAsia"/>
                <w:szCs w:val="21"/>
              </w:rPr>
              <w:t>%</w:t>
            </w:r>
          </w:p>
        </w:tc>
        <w:tc>
          <w:tcPr>
            <w:tcW w:w="2049" w:type="dxa"/>
            <w:gridSpan w:val="2"/>
            <w:tcMar>
              <w:top w:w="16" w:type="dxa"/>
              <w:left w:w="16" w:type="dxa"/>
              <w:right w:w="16" w:type="dxa"/>
            </w:tcMar>
            <w:vAlign w:val="center"/>
          </w:tcPr>
          <w:p w14:paraId="329D421F">
            <w:pPr>
              <w:adjustRightInd w:val="0"/>
              <w:snapToGrid w:val="0"/>
              <w:jc w:val="center"/>
              <w:rPr>
                <w:szCs w:val="21"/>
              </w:rPr>
            </w:pPr>
            <w:r>
              <w:rPr>
                <w:szCs w:val="21"/>
              </w:rPr>
              <w:t>施工工期</w:t>
            </w:r>
          </w:p>
        </w:tc>
        <w:tc>
          <w:tcPr>
            <w:tcW w:w="3021" w:type="dxa"/>
            <w:vAlign w:val="center"/>
          </w:tcPr>
          <w:p w14:paraId="79D25482">
            <w:pPr>
              <w:adjustRightInd w:val="0"/>
              <w:snapToGrid w:val="0"/>
              <w:jc w:val="center"/>
              <w:rPr>
                <w:szCs w:val="21"/>
              </w:rPr>
            </w:pPr>
            <w:r>
              <w:rPr>
                <w:rFonts w:hint="eastAsia"/>
                <w:color w:val="auto"/>
                <w:szCs w:val="21"/>
                <w:lang w:val="en-US" w:eastAsia="zh-CN"/>
              </w:rPr>
              <w:t>2个月</w:t>
            </w:r>
          </w:p>
        </w:tc>
      </w:tr>
      <w:tr w14:paraId="311EE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663" w:type="dxa"/>
            <w:tcMar>
              <w:top w:w="16" w:type="dxa"/>
              <w:left w:w="16" w:type="dxa"/>
              <w:right w:w="16" w:type="dxa"/>
            </w:tcMar>
            <w:vAlign w:val="center"/>
          </w:tcPr>
          <w:p w14:paraId="672E8E24">
            <w:pPr>
              <w:adjustRightInd w:val="0"/>
              <w:snapToGrid w:val="0"/>
              <w:jc w:val="center"/>
              <w:rPr>
                <w:szCs w:val="21"/>
              </w:rPr>
            </w:pPr>
            <w:r>
              <w:rPr>
                <w:szCs w:val="21"/>
              </w:rPr>
              <w:t>是否开工建设</w:t>
            </w:r>
          </w:p>
        </w:tc>
        <w:tc>
          <w:tcPr>
            <w:tcW w:w="2137" w:type="dxa"/>
            <w:vAlign w:val="center"/>
          </w:tcPr>
          <w:p w14:paraId="2FA98362">
            <w:pPr>
              <w:adjustRightInd w:val="0"/>
              <w:snapToGrid w:val="0"/>
              <w:rPr>
                <w:szCs w:val="21"/>
              </w:rPr>
            </w:pPr>
            <w:r>
              <w:rPr>
                <w:rFonts w:hint="eastAsia" w:ascii="MS Mincho" w:hAnsi="MS Mincho" w:cs="MS Mincho"/>
                <w:sz w:val="20"/>
                <w:szCs w:val="20"/>
                <w:shd w:val="clear" w:color="auto" w:fill="FFFFFF"/>
                <w:lang w:eastAsia="zh-CN"/>
              </w:rPr>
              <w:t>☑</w:t>
            </w:r>
            <w:r>
              <w:rPr>
                <w:szCs w:val="21"/>
              </w:rPr>
              <w:t>否</w:t>
            </w:r>
          </w:p>
          <w:p w14:paraId="3062EAB3">
            <w:pPr>
              <w:adjustRightInd w:val="0"/>
              <w:snapToGrid w:val="0"/>
              <w:rPr>
                <w:szCs w:val="21"/>
              </w:rPr>
            </w:pPr>
            <w:r>
              <w:rPr>
                <w:rFonts w:hint="eastAsia" w:ascii="MS Mincho" w:hAnsi="MS Mincho" w:cs="MS Mincho"/>
                <w:sz w:val="20"/>
                <w:szCs w:val="20"/>
                <w:shd w:val="clear" w:color="auto" w:fill="FFFFFF"/>
                <w:lang w:eastAsia="zh-CN"/>
              </w:rPr>
              <w:t>□</w:t>
            </w:r>
            <w:r>
              <w:rPr>
                <w:szCs w:val="21"/>
              </w:rPr>
              <w:t>是：</w:t>
            </w:r>
            <w:r>
              <w:rPr>
                <w:szCs w:val="21"/>
                <w:u w:val="single"/>
              </w:rPr>
              <w:t xml:space="preserve"> </w:t>
            </w:r>
            <w:r>
              <w:rPr>
                <w:rFonts w:hint="eastAsia"/>
                <w:szCs w:val="21"/>
                <w:u w:val="single"/>
              </w:rPr>
              <w:t xml:space="preserve">     </w:t>
            </w:r>
            <w:r>
              <w:rPr>
                <w:szCs w:val="21"/>
                <w:u w:val="single"/>
              </w:rPr>
              <w:t xml:space="preserve">   </w:t>
            </w:r>
          </w:p>
        </w:tc>
        <w:tc>
          <w:tcPr>
            <w:tcW w:w="2049" w:type="dxa"/>
            <w:gridSpan w:val="2"/>
            <w:tcMar>
              <w:top w:w="16" w:type="dxa"/>
              <w:left w:w="16" w:type="dxa"/>
              <w:right w:w="16" w:type="dxa"/>
            </w:tcMar>
            <w:vAlign w:val="center"/>
          </w:tcPr>
          <w:p w14:paraId="24138CF8">
            <w:pPr>
              <w:adjustRightInd w:val="0"/>
              <w:snapToGrid w:val="0"/>
              <w:jc w:val="center"/>
              <w:rPr>
                <w:spacing w:val="-6"/>
                <w:szCs w:val="21"/>
              </w:rPr>
            </w:pPr>
            <w:r>
              <w:rPr>
                <w:spacing w:val="-6"/>
                <w:szCs w:val="21"/>
              </w:rPr>
              <w:t>用地（用海）</w:t>
            </w:r>
          </w:p>
          <w:p w14:paraId="63D5DF37">
            <w:pPr>
              <w:adjustRightInd w:val="0"/>
              <w:snapToGrid w:val="0"/>
              <w:jc w:val="center"/>
              <w:rPr>
                <w:szCs w:val="21"/>
              </w:rPr>
            </w:pPr>
            <w:r>
              <w:rPr>
                <w:spacing w:val="-6"/>
                <w:szCs w:val="21"/>
              </w:rPr>
              <w:t>面积（m</w:t>
            </w:r>
            <w:r>
              <w:rPr>
                <w:spacing w:val="-6"/>
                <w:szCs w:val="21"/>
                <w:vertAlign w:val="superscript"/>
              </w:rPr>
              <w:t>2</w:t>
            </w:r>
            <w:r>
              <w:rPr>
                <w:spacing w:val="-6"/>
                <w:szCs w:val="21"/>
              </w:rPr>
              <w:t>）</w:t>
            </w:r>
          </w:p>
        </w:tc>
        <w:tc>
          <w:tcPr>
            <w:tcW w:w="3021" w:type="dxa"/>
            <w:vAlign w:val="center"/>
          </w:tcPr>
          <w:p w14:paraId="6FE1EBF1">
            <w:pPr>
              <w:adjustRightInd w:val="0"/>
              <w:snapToGrid w:val="0"/>
              <w:jc w:val="center"/>
              <w:rPr>
                <w:rFonts w:hint="default" w:eastAsia="宋体"/>
                <w:szCs w:val="21"/>
                <w:lang w:val="en-US" w:eastAsia="zh-CN"/>
              </w:rPr>
            </w:pPr>
            <w:r>
              <w:rPr>
                <w:rFonts w:hint="eastAsia"/>
                <w:szCs w:val="21"/>
                <w:lang w:val="en-US" w:eastAsia="zh-CN"/>
              </w:rPr>
              <w:t>2700</w:t>
            </w:r>
          </w:p>
        </w:tc>
      </w:tr>
      <w:tr w14:paraId="1B769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63" w:type="dxa"/>
            <w:vAlign w:val="center"/>
          </w:tcPr>
          <w:p w14:paraId="782581F7">
            <w:pPr>
              <w:autoSpaceDE w:val="0"/>
              <w:autoSpaceDN w:val="0"/>
              <w:adjustRightInd w:val="0"/>
              <w:snapToGrid w:val="0"/>
              <w:jc w:val="center"/>
              <w:rPr>
                <w:kern w:val="0"/>
                <w:szCs w:val="21"/>
              </w:rPr>
            </w:pPr>
            <w:r>
              <w:rPr>
                <w:kern w:val="0"/>
                <w:szCs w:val="21"/>
              </w:rPr>
              <w:t>专项评价</w:t>
            </w:r>
          </w:p>
          <w:p w14:paraId="6A7C36CF">
            <w:pPr>
              <w:autoSpaceDE w:val="0"/>
              <w:autoSpaceDN w:val="0"/>
              <w:adjustRightInd w:val="0"/>
              <w:snapToGrid w:val="0"/>
              <w:jc w:val="center"/>
              <w:rPr>
                <w:kern w:val="0"/>
                <w:szCs w:val="21"/>
              </w:rPr>
            </w:pPr>
            <w:r>
              <w:rPr>
                <w:kern w:val="0"/>
                <w:szCs w:val="21"/>
              </w:rPr>
              <w:t>设置情况</w:t>
            </w:r>
          </w:p>
        </w:tc>
        <w:tc>
          <w:tcPr>
            <w:tcW w:w="7207" w:type="dxa"/>
            <w:gridSpan w:val="4"/>
            <w:vAlign w:val="center"/>
          </w:tcPr>
          <w:p w14:paraId="17C5A895">
            <w:pPr>
              <w:autoSpaceDE w:val="0"/>
              <w:autoSpaceDN w:val="0"/>
              <w:adjustRightInd w:val="0"/>
              <w:snapToGrid w:val="0"/>
              <w:jc w:val="center"/>
              <w:rPr>
                <w:rFonts w:hint="eastAsia" w:eastAsia="宋体"/>
                <w:kern w:val="0"/>
                <w:szCs w:val="21"/>
                <w:lang w:eastAsia="zh-CN"/>
              </w:rPr>
            </w:pPr>
            <w:r>
              <w:rPr>
                <w:kern w:val="0"/>
                <w:szCs w:val="21"/>
              </w:rPr>
              <w:t>无</w:t>
            </w:r>
          </w:p>
        </w:tc>
      </w:tr>
      <w:tr w14:paraId="5598B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63" w:type="dxa"/>
            <w:vAlign w:val="center"/>
          </w:tcPr>
          <w:p w14:paraId="6CA3BA40">
            <w:pPr>
              <w:autoSpaceDE w:val="0"/>
              <w:autoSpaceDN w:val="0"/>
              <w:adjustRightInd w:val="0"/>
              <w:snapToGrid w:val="0"/>
              <w:jc w:val="center"/>
              <w:rPr>
                <w:kern w:val="0"/>
                <w:szCs w:val="21"/>
              </w:rPr>
            </w:pPr>
            <w:r>
              <w:rPr>
                <w:szCs w:val="21"/>
              </w:rPr>
              <w:t>规划情况</w:t>
            </w:r>
          </w:p>
        </w:tc>
        <w:tc>
          <w:tcPr>
            <w:tcW w:w="7207" w:type="dxa"/>
            <w:gridSpan w:val="4"/>
            <w:vAlign w:val="center"/>
          </w:tcPr>
          <w:p w14:paraId="607E9542">
            <w:pPr>
              <w:autoSpaceDE w:val="0"/>
              <w:autoSpaceDN w:val="0"/>
              <w:adjustRightInd w:val="0"/>
              <w:snapToGrid w:val="0"/>
              <w:spacing w:line="500" w:lineRule="exact"/>
              <w:jc w:val="both"/>
              <w:rPr>
                <w:rFonts w:hint="eastAsia"/>
                <w:color w:val="auto"/>
                <w:kern w:val="0"/>
                <w:szCs w:val="21"/>
              </w:rPr>
            </w:pPr>
            <w:r>
              <w:rPr>
                <w:rFonts w:hint="eastAsia"/>
                <w:color w:val="auto"/>
                <w:kern w:val="0"/>
                <w:szCs w:val="21"/>
              </w:rPr>
              <w:t>规划名称：《南通市通州区</w:t>
            </w:r>
            <w:r>
              <w:rPr>
                <w:rFonts w:hint="eastAsia"/>
                <w:color w:val="auto"/>
                <w:kern w:val="0"/>
                <w:szCs w:val="21"/>
                <w:lang w:eastAsia="zh-CN"/>
              </w:rPr>
              <w:t>刘桥</w:t>
            </w:r>
            <w:r>
              <w:rPr>
                <w:rFonts w:hint="eastAsia"/>
                <w:color w:val="auto"/>
                <w:kern w:val="0"/>
                <w:szCs w:val="21"/>
              </w:rPr>
              <w:t>镇总体规划（2016-2030）》</w:t>
            </w:r>
          </w:p>
          <w:p w14:paraId="7FAE8068">
            <w:pPr>
              <w:autoSpaceDE w:val="0"/>
              <w:autoSpaceDN w:val="0"/>
              <w:adjustRightInd w:val="0"/>
              <w:snapToGrid w:val="0"/>
              <w:spacing w:line="500" w:lineRule="exact"/>
              <w:jc w:val="both"/>
              <w:rPr>
                <w:rFonts w:hint="eastAsia"/>
                <w:color w:val="auto"/>
                <w:kern w:val="0"/>
                <w:szCs w:val="21"/>
              </w:rPr>
            </w:pPr>
            <w:r>
              <w:rPr>
                <w:rFonts w:hint="eastAsia"/>
                <w:color w:val="auto"/>
                <w:kern w:val="0"/>
                <w:szCs w:val="21"/>
              </w:rPr>
              <w:t>审批机关：南通市人民政府；</w:t>
            </w:r>
          </w:p>
          <w:p w14:paraId="544EA00A">
            <w:pPr>
              <w:autoSpaceDE w:val="0"/>
              <w:autoSpaceDN w:val="0"/>
              <w:adjustRightInd w:val="0"/>
              <w:snapToGrid w:val="0"/>
              <w:spacing w:line="500" w:lineRule="exact"/>
              <w:jc w:val="both"/>
              <w:rPr>
                <w:rFonts w:hint="eastAsia" w:eastAsia="宋体"/>
                <w:color w:val="auto"/>
                <w:kern w:val="0"/>
                <w:szCs w:val="21"/>
                <w:lang w:eastAsia="zh-CN"/>
              </w:rPr>
            </w:pPr>
            <w:r>
              <w:rPr>
                <w:rFonts w:hint="eastAsia"/>
                <w:color w:val="auto"/>
                <w:kern w:val="0"/>
                <w:szCs w:val="21"/>
              </w:rPr>
              <w:t>审批文件名称及文号：关于《南通市通州区</w:t>
            </w:r>
            <w:r>
              <w:rPr>
                <w:rFonts w:hint="eastAsia"/>
                <w:color w:val="auto"/>
                <w:kern w:val="0"/>
                <w:szCs w:val="21"/>
                <w:lang w:eastAsia="zh-CN"/>
              </w:rPr>
              <w:t>刘桥镇</w:t>
            </w:r>
            <w:r>
              <w:rPr>
                <w:rFonts w:hint="eastAsia"/>
                <w:color w:val="auto"/>
                <w:kern w:val="0"/>
                <w:szCs w:val="21"/>
              </w:rPr>
              <w:t>总体规划（2016-2030）的批复》（通政复〔201</w:t>
            </w:r>
            <w:r>
              <w:rPr>
                <w:rFonts w:hint="eastAsia"/>
                <w:color w:val="auto"/>
                <w:kern w:val="0"/>
                <w:szCs w:val="21"/>
                <w:lang w:val="en-US" w:eastAsia="zh-CN"/>
              </w:rPr>
              <w:t>6</w:t>
            </w:r>
            <w:r>
              <w:rPr>
                <w:rFonts w:hint="eastAsia"/>
                <w:color w:val="auto"/>
                <w:kern w:val="0"/>
                <w:szCs w:val="21"/>
              </w:rPr>
              <w:t>〕</w:t>
            </w:r>
            <w:r>
              <w:rPr>
                <w:rFonts w:hint="eastAsia"/>
                <w:color w:val="auto"/>
                <w:kern w:val="0"/>
                <w:szCs w:val="21"/>
                <w:lang w:val="en-US" w:eastAsia="zh-CN"/>
              </w:rPr>
              <w:t>53</w:t>
            </w:r>
            <w:r>
              <w:rPr>
                <w:rFonts w:hint="eastAsia"/>
                <w:color w:val="auto"/>
                <w:kern w:val="0"/>
                <w:szCs w:val="21"/>
              </w:rPr>
              <w:t>号）</w:t>
            </w:r>
          </w:p>
        </w:tc>
      </w:tr>
      <w:tr w14:paraId="08F1A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663" w:type="dxa"/>
            <w:vAlign w:val="center"/>
          </w:tcPr>
          <w:p w14:paraId="6157A2ED">
            <w:pPr>
              <w:adjustRightInd w:val="0"/>
              <w:snapToGrid w:val="0"/>
              <w:jc w:val="center"/>
              <w:rPr>
                <w:szCs w:val="21"/>
              </w:rPr>
            </w:pPr>
            <w:r>
              <w:rPr>
                <w:szCs w:val="21"/>
              </w:rPr>
              <w:t>规划环境影响</w:t>
            </w:r>
          </w:p>
          <w:p w14:paraId="6AC09B26">
            <w:pPr>
              <w:adjustRightInd w:val="0"/>
              <w:snapToGrid w:val="0"/>
              <w:jc w:val="center"/>
              <w:rPr>
                <w:kern w:val="0"/>
                <w:szCs w:val="21"/>
              </w:rPr>
            </w:pPr>
            <w:r>
              <w:rPr>
                <w:szCs w:val="21"/>
              </w:rPr>
              <w:t>评价情况</w:t>
            </w:r>
          </w:p>
        </w:tc>
        <w:tc>
          <w:tcPr>
            <w:tcW w:w="7207" w:type="dxa"/>
            <w:gridSpan w:val="4"/>
            <w:vAlign w:val="center"/>
          </w:tcPr>
          <w:p w14:paraId="1708EA2B">
            <w:pPr>
              <w:autoSpaceDE w:val="0"/>
              <w:autoSpaceDN w:val="0"/>
              <w:adjustRightInd w:val="0"/>
              <w:snapToGrid w:val="0"/>
              <w:spacing w:line="500" w:lineRule="exact"/>
              <w:jc w:val="center"/>
              <w:rPr>
                <w:kern w:val="0"/>
                <w:szCs w:val="21"/>
              </w:rPr>
            </w:pPr>
            <w:r>
              <w:rPr>
                <w:rFonts w:hint="eastAsia"/>
                <w:color w:val="auto"/>
                <w:kern w:val="0"/>
                <w:szCs w:val="21"/>
                <w:lang w:val="en-US" w:eastAsia="zh-CN"/>
              </w:rPr>
              <w:t>无</w:t>
            </w:r>
          </w:p>
        </w:tc>
      </w:tr>
      <w:tr w14:paraId="2D499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663" w:type="dxa"/>
            <w:vAlign w:val="center"/>
          </w:tcPr>
          <w:p w14:paraId="529CBF02">
            <w:pPr>
              <w:adjustRightInd w:val="0"/>
              <w:snapToGrid w:val="0"/>
              <w:jc w:val="center"/>
              <w:rPr>
                <w:szCs w:val="21"/>
              </w:rPr>
            </w:pPr>
            <w:r>
              <w:rPr>
                <w:kern w:val="0"/>
                <w:szCs w:val="21"/>
              </w:rPr>
              <w:t>规划及规划环境影响评价符合性分析</w:t>
            </w:r>
          </w:p>
        </w:tc>
        <w:tc>
          <w:tcPr>
            <w:tcW w:w="7207" w:type="dxa"/>
            <w:gridSpan w:val="4"/>
            <w:vAlign w:val="center"/>
          </w:tcPr>
          <w:p w14:paraId="27DEE3F5">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left"/>
              <w:textAlignment w:val="auto"/>
              <w:rPr>
                <w:rFonts w:hint="eastAsia"/>
                <w:b/>
                <w:bCs/>
                <w:kern w:val="0"/>
                <w:szCs w:val="21"/>
                <w:lang w:val="en-US" w:eastAsia="zh-CN"/>
              </w:rPr>
            </w:pPr>
            <w:r>
              <w:rPr>
                <w:rFonts w:hint="eastAsia"/>
                <w:b/>
                <w:bCs/>
                <w:kern w:val="0"/>
                <w:szCs w:val="21"/>
                <w:lang w:val="en-US" w:eastAsia="zh-CN"/>
              </w:rPr>
              <w:t>1、与《南通市通州区刘桥镇总体规划（2016-2030）》相符性分析</w:t>
            </w:r>
          </w:p>
          <w:p w14:paraId="3FA34A9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kern w:val="0"/>
                <w:szCs w:val="21"/>
                <w:lang w:val="en-US" w:eastAsia="zh-CN"/>
              </w:rPr>
            </w:pPr>
            <w:r>
              <w:rPr>
                <w:rFonts w:hint="eastAsia"/>
                <w:kern w:val="0"/>
                <w:szCs w:val="21"/>
                <w:lang w:val="en-US" w:eastAsia="zh-CN"/>
              </w:rPr>
              <w:t>根据关于《南通市通州区刘桥镇总体规划（2016-2030）的批复》（通政复〔2016〕53号）：</w:t>
            </w:r>
          </w:p>
          <w:p w14:paraId="3244259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kern w:val="0"/>
                <w:szCs w:val="21"/>
                <w:lang w:val="en-US" w:eastAsia="zh-CN"/>
              </w:rPr>
            </w:pPr>
            <w:r>
              <w:rPr>
                <w:rFonts w:hint="eastAsia"/>
                <w:kern w:val="0"/>
                <w:szCs w:val="21"/>
                <w:lang w:val="en-US" w:eastAsia="zh-CN"/>
              </w:rPr>
              <w:t>根据南通市政府关于《南通市通州区刘桥镇总体规划（2016-2030）》的批复，通政复〔2016〕53号，刘桥镇镇区规划范围东至纬十路，南至环镇南路，西至226省道，北至九圩港、平五路一线。规划总用地面积约6.32平方公里。总体布局同意发展方向为控制北部，适度发展东翼，引导向西、南发展，形成“一带、一心、四片”的总体布局结构，打造以沿九圩港岸线为一条产业带，以交通路、迎宾路交叉口区域为镇区公共服务核心，有序建设南、北生活片区及西部产业片区、东部仓储物流片区等四大片区。</w:t>
            </w:r>
          </w:p>
          <w:p w14:paraId="2B71933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kern w:val="0"/>
                <w:szCs w:val="21"/>
                <w:lang w:val="en-US" w:eastAsia="zh-CN"/>
              </w:rPr>
            </w:pPr>
            <w:r>
              <w:rPr>
                <w:rFonts w:hint="eastAsia"/>
                <w:kern w:val="0"/>
                <w:szCs w:val="21"/>
                <w:lang w:val="en-US" w:eastAsia="zh-CN"/>
              </w:rPr>
              <w:t>本项目位于南通市通州区刘桥镇蒋一村十五组，用地性质为工业用地，属于“四片”中的工业集中区，符合《南通市通州区刘桥镇总体规划（2016-2030）》要求。</w:t>
            </w:r>
          </w:p>
          <w:p w14:paraId="0B74559F">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left"/>
              <w:textAlignment w:val="auto"/>
              <w:rPr>
                <w:rFonts w:hint="eastAsia"/>
                <w:b/>
                <w:bCs/>
                <w:kern w:val="0"/>
                <w:szCs w:val="21"/>
                <w:lang w:val="en-US" w:eastAsia="zh-CN"/>
              </w:rPr>
            </w:pPr>
            <w:r>
              <w:rPr>
                <w:rFonts w:hint="eastAsia"/>
                <w:b/>
                <w:bCs/>
                <w:kern w:val="0"/>
                <w:szCs w:val="21"/>
                <w:lang w:val="en-US" w:eastAsia="zh-CN"/>
              </w:rPr>
              <w:t>2、与南通市国土空间总体规划（2021~2035）相符性分析</w:t>
            </w:r>
          </w:p>
          <w:p w14:paraId="0EEA4E6E">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kern w:val="0"/>
                <w:szCs w:val="21"/>
                <w:lang w:val="en-US" w:eastAsia="zh-CN"/>
              </w:rPr>
            </w:pPr>
            <w:r>
              <w:rPr>
                <w:rFonts w:hint="eastAsia"/>
                <w:kern w:val="0"/>
                <w:szCs w:val="21"/>
                <w:lang w:val="en-US" w:eastAsia="zh-CN"/>
              </w:rPr>
              <w:t>江苏省国土空间规划要求和市域空间结构，按照陆海统筹、全域覆盖的原则，市域划分为生态保护红线区、生态控制区、永久基本农田保护区、城镇发展区、乡村发展区、海洋发展区等一级规划分区。生态保护红线区按照生态保护红线相关管控要求，原则上自然保护地核心保护区禁止人为活动，自然保护地核心保护区外禁止开发性、生产性建设活动，在符合法律法规的前提下，仅允许对生态功能不造成破坏的有限人为活动；生态控制区按照限制建设区进行管控，经评价在对生态环境不产生破坏的前提下，可以适度开展观光、旅游等活动；永久基本农田保护区按照永久基本农田保护要求进行管控:城镇发展区按照“详细规划+规划许可”进行管控；乡村发展区按照“详细规划（村庄规划）+规划许可”和“约束指标+分区准入”进行管控；海洋发展区按照海洋相关管控要求进行管控。</w:t>
            </w:r>
          </w:p>
          <w:p w14:paraId="10A01F4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lang w:val="en-US" w:eastAsia="zh-CN"/>
              </w:rPr>
            </w:pPr>
            <w:r>
              <w:rPr>
                <w:rFonts w:hint="eastAsia"/>
                <w:kern w:val="0"/>
                <w:szCs w:val="21"/>
                <w:lang w:val="en-US" w:eastAsia="zh-CN"/>
              </w:rPr>
              <w:t>根据南通市国土空间规划图，本项目建设用地为工业用地，位于城镇开发边界内，不位于生态管控区范围内，不位于生态红线范围内，不涉及永久基本农田保护区、海洋发展区。与《南通市国土空间总体规划》（2021—2035）年相符。</w:t>
            </w:r>
          </w:p>
        </w:tc>
      </w:tr>
      <w:tr w14:paraId="04EE3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3" w:hRule="atLeast"/>
          <w:jc w:val="center"/>
        </w:trPr>
        <w:tc>
          <w:tcPr>
            <w:tcW w:w="1663" w:type="dxa"/>
            <w:vAlign w:val="center"/>
          </w:tcPr>
          <w:p w14:paraId="5BEC0265">
            <w:pPr>
              <w:adjustRightInd w:val="0"/>
              <w:snapToGrid w:val="0"/>
              <w:jc w:val="center"/>
              <w:rPr>
                <w:kern w:val="0"/>
                <w:szCs w:val="21"/>
              </w:rPr>
            </w:pPr>
            <w:r>
              <w:rPr>
                <w:kern w:val="0"/>
                <w:szCs w:val="21"/>
              </w:rPr>
              <w:t>其他符合性</w:t>
            </w:r>
          </w:p>
          <w:p w14:paraId="731D3146">
            <w:pPr>
              <w:adjustRightInd w:val="0"/>
              <w:snapToGrid w:val="0"/>
              <w:jc w:val="center"/>
              <w:rPr>
                <w:kern w:val="0"/>
                <w:szCs w:val="21"/>
              </w:rPr>
            </w:pPr>
            <w:r>
              <w:rPr>
                <w:kern w:val="0"/>
                <w:szCs w:val="21"/>
              </w:rPr>
              <w:t>分析</w:t>
            </w:r>
          </w:p>
        </w:tc>
        <w:tc>
          <w:tcPr>
            <w:tcW w:w="7207" w:type="dxa"/>
            <w:gridSpan w:val="4"/>
            <w:vAlign w:val="center"/>
          </w:tcPr>
          <w:p w14:paraId="13A3D52E">
            <w:pPr>
              <w:spacing w:line="500" w:lineRule="exact"/>
              <w:ind w:firstLine="422" w:firstLineChars="200"/>
              <w:rPr>
                <w:b/>
                <w:szCs w:val="21"/>
              </w:rPr>
            </w:pPr>
            <w:r>
              <w:rPr>
                <w:b/>
                <w:szCs w:val="21"/>
              </w:rPr>
              <w:t>1、项目产业政策符合性分析</w:t>
            </w:r>
          </w:p>
          <w:p w14:paraId="51F85B96">
            <w:pPr>
              <w:spacing w:line="500" w:lineRule="exact"/>
              <w:ind w:firstLine="420" w:firstLineChars="200"/>
              <w:rPr>
                <w:szCs w:val="21"/>
              </w:rPr>
            </w:pPr>
            <w:r>
              <w:rPr>
                <w:szCs w:val="21"/>
              </w:rPr>
              <w:t>（1）产品产业政策符合性</w:t>
            </w:r>
          </w:p>
          <w:p w14:paraId="2C033F8F">
            <w:pPr>
              <w:adjustRightInd w:val="0"/>
              <w:snapToGrid w:val="0"/>
              <w:spacing w:line="500" w:lineRule="exact"/>
              <w:ind w:firstLine="420" w:firstLineChars="200"/>
            </w:pPr>
            <w:r>
              <w:t>项目为国民经济的行业类别中的</w:t>
            </w:r>
            <w:r>
              <w:rPr>
                <w:rFonts w:hint="eastAsia"/>
                <w:szCs w:val="21"/>
              </w:rPr>
              <w:t>C2929 塑料零件及其他塑料制品制造</w:t>
            </w:r>
            <w:r>
              <w:t>，不属于《产业结构调整指导目录（</w:t>
            </w:r>
            <w:r>
              <w:rPr>
                <w:rFonts w:hint="eastAsia"/>
                <w:lang w:val="en-US" w:eastAsia="zh-CN"/>
              </w:rPr>
              <w:t>2024</w:t>
            </w:r>
            <w:r>
              <w:t>年本）》中禁止和限制类，视为允许类，对照《环境保护综合名录（2021年版）》及《江苏省“两高”项目管理目录》，本项目不在</w:t>
            </w:r>
            <w:r>
              <w:rPr>
                <w:rFonts w:hint="eastAsia"/>
              </w:rPr>
              <w:t>“</w:t>
            </w:r>
            <w:r>
              <w:t>高污染、高环境</w:t>
            </w:r>
            <w:r>
              <w:rPr>
                <w:rFonts w:hint="eastAsia"/>
              </w:rPr>
              <w:t>”</w:t>
            </w:r>
            <w:r>
              <w:t>风险产品名录内。对照</w:t>
            </w:r>
            <w:r>
              <w:rPr>
                <w:rFonts w:hint="eastAsia"/>
                <w:lang w:eastAsia="zh-CN"/>
              </w:rPr>
              <w:t>《</w:t>
            </w:r>
            <w:r>
              <w:rPr>
                <w:rFonts w:hint="eastAsia"/>
              </w:rPr>
              <w:t>南通市关于加强减污降碳协同推进重点行业绿色发展的指导意见》（通办〔2024〕6号）</w:t>
            </w:r>
            <w:r>
              <w:t>，本项目不属于高排放、高耗能行业。因此，本项目符合国家产业政策。</w:t>
            </w:r>
          </w:p>
          <w:p w14:paraId="07B853CC">
            <w:pPr>
              <w:spacing w:line="500" w:lineRule="exact"/>
              <w:ind w:firstLine="420" w:firstLineChars="200"/>
            </w:pPr>
            <w:r>
              <w:rPr>
                <w:szCs w:val="21"/>
              </w:rPr>
              <w:t>（2）</w:t>
            </w:r>
            <w:r>
              <w:t>选址及用地规划相符性分析</w:t>
            </w:r>
          </w:p>
          <w:p w14:paraId="51A84B16">
            <w:pPr>
              <w:spacing w:line="500" w:lineRule="exact"/>
              <w:ind w:firstLine="420" w:firstLineChars="200"/>
              <w:rPr>
                <w:szCs w:val="21"/>
              </w:rPr>
            </w:pPr>
            <w:r>
              <w:rPr>
                <w:szCs w:val="21"/>
              </w:rPr>
              <w:t>对照《限制用地项目目录（2012年本）》和《禁止用地项目目录（2012年本）》，</w:t>
            </w:r>
            <w:r>
              <w:t>《江苏省限制用地项目目录（2013年本）》和《江苏省禁止用地项目目录（2013年本）》，</w:t>
            </w:r>
            <w:r>
              <w:rPr>
                <w:szCs w:val="21"/>
              </w:rPr>
              <w:t>本项目不属于其规定的限制用地和禁止用地项目范畴，可视为允许类项目。</w:t>
            </w:r>
          </w:p>
          <w:p w14:paraId="39B1E7A6">
            <w:pPr>
              <w:adjustRightInd w:val="0"/>
              <w:snapToGrid w:val="0"/>
              <w:spacing w:line="500" w:lineRule="exact"/>
              <w:ind w:firstLine="420" w:firstLineChars="200"/>
            </w:pPr>
            <w:r>
              <w:rPr>
                <w:szCs w:val="21"/>
              </w:rPr>
              <w:t>项目位于</w:t>
            </w:r>
            <w:r>
              <w:rPr>
                <w:rFonts w:hint="eastAsia"/>
                <w:kern w:val="0"/>
                <w:szCs w:val="21"/>
              </w:rPr>
              <w:t>南通市通州区刘桥镇蒋一村十五组</w:t>
            </w:r>
            <w:r>
              <w:rPr>
                <w:szCs w:val="21"/>
              </w:rPr>
              <w:t>，</w:t>
            </w:r>
            <w:r>
              <w:rPr>
                <w:rFonts w:hint="eastAsia"/>
                <w:szCs w:val="21"/>
                <w:lang w:eastAsia="zh-CN"/>
              </w:rPr>
              <w:t>属于工业用地，</w:t>
            </w:r>
            <w:r>
              <w:rPr>
                <w:szCs w:val="21"/>
              </w:rPr>
              <w:t>项目建设符合《省政府关于印发江苏省生态空间管控区域规划的通知》（苏政发〔2020〕1号）</w:t>
            </w:r>
            <w:r>
              <w:rPr>
                <w:rFonts w:hint="eastAsia"/>
                <w:szCs w:val="21"/>
              </w:rPr>
              <w:t>以及《江苏省自然资源厅关于南通市通州区2023年度生态空间管控区域调整方案的复函》（苏自然资函〔2023〕665号）</w:t>
            </w:r>
            <w:r>
              <w:rPr>
                <w:szCs w:val="21"/>
              </w:rPr>
              <w:t>的相关要求，本项目的选址符合相关规划要求，选址合理。</w:t>
            </w:r>
          </w:p>
          <w:p w14:paraId="2E3F5AE6">
            <w:pPr>
              <w:adjustRightInd w:val="0"/>
              <w:snapToGrid w:val="0"/>
              <w:spacing w:line="500" w:lineRule="exact"/>
              <w:ind w:firstLine="422" w:firstLineChars="200"/>
              <w:rPr>
                <w:b/>
                <w:bCs/>
                <w:szCs w:val="21"/>
              </w:rPr>
            </w:pPr>
            <w:r>
              <w:rPr>
                <w:rFonts w:hint="eastAsia"/>
                <w:b/>
                <w:bCs/>
                <w:szCs w:val="21"/>
                <w:lang w:val="en-US" w:eastAsia="zh-CN"/>
              </w:rPr>
              <w:t>2</w:t>
            </w:r>
            <w:r>
              <w:rPr>
                <w:rFonts w:hint="eastAsia"/>
                <w:b/>
                <w:bCs/>
                <w:szCs w:val="21"/>
              </w:rPr>
              <w:t>、与“三线一单”相符性分析</w:t>
            </w:r>
          </w:p>
          <w:p w14:paraId="1E52C68E">
            <w:pPr>
              <w:adjustRightInd w:val="0"/>
              <w:snapToGrid w:val="0"/>
              <w:spacing w:line="500" w:lineRule="exact"/>
              <w:ind w:firstLine="420" w:firstLineChars="200"/>
              <w:rPr>
                <w:bCs/>
                <w:szCs w:val="21"/>
              </w:rPr>
            </w:pPr>
            <w:r>
              <w:rPr>
                <w:rFonts w:hint="eastAsia"/>
                <w:bCs/>
                <w:szCs w:val="21"/>
              </w:rPr>
              <w:t>与《江苏省2023年度生态环境分区管控动态更新成果公告》（2024年6月13日）相符性</w:t>
            </w:r>
          </w:p>
          <w:p w14:paraId="4AEA1C3F">
            <w:pPr>
              <w:pStyle w:val="2"/>
              <w:keepNext w:val="0"/>
              <w:keepLines w:val="0"/>
              <w:pageBreakBefore w:val="0"/>
              <w:widowControl w:val="0"/>
              <w:kinsoku/>
              <w:wordWrap/>
              <w:overflowPunct/>
              <w:topLinePunct w:val="0"/>
              <w:autoSpaceDE/>
              <w:autoSpaceDN/>
              <w:bidi w:val="0"/>
              <w:adjustRightInd/>
              <w:snapToGrid/>
              <w:spacing w:after="0" w:line="500" w:lineRule="exact"/>
              <w:ind w:firstLine="422" w:firstLineChars="200"/>
              <w:textAlignment w:val="auto"/>
              <w:rPr>
                <w:rFonts w:hint="eastAsia" w:ascii="Times New Roman" w:hAnsi="Times New Roman" w:eastAsia="宋体" w:cs="Times New Roman"/>
                <w:b/>
                <w:bCs/>
                <w:kern w:val="2"/>
                <w:sz w:val="21"/>
                <w:szCs w:val="21"/>
                <w:vertAlign w:val="baseline"/>
                <w:lang w:val="en-US" w:eastAsia="zh-CN" w:bidi="ar-SA"/>
              </w:rPr>
            </w:pPr>
            <w:r>
              <w:rPr>
                <w:rFonts w:hint="eastAsia" w:ascii="Times New Roman" w:hAnsi="Times New Roman" w:eastAsia="宋体" w:cs="Times New Roman"/>
                <w:b/>
                <w:bCs/>
                <w:kern w:val="2"/>
                <w:sz w:val="21"/>
                <w:szCs w:val="21"/>
                <w:lang w:val="en-US" w:eastAsia="zh-CN" w:bidi="ar-SA"/>
              </w:rPr>
              <w:t>表1-1 与《江苏省2023年生态环境分区管控动态更新成果》相符性分析</w:t>
            </w:r>
          </w:p>
          <w:tbl>
            <w:tblPr>
              <w:tblStyle w:val="17"/>
              <w:tblW w:w="6991"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815"/>
              <w:gridCol w:w="570"/>
              <w:gridCol w:w="1020"/>
              <w:gridCol w:w="1387"/>
              <w:gridCol w:w="705"/>
              <w:gridCol w:w="1166"/>
            </w:tblGrid>
            <w:tr w14:paraId="0AC3E3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328" w:type="dxa"/>
                  <w:tcBorders>
                    <w:tl2br w:val="nil"/>
                    <w:tr2bl w:val="nil"/>
                  </w:tcBorders>
                  <w:vAlign w:val="center"/>
                </w:tcPr>
                <w:p w14:paraId="45CAB859">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优先保护单元</w:t>
                  </w:r>
                </w:p>
              </w:tc>
              <w:tc>
                <w:tcPr>
                  <w:tcW w:w="5663" w:type="dxa"/>
                  <w:gridSpan w:val="6"/>
                  <w:tcBorders>
                    <w:tl2br w:val="nil"/>
                    <w:tr2bl w:val="nil"/>
                  </w:tcBorders>
                  <w:vAlign w:val="center"/>
                </w:tcPr>
                <w:p w14:paraId="453E723F">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该项目所选地块不涉及优先保护单元。</w:t>
                  </w:r>
                </w:p>
              </w:tc>
            </w:tr>
            <w:tr w14:paraId="1D227E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28" w:type="dxa"/>
                  <w:tcBorders>
                    <w:tl2br w:val="nil"/>
                    <w:tr2bl w:val="nil"/>
                  </w:tcBorders>
                  <w:vAlign w:val="center"/>
                </w:tcPr>
                <w:p w14:paraId="7C3A179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重点管控单元</w:t>
                  </w:r>
                </w:p>
              </w:tc>
              <w:tc>
                <w:tcPr>
                  <w:tcW w:w="5663" w:type="dxa"/>
                  <w:gridSpan w:val="6"/>
                  <w:tcBorders>
                    <w:tl2br w:val="nil"/>
                    <w:tr2bl w:val="nil"/>
                  </w:tcBorders>
                  <w:vAlign w:val="center"/>
                </w:tcPr>
                <w:p w14:paraId="52D84C63">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该项目所选地块不涉及重点管控单元。</w:t>
                  </w:r>
                </w:p>
              </w:tc>
            </w:tr>
            <w:tr w14:paraId="4E219C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28" w:type="dxa"/>
                  <w:tcBorders>
                    <w:tl2br w:val="nil"/>
                    <w:tr2bl w:val="nil"/>
                  </w:tcBorders>
                  <w:vAlign w:val="center"/>
                </w:tcPr>
                <w:p w14:paraId="5ADE39DB">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一般管控单元</w:t>
                  </w:r>
                </w:p>
              </w:tc>
              <w:tc>
                <w:tcPr>
                  <w:tcW w:w="5663" w:type="dxa"/>
                  <w:gridSpan w:val="6"/>
                  <w:tcBorders>
                    <w:tl2br w:val="nil"/>
                    <w:tr2bl w:val="nil"/>
                  </w:tcBorders>
                  <w:vAlign w:val="center"/>
                </w:tcPr>
                <w:p w14:paraId="75A4DA63">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刘桥镇</w:t>
                  </w:r>
                </w:p>
              </w:tc>
            </w:tr>
            <w:tr w14:paraId="407DCB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28" w:type="dxa"/>
                  <w:vMerge w:val="restart"/>
                  <w:tcBorders>
                    <w:tl2br w:val="nil"/>
                    <w:tr2bl w:val="nil"/>
                  </w:tcBorders>
                  <w:vAlign w:val="center"/>
                </w:tcPr>
                <w:p w14:paraId="7A707CF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综合管控单元</w:t>
                  </w:r>
                </w:p>
              </w:tc>
              <w:tc>
                <w:tcPr>
                  <w:tcW w:w="2405" w:type="dxa"/>
                  <w:gridSpan w:val="3"/>
                  <w:tcBorders>
                    <w:tl2br w:val="nil"/>
                    <w:tr2bl w:val="nil"/>
                  </w:tcBorders>
                  <w:vAlign w:val="center"/>
                </w:tcPr>
                <w:p w14:paraId="4E60C61F">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环境管控单元名称</w:t>
                  </w:r>
                </w:p>
              </w:tc>
              <w:tc>
                <w:tcPr>
                  <w:tcW w:w="3258" w:type="dxa"/>
                  <w:gridSpan w:val="3"/>
                  <w:tcBorders>
                    <w:tl2br w:val="nil"/>
                    <w:tr2bl w:val="nil"/>
                  </w:tcBorders>
                  <w:vAlign w:val="center"/>
                </w:tcPr>
                <w:p w14:paraId="2FEFB70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刘桥镇</w:t>
                  </w:r>
                </w:p>
              </w:tc>
            </w:tr>
            <w:tr w14:paraId="532F39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28" w:type="dxa"/>
                  <w:vMerge w:val="continue"/>
                  <w:tcBorders>
                    <w:tl2br w:val="nil"/>
                    <w:tr2bl w:val="nil"/>
                  </w:tcBorders>
                  <w:vAlign w:val="center"/>
                </w:tcPr>
                <w:p w14:paraId="691C97C0">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p>
              </w:tc>
              <w:tc>
                <w:tcPr>
                  <w:tcW w:w="2405" w:type="dxa"/>
                  <w:gridSpan w:val="3"/>
                  <w:tcBorders>
                    <w:tl2br w:val="nil"/>
                    <w:tr2bl w:val="nil"/>
                  </w:tcBorders>
                  <w:vAlign w:val="center"/>
                </w:tcPr>
                <w:p w14:paraId="110EB29B">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环境管控单元编码</w:t>
                  </w:r>
                </w:p>
              </w:tc>
              <w:tc>
                <w:tcPr>
                  <w:tcW w:w="3258" w:type="dxa"/>
                  <w:gridSpan w:val="3"/>
                  <w:tcBorders>
                    <w:tl2br w:val="nil"/>
                    <w:tr2bl w:val="nil"/>
                  </w:tcBorders>
                  <w:vAlign w:val="center"/>
                </w:tcPr>
                <w:p w14:paraId="6642635C">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ZH32061230442</w:t>
                  </w:r>
                </w:p>
              </w:tc>
            </w:tr>
            <w:tr w14:paraId="5722A2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28" w:type="dxa"/>
                  <w:vMerge w:val="continue"/>
                  <w:tcBorders>
                    <w:tl2br w:val="nil"/>
                    <w:tr2bl w:val="nil"/>
                  </w:tcBorders>
                  <w:vAlign w:val="center"/>
                </w:tcPr>
                <w:p w14:paraId="484E6F0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p>
              </w:tc>
              <w:tc>
                <w:tcPr>
                  <w:tcW w:w="1385" w:type="dxa"/>
                  <w:gridSpan w:val="2"/>
                  <w:tcBorders>
                    <w:tl2br w:val="nil"/>
                    <w:tr2bl w:val="nil"/>
                  </w:tcBorders>
                  <w:vAlign w:val="center"/>
                </w:tcPr>
                <w:p w14:paraId="78F3783F">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市级行政单元</w:t>
                  </w:r>
                </w:p>
              </w:tc>
              <w:tc>
                <w:tcPr>
                  <w:tcW w:w="1020" w:type="dxa"/>
                  <w:tcBorders>
                    <w:tl2br w:val="nil"/>
                    <w:tr2bl w:val="nil"/>
                  </w:tcBorders>
                  <w:vAlign w:val="center"/>
                </w:tcPr>
                <w:p w14:paraId="062C8335">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南通市</w:t>
                  </w:r>
                </w:p>
              </w:tc>
              <w:tc>
                <w:tcPr>
                  <w:tcW w:w="2092" w:type="dxa"/>
                  <w:gridSpan w:val="2"/>
                  <w:tcBorders>
                    <w:tl2br w:val="nil"/>
                    <w:tr2bl w:val="nil"/>
                  </w:tcBorders>
                  <w:vAlign w:val="center"/>
                </w:tcPr>
                <w:p w14:paraId="3E0A730E">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县级行政单元</w:t>
                  </w:r>
                </w:p>
              </w:tc>
              <w:tc>
                <w:tcPr>
                  <w:tcW w:w="1166" w:type="dxa"/>
                  <w:tcBorders>
                    <w:tl2br w:val="nil"/>
                    <w:tr2bl w:val="nil"/>
                  </w:tcBorders>
                  <w:vAlign w:val="center"/>
                </w:tcPr>
                <w:p w14:paraId="77BF667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通州区</w:t>
                  </w:r>
                </w:p>
              </w:tc>
            </w:tr>
            <w:tr w14:paraId="27229E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28" w:type="dxa"/>
                  <w:vMerge w:val="continue"/>
                  <w:tcBorders>
                    <w:tl2br w:val="nil"/>
                    <w:tr2bl w:val="nil"/>
                  </w:tcBorders>
                  <w:vAlign w:val="center"/>
                </w:tcPr>
                <w:p w14:paraId="55E8B684">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p>
              </w:tc>
              <w:tc>
                <w:tcPr>
                  <w:tcW w:w="815" w:type="dxa"/>
                  <w:tcBorders>
                    <w:tl2br w:val="nil"/>
                    <w:tr2bl w:val="nil"/>
                  </w:tcBorders>
                  <w:vAlign w:val="center"/>
                </w:tcPr>
                <w:p w14:paraId="0E495BA4">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管控单元分类</w:t>
                  </w:r>
                </w:p>
              </w:tc>
              <w:tc>
                <w:tcPr>
                  <w:tcW w:w="2977" w:type="dxa"/>
                  <w:gridSpan w:val="3"/>
                  <w:tcBorders>
                    <w:tl2br w:val="nil"/>
                    <w:tr2bl w:val="nil"/>
                  </w:tcBorders>
                  <w:vAlign w:val="center"/>
                </w:tcPr>
                <w:p w14:paraId="507E44C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一般管控单元</w:t>
                  </w:r>
                </w:p>
              </w:tc>
              <w:tc>
                <w:tcPr>
                  <w:tcW w:w="1871" w:type="dxa"/>
                  <w:gridSpan w:val="2"/>
                  <w:tcBorders>
                    <w:tl2br w:val="nil"/>
                    <w:tr2bl w:val="nil"/>
                  </w:tcBorders>
                  <w:vAlign w:val="center"/>
                </w:tcPr>
                <w:p w14:paraId="1E5731A9">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对照情况</w:t>
                  </w:r>
                </w:p>
              </w:tc>
            </w:tr>
            <w:tr w14:paraId="590B1C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28" w:type="dxa"/>
                  <w:vMerge w:val="continue"/>
                  <w:tcBorders>
                    <w:tl2br w:val="nil"/>
                    <w:tr2bl w:val="nil"/>
                  </w:tcBorders>
                  <w:vAlign w:val="center"/>
                </w:tcPr>
                <w:p w14:paraId="6A3B4D88">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p>
              </w:tc>
              <w:tc>
                <w:tcPr>
                  <w:tcW w:w="815" w:type="dxa"/>
                  <w:tcBorders>
                    <w:tl2br w:val="nil"/>
                    <w:tr2bl w:val="nil"/>
                  </w:tcBorders>
                  <w:vAlign w:val="center"/>
                </w:tcPr>
                <w:p w14:paraId="107899C5">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空间布局约束</w:t>
                  </w:r>
                </w:p>
              </w:tc>
              <w:tc>
                <w:tcPr>
                  <w:tcW w:w="2977" w:type="dxa"/>
                  <w:gridSpan w:val="3"/>
                  <w:tcBorders>
                    <w:tl2br w:val="nil"/>
                    <w:tr2bl w:val="nil"/>
                  </w:tcBorders>
                  <w:vAlign w:val="center"/>
                </w:tcPr>
                <w:p w14:paraId="77AA8894">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各类开发建设活动应符合国土空间规划、城镇总体规划、土地利用规划、详细规划等相关要求。（2）平潮镇以南通西站为核心，布局高端产业、公共服务和商务商业等；石港镇依托绕城高速和G345，引入先进制造业项目；先锋街道、川姜镇、兴仁镇推进城市建设和产业发展；五接镇、刘桥镇加强与平潮高铁枢纽的互动发展，打造产业兴旺、功能完善的特色城镇；东社镇、十总镇大力发展现代农业、休闲旅游，建成省级现代农业产业示范园和城市生态涵养区。（3）禁止引进与国家、地方现行产业政策相冲突的项目。（4）基本农田严格按照《基本农田保护条例》落实基本农田保护要求，项目建设不占用永久基本农田，对于占用的基本农田在土地性质调整前不得开发建设。</w:t>
                  </w:r>
                </w:p>
              </w:tc>
              <w:tc>
                <w:tcPr>
                  <w:tcW w:w="1871" w:type="dxa"/>
                  <w:gridSpan w:val="2"/>
                  <w:tcBorders>
                    <w:tl2br w:val="nil"/>
                    <w:tr2bl w:val="nil"/>
                  </w:tcBorders>
                  <w:vAlign w:val="center"/>
                </w:tcPr>
                <w:p w14:paraId="0979280A">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项目符合国土空间规划和环境保护相关法定规划等管理要求，项目不涉及永久基本农田</w:t>
                  </w:r>
                </w:p>
              </w:tc>
            </w:tr>
            <w:tr w14:paraId="6F520A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28" w:type="dxa"/>
                  <w:vMerge w:val="continue"/>
                  <w:tcBorders>
                    <w:tl2br w:val="nil"/>
                    <w:tr2bl w:val="nil"/>
                  </w:tcBorders>
                  <w:vAlign w:val="center"/>
                </w:tcPr>
                <w:p w14:paraId="3C3DEB00">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p>
              </w:tc>
              <w:tc>
                <w:tcPr>
                  <w:tcW w:w="815" w:type="dxa"/>
                  <w:tcBorders>
                    <w:tl2br w:val="nil"/>
                    <w:tr2bl w:val="nil"/>
                  </w:tcBorders>
                  <w:vAlign w:val="center"/>
                </w:tcPr>
                <w:p w14:paraId="174D1A2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污染物排放管控</w:t>
                  </w:r>
                </w:p>
              </w:tc>
              <w:tc>
                <w:tcPr>
                  <w:tcW w:w="2977" w:type="dxa"/>
                  <w:gridSpan w:val="3"/>
                  <w:tcBorders>
                    <w:tl2br w:val="nil"/>
                    <w:tr2bl w:val="nil"/>
                  </w:tcBorders>
                  <w:vAlign w:val="center"/>
                </w:tcPr>
                <w:p w14:paraId="738B2094">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1）落实污染物总量控制制度，根据区域环境质量改善目标，削减污染物排放总量。（2）落实《南通市通州区农村生活污水治理专项规划》，加强农村污水治理，2025年农村生活污水农户覆盖率不少于70%的目标。（3）加强农业面源污染治理，严格控制化肥农药施加量，合理水产养殖布局，控制水产养殖污染，逐步削减农业面源污染物排放量。</w:t>
                  </w:r>
                </w:p>
              </w:tc>
              <w:tc>
                <w:tcPr>
                  <w:tcW w:w="1871" w:type="dxa"/>
                  <w:gridSpan w:val="2"/>
                  <w:tcBorders>
                    <w:tl2br w:val="nil"/>
                    <w:tr2bl w:val="nil"/>
                  </w:tcBorders>
                  <w:vAlign w:val="center"/>
                </w:tcPr>
                <w:p w14:paraId="49D78705">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项目不涉及生产废水排放，生活污水经化粪池预处理，同时采取防渗措施，防止地下水污染</w:t>
                  </w:r>
                </w:p>
              </w:tc>
            </w:tr>
            <w:tr w14:paraId="235BF2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28" w:type="dxa"/>
                  <w:vMerge w:val="continue"/>
                  <w:tcBorders>
                    <w:tl2br w:val="nil"/>
                    <w:tr2bl w:val="nil"/>
                  </w:tcBorders>
                  <w:vAlign w:val="center"/>
                </w:tcPr>
                <w:p w14:paraId="3D2DC305">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p>
              </w:tc>
              <w:tc>
                <w:tcPr>
                  <w:tcW w:w="815" w:type="dxa"/>
                  <w:tcBorders>
                    <w:tl2br w:val="nil"/>
                    <w:tr2bl w:val="nil"/>
                  </w:tcBorders>
                  <w:vAlign w:val="center"/>
                </w:tcPr>
                <w:p w14:paraId="62DA0F9B">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环境风险防控</w:t>
                  </w:r>
                </w:p>
              </w:tc>
              <w:tc>
                <w:tcPr>
                  <w:tcW w:w="2977" w:type="dxa"/>
                  <w:gridSpan w:val="3"/>
                  <w:tcBorders>
                    <w:tl2br w:val="nil"/>
                    <w:tr2bl w:val="nil"/>
                  </w:tcBorders>
                  <w:vAlign w:val="center"/>
                </w:tcPr>
                <w:p w14:paraId="5BDCAC4A">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1）加强环境风险防范应急体系建设，加强环境应急预案管理，定期开展应急演练，持续开展环境安全隐患排查整治，提升应急监测能力，加强应急物资管理。（2）合理布局商业、居住、科教等功能区块，严格控制噪声、恶臭、油烟等污染排放较大的建设项目布局。</w:t>
                  </w:r>
                </w:p>
              </w:tc>
              <w:tc>
                <w:tcPr>
                  <w:tcW w:w="1871" w:type="dxa"/>
                  <w:gridSpan w:val="2"/>
                  <w:tcBorders>
                    <w:tl2br w:val="nil"/>
                    <w:tr2bl w:val="nil"/>
                  </w:tcBorders>
                  <w:vAlign w:val="center"/>
                </w:tcPr>
                <w:p w14:paraId="465CC70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项目已制定监测计划，生活垃圾交由环卫部门统一处理</w:t>
                  </w:r>
                </w:p>
              </w:tc>
            </w:tr>
            <w:tr w14:paraId="604394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28" w:type="dxa"/>
                  <w:vMerge w:val="continue"/>
                  <w:tcBorders>
                    <w:tl2br w:val="nil"/>
                    <w:tr2bl w:val="nil"/>
                  </w:tcBorders>
                  <w:vAlign w:val="center"/>
                </w:tcPr>
                <w:p w14:paraId="46B720C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p>
              </w:tc>
              <w:tc>
                <w:tcPr>
                  <w:tcW w:w="815" w:type="dxa"/>
                  <w:tcBorders>
                    <w:tl2br w:val="nil"/>
                    <w:tr2bl w:val="nil"/>
                  </w:tcBorders>
                  <w:vAlign w:val="center"/>
                </w:tcPr>
                <w:p w14:paraId="389EC500">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资源开发效率</w:t>
                  </w:r>
                </w:p>
                <w:p w14:paraId="6988153D">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要求</w:t>
                  </w:r>
                </w:p>
              </w:tc>
              <w:tc>
                <w:tcPr>
                  <w:tcW w:w="2977" w:type="dxa"/>
                  <w:gridSpan w:val="3"/>
                  <w:tcBorders>
                    <w:tl2br w:val="nil"/>
                    <w:tr2bl w:val="nil"/>
                  </w:tcBorders>
                  <w:vAlign w:val="center"/>
                </w:tcPr>
                <w:p w14:paraId="2360B2F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（1）优化能源结构，加强能源清洁利用。（2）提高土地利用效率，节约集约利用土地资源。</w:t>
                  </w:r>
                </w:p>
              </w:tc>
              <w:tc>
                <w:tcPr>
                  <w:tcW w:w="1871" w:type="dxa"/>
                  <w:gridSpan w:val="2"/>
                  <w:tcBorders>
                    <w:tl2br w:val="nil"/>
                    <w:tr2bl w:val="nil"/>
                  </w:tcBorders>
                  <w:vAlign w:val="center"/>
                </w:tcPr>
                <w:p w14:paraId="2CE1735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项目不涉及燃料的使用</w:t>
                  </w:r>
                </w:p>
              </w:tc>
            </w:tr>
          </w:tbl>
          <w:p w14:paraId="05BAE539">
            <w:pPr>
              <w:adjustRightInd w:val="0"/>
              <w:snapToGrid w:val="0"/>
              <w:spacing w:line="500" w:lineRule="exact"/>
              <w:ind w:firstLine="422" w:firstLineChars="200"/>
              <w:rPr>
                <w:b/>
                <w:bCs w:val="0"/>
                <w:szCs w:val="21"/>
              </w:rPr>
            </w:pPr>
            <w:r>
              <w:rPr>
                <w:rFonts w:hint="eastAsia"/>
                <w:b/>
                <w:bCs w:val="0"/>
                <w:szCs w:val="21"/>
                <w:lang w:val="en-US" w:eastAsia="zh-CN"/>
              </w:rPr>
              <w:t>3、</w:t>
            </w:r>
            <w:r>
              <w:rPr>
                <w:b/>
                <w:bCs w:val="0"/>
                <w:szCs w:val="21"/>
              </w:rPr>
              <w:t>与环境准入负面清单相符性</w:t>
            </w:r>
          </w:p>
          <w:p w14:paraId="5CBB5B72">
            <w:pPr>
              <w:spacing w:line="500" w:lineRule="exact"/>
              <w:ind w:firstLine="420" w:firstLineChars="200"/>
              <w:rPr>
                <w:b/>
                <w:bCs/>
                <w:szCs w:val="21"/>
              </w:rPr>
            </w:pPr>
            <w:r>
              <w:rPr>
                <w:rFonts w:hint="eastAsia"/>
                <w:bCs/>
                <w:szCs w:val="21"/>
              </w:rPr>
              <w:t>项目位于</w:t>
            </w:r>
            <w:r>
              <w:rPr>
                <w:rFonts w:hint="eastAsia"/>
                <w:color w:val="auto"/>
                <w:kern w:val="0"/>
                <w:szCs w:val="21"/>
              </w:rPr>
              <w:t>南通市通州区刘桥镇蒋一村十五组</w:t>
            </w:r>
            <w:r>
              <w:rPr>
                <w:rFonts w:hint="eastAsia"/>
                <w:bCs/>
                <w:szCs w:val="21"/>
              </w:rPr>
              <w:t>，对照《市场准入负面清单（2022年版）》，项目不在《市场准入负面清单（2022年版）》禁止准入事项内，本项目符合相关要求。</w:t>
            </w:r>
          </w:p>
          <w:p w14:paraId="3BC12F44">
            <w:pPr>
              <w:spacing w:line="360" w:lineRule="auto"/>
              <w:ind w:firstLine="422" w:firstLineChars="200"/>
              <w:rPr>
                <w:b/>
                <w:bCs/>
                <w:szCs w:val="21"/>
              </w:rPr>
            </w:pPr>
            <w:r>
              <w:rPr>
                <w:rFonts w:hint="eastAsia"/>
                <w:b/>
                <w:bCs/>
                <w:szCs w:val="21"/>
                <w:lang w:val="en-US" w:eastAsia="zh-CN"/>
              </w:rPr>
              <w:t>4</w:t>
            </w:r>
            <w:r>
              <w:rPr>
                <w:b/>
                <w:bCs/>
                <w:szCs w:val="21"/>
              </w:rPr>
              <w:t>、与</w:t>
            </w:r>
            <w:bookmarkStart w:id="1" w:name="OLE_LINK122"/>
            <w:r>
              <w:rPr>
                <w:b/>
                <w:bCs/>
                <w:szCs w:val="21"/>
              </w:rPr>
              <w:t>《长江经济带发展负面清单指南（试行，2022年版）》</w:t>
            </w:r>
            <w:bookmarkEnd w:id="1"/>
            <w:r>
              <w:rPr>
                <w:b/>
                <w:bCs/>
                <w:szCs w:val="21"/>
              </w:rPr>
              <w:t>相符性</w:t>
            </w:r>
          </w:p>
          <w:p w14:paraId="14525E46">
            <w:pPr>
              <w:spacing w:line="360" w:lineRule="auto"/>
              <w:ind w:firstLine="420" w:firstLineChars="200"/>
              <w:rPr>
                <w:szCs w:val="21"/>
              </w:rPr>
            </w:pPr>
            <w:r>
              <w:rPr>
                <w:szCs w:val="21"/>
              </w:rPr>
              <w:t>A</w:t>
            </w:r>
            <w:r>
              <w:rPr>
                <w:rFonts w:hint="eastAsia"/>
                <w:szCs w:val="21"/>
                <w:lang w:eastAsia="zh-CN"/>
              </w:rPr>
              <w:t>.</w:t>
            </w:r>
            <w:r>
              <w:rPr>
                <w:szCs w:val="21"/>
              </w:rPr>
              <w:t>对照《关于印发</w:t>
            </w:r>
            <w:r>
              <w:rPr>
                <w:rFonts w:hint="eastAsia"/>
                <w:szCs w:val="21"/>
                <w:lang w:eastAsia="zh-CN"/>
              </w:rPr>
              <w:t>〈</w:t>
            </w:r>
            <w:r>
              <w:rPr>
                <w:szCs w:val="21"/>
              </w:rPr>
              <w:t>长江经济带发展负面清单指南</w:t>
            </w:r>
            <w:r>
              <w:rPr>
                <w:rFonts w:hint="eastAsia"/>
                <w:szCs w:val="21"/>
                <w:lang w:eastAsia="zh-CN"/>
              </w:rPr>
              <w:t>〉</w:t>
            </w:r>
            <w:r>
              <w:rPr>
                <w:szCs w:val="21"/>
              </w:rPr>
              <w:t>（试行，2022年版）的通知》（长江办〔2022〕7号），本项目属于</w:t>
            </w:r>
            <w:r>
              <w:rPr>
                <w:rFonts w:hint="eastAsia"/>
              </w:rPr>
              <w:t>塑料零件及其它塑料制品制造</w:t>
            </w:r>
            <w:r>
              <w:rPr>
                <w:szCs w:val="21"/>
              </w:rPr>
              <w:t>，不在长江经济带发展负面清单指南提出的禁止范畴内，因此符合指导意见要求。</w:t>
            </w:r>
          </w:p>
          <w:p w14:paraId="0A0F0C0E">
            <w:pPr>
              <w:jc w:val="center"/>
              <w:rPr>
                <w:szCs w:val="21"/>
              </w:rPr>
            </w:pPr>
            <w:r>
              <w:rPr>
                <w:b/>
                <w:bCs/>
                <w:szCs w:val="21"/>
              </w:rPr>
              <w:t>表1-</w:t>
            </w:r>
            <w:r>
              <w:rPr>
                <w:rFonts w:hint="eastAsia"/>
                <w:b/>
                <w:bCs/>
                <w:szCs w:val="21"/>
                <w:lang w:val="en-US" w:eastAsia="zh-CN"/>
              </w:rPr>
              <w:t>2</w:t>
            </w:r>
            <w:r>
              <w:rPr>
                <w:b/>
                <w:bCs/>
                <w:szCs w:val="21"/>
              </w:rPr>
              <w:t xml:space="preserve"> 与《</w:t>
            </w:r>
            <w:r>
              <w:rPr>
                <w:rFonts w:hint="eastAsia"/>
                <w:b/>
                <w:bCs/>
                <w:szCs w:val="21"/>
                <w:lang w:eastAsia="zh-CN"/>
              </w:rPr>
              <w:t>〈</w:t>
            </w:r>
            <w:r>
              <w:rPr>
                <w:b/>
                <w:bCs/>
                <w:szCs w:val="21"/>
              </w:rPr>
              <w:t>长江经济带发展负面清单指南</w:t>
            </w:r>
            <w:r>
              <w:rPr>
                <w:rFonts w:hint="eastAsia"/>
                <w:b/>
                <w:bCs/>
                <w:szCs w:val="21"/>
                <w:lang w:eastAsia="zh-CN"/>
              </w:rPr>
              <w:t>〉</w:t>
            </w:r>
            <w:r>
              <w:rPr>
                <w:b/>
                <w:bCs/>
                <w:szCs w:val="21"/>
              </w:rPr>
              <w:t>》相符性分析</w:t>
            </w:r>
          </w:p>
          <w:tbl>
            <w:tblPr>
              <w:tblStyle w:val="16"/>
              <w:tblW w:w="5000"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349"/>
              <w:gridCol w:w="3430"/>
              <w:gridCol w:w="2699"/>
              <w:gridCol w:w="513"/>
            </w:tblGrid>
            <w:tr w14:paraId="6797AD4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58" w:hRule="exact"/>
                <w:jc w:val="center"/>
              </w:trPr>
              <w:tc>
                <w:tcPr>
                  <w:tcW w:w="249" w:type="pct"/>
                  <w:vAlign w:val="center"/>
                </w:tcPr>
                <w:p w14:paraId="357F12B4">
                  <w:pPr>
                    <w:adjustRightInd w:val="0"/>
                    <w:snapToGrid w:val="0"/>
                    <w:jc w:val="center"/>
                    <w:rPr>
                      <w:b/>
                      <w:bCs/>
                      <w:sz w:val="18"/>
                      <w:szCs w:val="18"/>
                    </w:rPr>
                  </w:pPr>
                  <w:r>
                    <w:rPr>
                      <w:b/>
                      <w:bCs/>
                      <w:sz w:val="18"/>
                      <w:szCs w:val="18"/>
                    </w:rPr>
                    <w:t>序号</w:t>
                  </w:r>
                </w:p>
              </w:tc>
              <w:tc>
                <w:tcPr>
                  <w:tcW w:w="2453" w:type="pct"/>
                  <w:vAlign w:val="center"/>
                </w:tcPr>
                <w:p w14:paraId="29DFFB40">
                  <w:pPr>
                    <w:adjustRightInd w:val="0"/>
                    <w:snapToGrid w:val="0"/>
                    <w:jc w:val="center"/>
                    <w:rPr>
                      <w:b/>
                      <w:bCs/>
                      <w:sz w:val="18"/>
                      <w:szCs w:val="18"/>
                    </w:rPr>
                  </w:pPr>
                  <w:r>
                    <w:rPr>
                      <w:b/>
                      <w:bCs/>
                      <w:sz w:val="18"/>
                      <w:szCs w:val="18"/>
                    </w:rPr>
                    <w:t>管控条款</w:t>
                  </w:r>
                </w:p>
              </w:tc>
              <w:tc>
                <w:tcPr>
                  <w:tcW w:w="1930" w:type="pct"/>
                  <w:vAlign w:val="center"/>
                </w:tcPr>
                <w:p w14:paraId="77DD2AD0">
                  <w:pPr>
                    <w:adjustRightInd w:val="0"/>
                    <w:snapToGrid w:val="0"/>
                    <w:jc w:val="center"/>
                    <w:rPr>
                      <w:b/>
                      <w:bCs/>
                      <w:sz w:val="18"/>
                      <w:szCs w:val="18"/>
                    </w:rPr>
                  </w:pPr>
                  <w:r>
                    <w:rPr>
                      <w:b/>
                      <w:bCs/>
                      <w:sz w:val="18"/>
                      <w:szCs w:val="18"/>
                    </w:rPr>
                    <w:t>本项目情况</w:t>
                  </w:r>
                </w:p>
              </w:tc>
              <w:tc>
                <w:tcPr>
                  <w:tcW w:w="367" w:type="pct"/>
                  <w:vAlign w:val="center"/>
                </w:tcPr>
                <w:p w14:paraId="1520EE01">
                  <w:pPr>
                    <w:adjustRightInd w:val="0"/>
                    <w:snapToGrid w:val="0"/>
                    <w:jc w:val="center"/>
                    <w:rPr>
                      <w:b/>
                      <w:bCs/>
                      <w:sz w:val="18"/>
                      <w:szCs w:val="18"/>
                    </w:rPr>
                  </w:pPr>
                  <w:r>
                    <w:rPr>
                      <w:b/>
                      <w:bCs/>
                      <w:sz w:val="18"/>
                      <w:szCs w:val="18"/>
                    </w:rPr>
                    <w:t>相符性</w:t>
                  </w:r>
                </w:p>
              </w:tc>
            </w:tr>
            <w:tr w14:paraId="4FCD7AE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001" w:hRule="exact"/>
                <w:jc w:val="center"/>
              </w:trPr>
              <w:tc>
                <w:tcPr>
                  <w:tcW w:w="249" w:type="pct"/>
                  <w:vAlign w:val="center"/>
                </w:tcPr>
                <w:p w14:paraId="59DA9B36">
                  <w:pPr>
                    <w:adjustRightInd w:val="0"/>
                    <w:snapToGrid w:val="0"/>
                    <w:jc w:val="center"/>
                    <w:rPr>
                      <w:sz w:val="18"/>
                      <w:szCs w:val="18"/>
                    </w:rPr>
                  </w:pPr>
                  <w:r>
                    <w:rPr>
                      <w:sz w:val="18"/>
                      <w:szCs w:val="18"/>
                    </w:rPr>
                    <w:t>1</w:t>
                  </w:r>
                </w:p>
              </w:tc>
              <w:tc>
                <w:tcPr>
                  <w:tcW w:w="2453" w:type="pct"/>
                  <w:vAlign w:val="center"/>
                </w:tcPr>
                <w:p w14:paraId="1D50D7B2">
                  <w:pPr>
                    <w:adjustRightInd w:val="0"/>
                    <w:snapToGrid w:val="0"/>
                    <w:rPr>
                      <w:sz w:val="18"/>
                      <w:szCs w:val="18"/>
                    </w:rPr>
                  </w:pPr>
                  <w:r>
                    <w:rPr>
                      <w:sz w:val="18"/>
                      <w:szCs w:val="18"/>
                    </w:rPr>
                    <w:t>禁止建设不符合全国和省级港口布局规划以及港口总体规划的码头项目，禁止建设不符合《长江干线过江通道布局规划》的过长江通道项目。</w:t>
                  </w:r>
                </w:p>
              </w:tc>
              <w:tc>
                <w:tcPr>
                  <w:tcW w:w="1930" w:type="pct"/>
                  <w:vAlign w:val="center"/>
                </w:tcPr>
                <w:p w14:paraId="42C3E08C">
                  <w:pPr>
                    <w:adjustRightInd w:val="0"/>
                    <w:snapToGrid w:val="0"/>
                    <w:rPr>
                      <w:sz w:val="18"/>
                      <w:szCs w:val="18"/>
                    </w:rPr>
                  </w:pPr>
                  <w:r>
                    <w:rPr>
                      <w:sz w:val="18"/>
                      <w:szCs w:val="18"/>
                    </w:rPr>
                    <w:t>项目不属于码头及过长江通道项目。</w:t>
                  </w:r>
                </w:p>
              </w:tc>
              <w:tc>
                <w:tcPr>
                  <w:tcW w:w="367" w:type="pct"/>
                  <w:vAlign w:val="center"/>
                </w:tcPr>
                <w:p w14:paraId="3C99941E">
                  <w:pPr>
                    <w:adjustRightInd w:val="0"/>
                    <w:snapToGrid w:val="0"/>
                    <w:jc w:val="center"/>
                    <w:rPr>
                      <w:sz w:val="18"/>
                      <w:szCs w:val="18"/>
                    </w:rPr>
                  </w:pPr>
                  <w:r>
                    <w:rPr>
                      <w:sz w:val="18"/>
                      <w:szCs w:val="18"/>
                    </w:rPr>
                    <w:t>相符</w:t>
                  </w:r>
                </w:p>
              </w:tc>
            </w:tr>
            <w:tr w14:paraId="05ABF6D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403" w:hRule="exact"/>
                <w:jc w:val="center"/>
              </w:trPr>
              <w:tc>
                <w:tcPr>
                  <w:tcW w:w="249" w:type="pct"/>
                  <w:vAlign w:val="center"/>
                </w:tcPr>
                <w:p w14:paraId="5F042461">
                  <w:pPr>
                    <w:adjustRightInd w:val="0"/>
                    <w:snapToGrid w:val="0"/>
                    <w:jc w:val="center"/>
                    <w:rPr>
                      <w:sz w:val="18"/>
                      <w:szCs w:val="18"/>
                    </w:rPr>
                  </w:pPr>
                  <w:r>
                    <w:rPr>
                      <w:sz w:val="18"/>
                      <w:szCs w:val="18"/>
                    </w:rPr>
                    <w:t>2</w:t>
                  </w:r>
                </w:p>
              </w:tc>
              <w:tc>
                <w:tcPr>
                  <w:tcW w:w="2453" w:type="pct"/>
                  <w:vAlign w:val="center"/>
                </w:tcPr>
                <w:p w14:paraId="1D0B78FF">
                  <w:pPr>
                    <w:adjustRightInd w:val="0"/>
                    <w:snapToGrid w:val="0"/>
                    <w:rPr>
                      <w:sz w:val="18"/>
                      <w:szCs w:val="18"/>
                    </w:rPr>
                  </w:pPr>
                  <w:r>
                    <w:rPr>
                      <w:sz w:val="18"/>
                      <w:szCs w:val="18"/>
                    </w:rPr>
                    <w:t>禁止在自然保护区核心区、缓冲区岸线和河段范围内投资建设旅游和生产经营项目。禁止在风景名胜区核心景区的岸线和河段范围内投资建设与风景名胜资源保护无关的项目。</w:t>
                  </w:r>
                </w:p>
              </w:tc>
              <w:tc>
                <w:tcPr>
                  <w:tcW w:w="1930" w:type="pct"/>
                  <w:vAlign w:val="center"/>
                </w:tcPr>
                <w:p w14:paraId="6BAAEB0F">
                  <w:pPr>
                    <w:adjustRightInd w:val="0"/>
                    <w:snapToGrid w:val="0"/>
                    <w:rPr>
                      <w:sz w:val="18"/>
                      <w:szCs w:val="18"/>
                    </w:rPr>
                  </w:pPr>
                  <w:r>
                    <w:rPr>
                      <w:sz w:val="18"/>
                      <w:szCs w:val="18"/>
                    </w:rPr>
                    <w:t>本项目位于</w:t>
                  </w:r>
                  <w:r>
                    <w:rPr>
                      <w:rFonts w:hint="eastAsia"/>
                      <w:sz w:val="18"/>
                      <w:szCs w:val="18"/>
                    </w:rPr>
                    <w:t>南通市通州区刘桥镇蒋一村十五组</w:t>
                  </w:r>
                  <w:r>
                    <w:rPr>
                      <w:sz w:val="18"/>
                      <w:szCs w:val="18"/>
                    </w:rPr>
                    <w:t>，不在自然保护区核心区、缓冲区的岸线和河段范围内，不在国家级和省级风景名胜区核心景区的岸线和河段范围内。</w:t>
                  </w:r>
                </w:p>
              </w:tc>
              <w:tc>
                <w:tcPr>
                  <w:tcW w:w="367" w:type="pct"/>
                  <w:vAlign w:val="center"/>
                </w:tcPr>
                <w:p w14:paraId="4E6BA618">
                  <w:pPr>
                    <w:adjustRightInd w:val="0"/>
                    <w:snapToGrid w:val="0"/>
                    <w:jc w:val="center"/>
                    <w:rPr>
                      <w:sz w:val="18"/>
                      <w:szCs w:val="18"/>
                    </w:rPr>
                  </w:pPr>
                  <w:r>
                    <w:rPr>
                      <w:sz w:val="18"/>
                      <w:szCs w:val="18"/>
                    </w:rPr>
                    <w:t>相符</w:t>
                  </w:r>
                </w:p>
              </w:tc>
            </w:tr>
            <w:tr w14:paraId="29A8EDA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712" w:hRule="exact"/>
                <w:jc w:val="center"/>
              </w:trPr>
              <w:tc>
                <w:tcPr>
                  <w:tcW w:w="249" w:type="pct"/>
                  <w:vAlign w:val="center"/>
                </w:tcPr>
                <w:p w14:paraId="35484FB0">
                  <w:pPr>
                    <w:adjustRightInd w:val="0"/>
                    <w:snapToGrid w:val="0"/>
                    <w:jc w:val="center"/>
                    <w:rPr>
                      <w:sz w:val="18"/>
                      <w:szCs w:val="18"/>
                    </w:rPr>
                  </w:pPr>
                  <w:r>
                    <w:rPr>
                      <w:sz w:val="18"/>
                      <w:szCs w:val="18"/>
                    </w:rPr>
                    <w:t>3</w:t>
                  </w:r>
                </w:p>
              </w:tc>
              <w:tc>
                <w:tcPr>
                  <w:tcW w:w="2453" w:type="pct"/>
                  <w:vAlign w:val="center"/>
                </w:tcPr>
                <w:p w14:paraId="269C845E">
                  <w:pPr>
                    <w:adjustRightInd w:val="0"/>
                    <w:snapToGrid w:val="0"/>
                    <w:rPr>
                      <w:sz w:val="18"/>
                      <w:szCs w:val="18"/>
                    </w:rPr>
                  </w:pPr>
                  <w:r>
                    <w:rPr>
                      <w:sz w:val="18"/>
                      <w:szCs w:val="18"/>
                    </w:rPr>
                    <w:t>禁止在饮用水水源一级保护区的岸线和河段范围内新建、改建、扩建与供水设施和保护水源无关的项目，以及网箱养殖、畜禽养殖、旅游等可能污染饮用水水体的投资建设项目。禁止在饮用水水源二级保护区岸线和河段范围内新建、改建、扩建排放污染物的投资建设项目。</w:t>
                  </w:r>
                </w:p>
              </w:tc>
              <w:tc>
                <w:tcPr>
                  <w:tcW w:w="1930" w:type="pct"/>
                  <w:vAlign w:val="center"/>
                </w:tcPr>
                <w:p w14:paraId="7E48B6ED">
                  <w:pPr>
                    <w:adjustRightInd w:val="0"/>
                    <w:snapToGrid w:val="0"/>
                    <w:rPr>
                      <w:sz w:val="18"/>
                      <w:szCs w:val="18"/>
                    </w:rPr>
                  </w:pPr>
                  <w:r>
                    <w:rPr>
                      <w:sz w:val="18"/>
                      <w:szCs w:val="18"/>
                    </w:rPr>
                    <w:t>本项目位于</w:t>
                  </w:r>
                  <w:r>
                    <w:rPr>
                      <w:rFonts w:hint="eastAsia"/>
                      <w:sz w:val="18"/>
                      <w:szCs w:val="18"/>
                    </w:rPr>
                    <w:t>南通市通州区刘桥镇蒋一村十五组</w:t>
                  </w:r>
                  <w:r>
                    <w:rPr>
                      <w:sz w:val="18"/>
                      <w:szCs w:val="18"/>
                    </w:rPr>
                    <w:t>，不在饮用水水源一级保护区的岸线和河段范围内，不在饮用水水源二级保护区的岸线和河段范围内。</w:t>
                  </w:r>
                </w:p>
              </w:tc>
              <w:tc>
                <w:tcPr>
                  <w:tcW w:w="367" w:type="pct"/>
                  <w:vAlign w:val="center"/>
                </w:tcPr>
                <w:p w14:paraId="77BAF95D">
                  <w:pPr>
                    <w:adjustRightInd w:val="0"/>
                    <w:snapToGrid w:val="0"/>
                    <w:jc w:val="center"/>
                    <w:rPr>
                      <w:sz w:val="18"/>
                      <w:szCs w:val="18"/>
                    </w:rPr>
                  </w:pPr>
                  <w:r>
                    <w:rPr>
                      <w:sz w:val="18"/>
                      <w:szCs w:val="18"/>
                    </w:rPr>
                    <w:t>相符</w:t>
                  </w:r>
                </w:p>
              </w:tc>
            </w:tr>
            <w:tr w14:paraId="4A8882F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545" w:hRule="exact"/>
                <w:jc w:val="center"/>
              </w:trPr>
              <w:tc>
                <w:tcPr>
                  <w:tcW w:w="249" w:type="pct"/>
                  <w:vAlign w:val="center"/>
                </w:tcPr>
                <w:p w14:paraId="3A6B7723">
                  <w:pPr>
                    <w:adjustRightInd w:val="0"/>
                    <w:snapToGrid w:val="0"/>
                    <w:jc w:val="center"/>
                    <w:rPr>
                      <w:sz w:val="18"/>
                      <w:szCs w:val="18"/>
                    </w:rPr>
                  </w:pPr>
                  <w:r>
                    <w:rPr>
                      <w:sz w:val="18"/>
                      <w:szCs w:val="18"/>
                    </w:rPr>
                    <w:t>4</w:t>
                  </w:r>
                </w:p>
              </w:tc>
              <w:tc>
                <w:tcPr>
                  <w:tcW w:w="2453" w:type="pct"/>
                  <w:vAlign w:val="center"/>
                </w:tcPr>
                <w:p w14:paraId="7A8A515F">
                  <w:pPr>
                    <w:adjustRightInd w:val="0"/>
                    <w:snapToGrid w:val="0"/>
                    <w:rPr>
                      <w:sz w:val="18"/>
                      <w:szCs w:val="18"/>
                    </w:rPr>
                  </w:pPr>
                  <w:r>
                    <w:rPr>
                      <w:sz w:val="18"/>
                      <w:szCs w:val="18"/>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930" w:type="pct"/>
                  <w:vAlign w:val="center"/>
                </w:tcPr>
                <w:p w14:paraId="132917D0">
                  <w:pPr>
                    <w:adjustRightInd w:val="0"/>
                    <w:snapToGrid w:val="0"/>
                    <w:rPr>
                      <w:sz w:val="18"/>
                      <w:szCs w:val="18"/>
                    </w:rPr>
                  </w:pPr>
                  <w:r>
                    <w:rPr>
                      <w:sz w:val="18"/>
                      <w:szCs w:val="18"/>
                    </w:rPr>
                    <w:t>本项目位于</w:t>
                  </w:r>
                  <w:r>
                    <w:rPr>
                      <w:rFonts w:hint="eastAsia"/>
                      <w:sz w:val="18"/>
                      <w:szCs w:val="18"/>
                    </w:rPr>
                    <w:t>南通市通州区刘桥镇蒋一村十五组</w:t>
                  </w:r>
                  <w:r>
                    <w:rPr>
                      <w:sz w:val="18"/>
                      <w:szCs w:val="18"/>
                    </w:rPr>
                    <w:t>，不在国家级和省级水产种质资源保护区的岸线和河段范围内，不在国家湿地公园的岸线和河段范围内。</w:t>
                  </w:r>
                </w:p>
              </w:tc>
              <w:tc>
                <w:tcPr>
                  <w:tcW w:w="367" w:type="pct"/>
                  <w:vAlign w:val="center"/>
                </w:tcPr>
                <w:p w14:paraId="685CD47A">
                  <w:pPr>
                    <w:adjustRightInd w:val="0"/>
                    <w:snapToGrid w:val="0"/>
                    <w:jc w:val="center"/>
                    <w:rPr>
                      <w:sz w:val="18"/>
                      <w:szCs w:val="18"/>
                    </w:rPr>
                  </w:pPr>
                  <w:r>
                    <w:rPr>
                      <w:sz w:val="18"/>
                      <w:szCs w:val="18"/>
                    </w:rPr>
                    <w:t>相符</w:t>
                  </w:r>
                </w:p>
              </w:tc>
            </w:tr>
            <w:tr w14:paraId="24BD35A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173" w:hRule="exact"/>
                <w:jc w:val="center"/>
              </w:trPr>
              <w:tc>
                <w:tcPr>
                  <w:tcW w:w="249" w:type="pct"/>
                  <w:vAlign w:val="center"/>
                </w:tcPr>
                <w:p w14:paraId="6B49A15A">
                  <w:pPr>
                    <w:adjustRightInd w:val="0"/>
                    <w:snapToGrid w:val="0"/>
                    <w:jc w:val="center"/>
                    <w:rPr>
                      <w:sz w:val="18"/>
                      <w:szCs w:val="18"/>
                    </w:rPr>
                  </w:pPr>
                  <w:r>
                    <w:rPr>
                      <w:sz w:val="18"/>
                      <w:szCs w:val="18"/>
                    </w:rPr>
                    <w:t>5</w:t>
                  </w:r>
                </w:p>
              </w:tc>
              <w:tc>
                <w:tcPr>
                  <w:tcW w:w="2453" w:type="pct"/>
                  <w:vAlign w:val="center"/>
                </w:tcPr>
                <w:p w14:paraId="1E163708">
                  <w:pPr>
                    <w:adjustRightInd w:val="0"/>
                    <w:snapToGrid w:val="0"/>
                    <w:rPr>
                      <w:sz w:val="18"/>
                      <w:szCs w:val="18"/>
                    </w:rPr>
                  </w:pPr>
                  <w:r>
                    <w:rPr>
                      <w:sz w:val="18"/>
                      <w:szCs w:val="18"/>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930" w:type="pct"/>
                  <w:vAlign w:val="center"/>
                </w:tcPr>
                <w:p w14:paraId="40E03D40">
                  <w:pPr>
                    <w:adjustRightInd w:val="0"/>
                    <w:snapToGrid w:val="0"/>
                    <w:rPr>
                      <w:sz w:val="18"/>
                      <w:szCs w:val="18"/>
                    </w:rPr>
                  </w:pPr>
                  <w:r>
                    <w:rPr>
                      <w:sz w:val="18"/>
                      <w:szCs w:val="18"/>
                    </w:rPr>
                    <w:t>本项目位于</w:t>
                  </w:r>
                  <w:r>
                    <w:rPr>
                      <w:rFonts w:hint="eastAsia"/>
                      <w:sz w:val="18"/>
                      <w:szCs w:val="18"/>
                    </w:rPr>
                    <w:t>南通市通州区刘桥镇蒋一村十五组</w:t>
                  </w:r>
                  <w:r>
                    <w:rPr>
                      <w:sz w:val="18"/>
                      <w:szCs w:val="18"/>
                    </w:rPr>
                    <w:t>，不在《长江岸线保护和开发利用总体规划》划定的岸线保护区和岸线保留区内，不在《全国重要江河湖泊水功能区划》划定的河段保护区、保留区内。</w:t>
                  </w:r>
                </w:p>
              </w:tc>
              <w:tc>
                <w:tcPr>
                  <w:tcW w:w="367" w:type="pct"/>
                  <w:vAlign w:val="center"/>
                </w:tcPr>
                <w:p w14:paraId="1988B6FE">
                  <w:pPr>
                    <w:adjustRightInd w:val="0"/>
                    <w:snapToGrid w:val="0"/>
                    <w:jc w:val="center"/>
                    <w:rPr>
                      <w:sz w:val="18"/>
                      <w:szCs w:val="18"/>
                    </w:rPr>
                  </w:pPr>
                  <w:r>
                    <w:rPr>
                      <w:sz w:val="18"/>
                      <w:szCs w:val="18"/>
                    </w:rPr>
                    <w:t>相符</w:t>
                  </w:r>
                </w:p>
              </w:tc>
            </w:tr>
            <w:tr w14:paraId="42FFD18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138" w:hRule="exact"/>
                <w:jc w:val="center"/>
              </w:trPr>
              <w:tc>
                <w:tcPr>
                  <w:tcW w:w="249" w:type="pct"/>
                  <w:vAlign w:val="center"/>
                </w:tcPr>
                <w:p w14:paraId="4A09AC0D">
                  <w:pPr>
                    <w:adjustRightInd w:val="0"/>
                    <w:snapToGrid w:val="0"/>
                    <w:jc w:val="center"/>
                    <w:rPr>
                      <w:sz w:val="18"/>
                      <w:szCs w:val="18"/>
                    </w:rPr>
                  </w:pPr>
                  <w:r>
                    <w:rPr>
                      <w:sz w:val="18"/>
                      <w:szCs w:val="18"/>
                    </w:rPr>
                    <w:t>6</w:t>
                  </w:r>
                </w:p>
              </w:tc>
              <w:tc>
                <w:tcPr>
                  <w:tcW w:w="2453" w:type="pct"/>
                  <w:vAlign w:val="center"/>
                </w:tcPr>
                <w:p w14:paraId="421FE465">
                  <w:pPr>
                    <w:adjustRightInd w:val="0"/>
                    <w:snapToGrid w:val="0"/>
                    <w:rPr>
                      <w:sz w:val="18"/>
                      <w:szCs w:val="18"/>
                    </w:rPr>
                  </w:pPr>
                  <w:r>
                    <w:rPr>
                      <w:sz w:val="18"/>
                      <w:szCs w:val="18"/>
                    </w:rPr>
                    <w:t>禁止未经许可在长江干支流及湖泊新设、改设或扩大排污口。</w:t>
                  </w:r>
                </w:p>
              </w:tc>
              <w:tc>
                <w:tcPr>
                  <w:tcW w:w="1930" w:type="pct"/>
                  <w:vAlign w:val="center"/>
                </w:tcPr>
                <w:p w14:paraId="7CAF51BE">
                  <w:pPr>
                    <w:adjustRightInd w:val="0"/>
                    <w:snapToGrid w:val="0"/>
                    <w:rPr>
                      <w:sz w:val="18"/>
                      <w:szCs w:val="18"/>
                    </w:rPr>
                  </w:pPr>
                  <w:r>
                    <w:rPr>
                      <w:sz w:val="18"/>
                      <w:szCs w:val="18"/>
                    </w:rPr>
                    <w:t>本项目位于</w:t>
                  </w:r>
                  <w:r>
                    <w:rPr>
                      <w:rFonts w:hint="eastAsia"/>
                      <w:sz w:val="18"/>
                      <w:szCs w:val="18"/>
                    </w:rPr>
                    <w:t>南通市通州区刘桥镇蒋一村十五组</w:t>
                  </w:r>
                  <w:r>
                    <w:rPr>
                      <w:sz w:val="18"/>
                      <w:szCs w:val="18"/>
                    </w:rPr>
                    <w:t>，不在长江干支流及湖泊旁，且项目为间接排放。</w:t>
                  </w:r>
                </w:p>
              </w:tc>
              <w:tc>
                <w:tcPr>
                  <w:tcW w:w="367" w:type="pct"/>
                  <w:vAlign w:val="center"/>
                </w:tcPr>
                <w:p w14:paraId="29C93977">
                  <w:pPr>
                    <w:adjustRightInd w:val="0"/>
                    <w:snapToGrid w:val="0"/>
                    <w:jc w:val="center"/>
                    <w:rPr>
                      <w:sz w:val="18"/>
                      <w:szCs w:val="18"/>
                    </w:rPr>
                  </w:pPr>
                  <w:r>
                    <w:rPr>
                      <w:sz w:val="18"/>
                      <w:szCs w:val="18"/>
                    </w:rPr>
                    <w:t>相符</w:t>
                  </w:r>
                </w:p>
              </w:tc>
            </w:tr>
            <w:tr w14:paraId="74A9A7F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734" w:hRule="exact"/>
                <w:jc w:val="center"/>
              </w:trPr>
              <w:tc>
                <w:tcPr>
                  <w:tcW w:w="249" w:type="pct"/>
                  <w:vAlign w:val="center"/>
                </w:tcPr>
                <w:p w14:paraId="5B495583">
                  <w:pPr>
                    <w:adjustRightInd w:val="0"/>
                    <w:snapToGrid w:val="0"/>
                    <w:jc w:val="center"/>
                    <w:rPr>
                      <w:sz w:val="18"/>
                      <w:szCs w:val="18"/>
                    </w:rPr>
                  </w:pPr>
                  <w:r>
                    <w:rPr>
                      <w:sz w:val="18"/>
                      <w:szCs w:val="18"/>
                    </w:rPr>
                    <w:t>7</w:t>
                  </w:r>
                </w:p>
              </w:tc>
              <w:tc>
                <w:tcPr>
                  <w:tcW w:w="2453" w:type="pct"/>
                  <w:vAlign w:val="center"/>
                </w:tcPr>
                <w:p w14:paraId="49007FCC">
                  <w:pPr>
                    <w:adjustRightInd w:val="0"/>
                    <w:snapToGrid w:val="0"/>
                    <w:rPr>
                      <w:sz w:val="18"/>
                      <w:szCs w:val="18"/>
                    </w:rPr>
                  </w:pPr>
                  <w:r>
                    <w:rPr>
                      <w:sz w:val="18"/>
                      <w:szCs w:val="18"/>
                    </w:rPr>
                    <w:t>禁止在“一江一口两湖七河”和332个水生生物保护区开展生产性捕捞。</w:t>
                  </w:r>
                </w:p>
              </w:tc>
              <w:tc>
                <w:tcPr>
                  <w:tcW w:w="1930" w:type="pct"/>
                  <w:vAlign w:val="center"/>
                </w:tcPr>
                <w:p w14:paraId="50AAF357">
                  <w:pPr>
                    <w:adjustRightInd w:val="0"/>
                    <w:snapToGrid w:val="0"/>
                    <w:rPr>
                      <w:sz w:val="18"/>
                      <w:szCs w:val="18"/>
                    </w:rPr>
                  </w:pPr>
                  <w:r>
                    <w:rPr>
                      <w:sz w:val="18"/>
                      <w:szCs w:val="18"/>
                    </w:rPr>
                    <w:t>项目不涉及生产性捕捞。</w:t>
                  </w:r>
                </w:p>
              </w:tc>
              <w:tc>
                <w:tcPr>
                  <w:tcW w:w="367" w:type="pct"/>
                  <w:vAlign w:val="center"/>
                </w:tcPr>
                <w:p w14:paraId="02E31942">
                  <w:pPr>
                    <w:adjustRightInd w:val="0"/>
                    <w:snapToGrid w:val="0"/>
                    <w:jc w:val="center"/>
                    <w:rPr>
                      <w:sz w:val="18"/>
                      <w:szCs w:val="18"/>
                    </w:rPr>
                  </w:pPr>
                  <w:r>
                    <w:rPr>
                      <w:sz w:val="18"/>
                      <w:szCs w:val="18"/>
                    </w:rPr>
                    <w:t>相符</w:t>
                  </w:r>
                </w:p>
              </w:tc>
            </w:tr>
            <w:tr w14:paraId="60E8663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410" w:hRule="exact"/>
                <w:jc w:val="center"/>
              </w:trPr>
              <w:tc>
                <w:tcPr>
                  <w:tcW w:w="249" w:type="pct"/>
                  <w:vAlign w:val="center"/>
                </w:tcPr>
                <w:p w14:paraId="4A824C84">
                  <w:pPr>
                    <w:adjustRightInd w:val="0"/>
                    <w:snapToGrid w:val="0"/>
                    <w:jc w:val="center"/>
                    <w:rPr>
                      <w:sz w:val="18"/>
                      <w:szCs w:val="18"/>
                    </w:rPr>
                  </w:pPr>
                  <w:r>
                    <w:rPr>
                      <w:sz w:val="18"/>
                      <w:szCs w:val="18"/>
                    </w:rPr>
                    <w:t>8</w:t>
                  </w:r>
                </w:p>
              </w:tc>
              <w:tc>
                <w:tcPr>
                  <w:tcW w:w="2453" w:type="pct"/>
                  <w:vAlign w:val="center"/>
                </w:tcPr>
                <w:p w14:paraId="6DD28B63">
                  <w:pPr>
                    <w:adjustRightInd w:val="0"/>
                    <w:snapToGrid w:val="0"/>
                    <w:rPr>
                      <w:sz w:val="18"/>
                      <w:szCs w:val="18"/>
                    </w:rPr>
                  </w:pPr>
                  <w:r>
                    <w:rPr>
                      <w:sz w:val="18"/>
                      <w:szCs w:val="18"/>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1930" w:type="pct"/>
                  <w:vAlign w:val="center"/>
                </w:tcPr>
                <w:p w14:paraId="4726C5F0">
                  <w:pPr>
                    <w:adjustRightInd w:val="0"/>
                    <w:snapToGrid w:val="0"/>
                    <w:rPr>
                      <w:sz w:val="18"/>
                      <w:szCs w:val="18"/>
                    </w:rPr>
                  </w:pPr>
                  <w:r>
                    <w:rPr>
                      <w:sz w:val="18"/>
                      <w:szCs w:val="18"/>
                    </w:rPr>
                    <w:t>项目位于</w:t>
                  </w:r>
                  <w:r>
                    <w:rPr>
                      <w:rFonts w:hint="eastAsia"/>
                      <w:sz w:val="18"/>
                      <w:szCs w:val="18"/>
                    </w:rPr>
                    <w:t>南通市通州区刘桥镇蒋一村十五组</w:t>
                  </w:r>
                  <w:r>
                    <w:rPr>
                      <w:sz w:val="18"/>
                      <w:szCs w:val="18"/>
                    </w:rPr>
                    <w:t>，不在长江干支流、重要湖泊岸线一公里范围内。</w:t>
                  </w:r>
                </w:p>
              </w:tc>
              <w:tc>
                <w:tcPr>
                  <w:tcW w:w="367" w:type="pct"/>
                  <w:vAlign w:val="center"/>
                </w:tcPr>
                <w:p w14:paraId="0FD47A30">
                  <w:pPr>
                    <w:adjustRightInd w:val="0"/>
                    <w:snapToGrid w:val="0"/>
                    <w:jc w:val="center"/>
                    <w:rPr>
                      <w:sz w:val="18"/>
                      <w:szCs w:val="18"/>
                    </w:rPr>
                  </w:pPr>
                  <w:r>
                    <w:rPr>
                      <w:sz w:val="18"/>
                      <w:szCs w:val="18"/>
                    </w:rPr>
                    <w:t>相符</w:t>
                  </w:r>
                </w:p>
              </w:tc>
            </w:tr>
            <w:tr w14:paraId="6E320C6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872" w:hRule="exact"/>
                <w:jc w:val="center"/>
              </w:trPr>
              <w:tc>
                <w:tcPr>
                  <w:tcW w:w="249" w:type="pct"/>
                  <w:vAlign w:val="center"/>
                </w:tcPr>
                <w:p w14:paraId="2A8165B1">
                  <w:pPr>
                    <w:adjustRightInd w:val="0"/>
                    <w:snapToGrid w:val="0"/>
                    <w:jc w:val="center"/>
                    <w:rPr>
                      <w:sz w:val="18"/>
                      <w:szCs w:val="18"/>
                    </w:rPr>
                  </w:pPr>
                  <w:r>
                    <w:rPr>
                      <w:sz w:val="18"/>
                      <w:szCs w:val="18"/>
                    </w:rPr>
                    <w:t>9</w:t>
                  </w:r>
                </w:p>
              </w:tc>
              <w:tc>
                <w:tcPr>
                  <w:tcW w:w="2453" w:type="pct"/>
                  <w:vAlign w:val="center"/>
                </w:tcPr>
                <w:p w14:paraId="0DA2311E">
                  <w:pPr>
                    <w:adjustRightInd w:val="0"/>
                    <w:snapToGrid w:val="0"/>
                    <w:rPr>
                      <w:sz w:val="18"/>
                      <w:szCs w:val="18"/>
                    </w:rPr>
                  </w:pPr>
                  <w:r>
                    <w:rPr>
                      <w:sz w:val="18"/>
                      <w:szCs w:val="18"/>
                    </w:rPr>
                    <w:t>禁止在合规园区外新建、扩建钢铁、石化、化工、焦化、建材、有色、制浆造纸等高污染项目。</w:t>
                  </w:r>
                </w:p>
              </w:tc>
              <w:tc>
                <w:tcPr>
                  <w:tcW w:w="1930" w:type="pct"/>
                  <w:vAlign w:val="center"/>
                </w:tcPr>
                <w:p w14:paraId="45A45E9F">
                  <w:pPr>
                    <w:adjustRightInd w:val="0"/>
                    <w:snapToGrid w:val="0"/>
                    <w:rPr>
                      <w:sz w:val="18"/>
                      <w:szCs w:val="18"/>
                    </w:rPr>
                  </w:pPr>
                  <w:r>
                    <w:rPr>
                      <w:sz w:val="18"/>
                      <w:szCs w:val="18"/>
                    </w:rPr>
                    <w:t>项目不属于钢铁、石化、化工、焦化、建材、有色、制浆造纸等高污染项目。</w:t>
                  </w:r>
                </w:p>
              </w:tc>
              <w:tc>
                <w:tcPr>
                  <w:tcW w:w="367" w:type="pct"/>
                  <w:vAlign w:val="center"/>
                </w:tcPr>
                <w:p w14:paraId="54FF470F">
                  <w:pPr>
                    <w:adjustRightInd w:val="0"/>
                    <w:snapToGrid w:val="0"/>
                    <w:jc w:val="center"/>
                    <w:rPr>
                      <w:sz w:val="18"/>
                      <w:szCs w:val="18"/>
                    </w:rPr>
                  </w:pPr>
                  <w:r>
                    <w:rPr>
                      <w:sz w:val="18"/>
                      <w:szCs w:val="18"/>
                    </w:rPr>
                    <w:t>相符</w:t>
                  </w:r>
                </w:p>
              </w:tc>
            </w:tr>
            <w:tr w14:paraId="43ADA21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855" w:hRule="exact"/>
                <w:jc w:val="center"/>
              </w:trPr>
              <w:tc>
                <w:tcPr>
                  <w:tcW w:w="249" w:type="pct"/>
                  <w:vAlign w:val="center"/>
                </w:tcPr>
                <w:p w14:paraId="4B52ADFA">
                  <w:pPr>
                    <w:adjustRightInd w:val="0"/>
                    <w:snapToGrid w:val="0"/>
                    <w:jc w:val="center"/>
                    <w:rPr>
                      <w:sz w:val="18"/>
                      <w:szCs w:val="18"/>
                    </w:rPr>
                  </w:pPr>
                  <w:r>
                    <w:rPr>
                      <w:sz w:val="18"/>
                      <w:szCs w:val="18"/>
                    </w:rPr>
                    <w:t>10</w:t>
                  </w:r>
                </w:p>
              </w:tc>
              <w:tc>
                <w:tcPr>
                  <w:tcW w:w="2453" w:type="pct"/>
                  <w:vAlign w:val="center"/>
                </w:tcPr>
                <w:p w14:paraId="13F31CBF">
                  <w:pPr>
                    <w:adjustRightInd w:val="0"/>
                    <w:snapToGrid w:val="0"/>
                    <w:rPr>
                      <w:sz w:val="18"/>
                      <w:szCs w:val="18"/>
                    </w:rPr>
                  </w:pPr>
                  <w:r>
                    <w:rPr>
                      <w:sz w:val="18"/>
                      <w:szCs w:val="18"/>
                    </w:rPr>
                    <w:t>禁止新建、扩建不符合国家石化、现代煤化工等产业布局规划的项目。</w:t>
                  </w:r>
                </w:p>
              </w:tc>
              <w:tc>
                <w:tcPr>
                  <w:tcW w:w="1930" w:type="pct"/>
                  <w:vAlign w:val="center"/>
                </w:tcPr>
                <w:p w14:paraId="06F4D53C">
                  <w:pPr>
                    <w:adjustRightInd w:val="0"/>
                    <w:snapToGrid w:val="0"/>
                    <w:rPr>
                      <w:sz w:val="18"/>
                      <w:szCs w:val="18"/>
                    </w:rPr>
                  </w:pPr>
                  <w:r>
                    <w:rPr>
                      <w:sz w:val="18"/>
                      <w:szCs w:val="18"/>
                    </w:rPr>
                    <w:t>项目不属于国家石化、现代煤化工等产业布局规划的项目。</w:t>
                  </w:r>
                </w:p>
              </w:tc>
              <w:tc>
                <w:tcPr>
                  <w:tcW w:w="367" w:type="pct"/>
                  <w:vAlign w:val="center"/>
                </w:tcPr>
                <w:p w14:paraId="4C10BEFF">
                  <w:pPr>
                    <w:adjustRightInd w:val="0"/>
                    <w:snapToGrid w:val="0"/>
                    <w:jc w:val="center"/>
                    <w:rPr>
                      <w:sz w:val="18"/>
                      <w:szCs w:val="18"/>
                    </w:rPr>
                  </w:pPr>
                  <w:r>
                    <w:rPr>
                      <w:sz w:val="18"/>
                      <w:szCs w:val="18"/>
                    </w:rPr>
                    <w:t>相符</w:t>
                  </w:r>
                </w:p>
              </w:tc>
            </w:tr>
            <w:tr w14:paraId="0FA130B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334" w:hRule="exact"/>
                <w:jc w:val="center"/>
              </w:trPr>
              <w:tc>
                <w:tcPr>
                  <w:tcW w:w="249" w:type="pct"/>
                  <w:vAlign w:val="center"/>
                </w:tcPr>
                <w:p w14:paraId="346D3C20">
                  <w:pPr>
                    <w:adjustRightInd w:val="0"/>
                    <w:snapToGrid w:val="0"/>
                    <w:jc w:val="center"/>
                    <w:rPr>
                      <w:sz w:val="18"/>
                      <w:szCs w:val="18"/>
                    </w:rPr>
                  </w:pPr>
                  <w:r>
                    <w:rPr>
                      <w:sz w:val="18"/>
                      <w:szCs w:val="18"/>
                    </w:rPr>
                    <w:t>11</w:t>
                  </w:r>
                </w:p>
              </w:tc>
              <w:tc>
                <w:tcPr>
                  <w:tcW w:w="2453" w:type="pct"/>
                  <w:vAlign w:val="center"/>
                </w:tcPr>
                <w:p w14:paraId="4873C34C">
                  <w:pPr>
                    <w:adjustRightInd w:val="0"/>
                    <w:snapToGrid w:val="0"/>
                    <w:rPr>
                      <w:sz w:val="18"/>
                      <w:szCs w:val="18"/>
                    </w:rPr>
                  </w:pPr>
                  <w:r>
                    <w:rPr>
                      <w:sz w:val="18"/>
                      <w:szCs w:val="18"/>
                    </w:rPr>
                    <w:t>禁止新建、扩建法律法规和相关政策明令禁止的落后产能项目。禁止新建、扩建不符合国家产能置换要求的严重过剩产能行业的项目。禁止新建、扩建不符合要求的高耗能高排放项目。</w:t>
                  </w:r>
                </w:p>
              </w:tc>
              <w:tc>
                <w:tcPr>
                  <w:tcW w:w="1930" w:type="pct"/>
                  <w:vAlign w:val="center"/>
                </w:tcPr>
                <w:p w14:paraId="183A52E0">
                  <w:pPr>
                    <w:adjustRightInd w:val="0"/>
                    <w:snapToGrid w:val="0"/>
                    <w:rPr>
                      <w:sz w:val="18"/>
                      <w:szCs w:val="18"/>
                    </w:rPr>
                  </w:pPr>
                  <w:r>
                    <w:rPr>
                      <w:sz w:val="18"/>
                      <w:szCs w:val="18"/>
                    </w:rPr>
                    <w:t>项目不属于落后产能、严重过剩产能行业项目。</w:t>
                  </w:r>
                </w:p>
              </w:tc>
              <w:tc>
                <w:tcPr>
                  <w:tcW w:w="367" w:type="pct"/>
                  <w:vAlign w:val="center"/>
                </w:tcPr>
                <w:p w14:paraId="30521C1D">
                  <w:pPr>
                    <w:adjustRightInd w:val="0"/>
                    <w:snapToGrid w:val="0"/>
                    <w:jc w:val="center"/>
                    <w:rPr>
                      <w:sz w:val="18"/>
                      <w:szCs w:val="18"/>
                    </w:rPr>
                  </w:pPr>
                  <w:r>
                    <w:rPr>
                      <w:sz w:val="18"/>
                      <w:szCs w:val="18"/>
                    </w:rPr>
                    <w:t>相符</w:t>
                  </w:r>
                </w:p>
              </w:tc>
            </w:tr>
          </w:tbl>
          <w:p w14:paraId="46604832">
            <w:pPr>
              <w:spacing w:line="500" w:lineRule="exact"/>
              <w:ind w:firstLine="420" w:firstLineChars="200"/>
              <w:rPr>
                <w:szCs w:val="21"/>
              </w:rPr>
            </w:pPr>
            <w:r>
              <w:rPr>
                <w:szCs w:val="21"/>
              </w:rPr>
              <w:t>B</w:t>
            </w:r>
            <w:r>
              <w:rPr>
                <w:rFonts w:hint="eastAsia"/>
                <w:szCs w:val="21"/>
                <w:lang w:eastAsia="zh-CN"/>
              </w:rPr>
              <w:t>.</w:t>
            </w:r>
            <w:r>
              <w:rPr>
                <w:szCs w:val="21"/>
              </w:rPr>
              <w:t>对照《关于印发</w:t>
            </w:r>
            <w:r>
              <w:rPr>
                <w:rFonts w:hint="eastAsia"/>
                <w:szCs w:val="21"/>
                <w:lang w:eastAsia="zh-CN"/>
              </w:rPr>
              <w:t>〈</w:t>
            </w:r>
            <w:r>
              <w:rPr>
                <w:szCs w:val="21"/>
              </w:rPr>
              <w:t>长江经济带发展负面清单指南</w:t>
            </w:r>
            <w:r>
              <w:rPr>
                <w:rFonts w:hint="eastAsia"/>
                <w:szCs w:val="21"/>
                <w:lang w:eastAsia="zh-CN"/>
              </w:rPr>
              <w:t>〉</w:t>
            </w:r>
            <w:r>
              <w:rPr>
                <w:szCs w:val="21"/>
              </w:rPr>
              <w:t>（试行，2022年版）江苏省实施细则的通知》（苏长江办发〔2022〕55号），本项目属于</w:t>
            </w:r>
            <w:r>
              <w:rPr>
                <w:rFonts w:hint="eastAsia"/>
              </w:rPr>
              <w:t>塑料零件及其它塑料制品制造</w:t>
            </w:r>
            <w:r>
              <w:rPr>
                <w:szCs w:val="21"/>
              </w:rPr>
              <w:t>，不在长江经济带发展负面清单指南江苏省实施细则条款提出的禁止范畴内，因此符合指导意见要求。</w:t>
            </w:r>
          </w:p>
          <w:p w14:paraId="38C3A2D7">
            <w:pPr>
              <w:spacing w:line="500" w:lineRule="exact"/>
              <w:jc w:val="center"/>
              <w:rPr>
                <w:b/>
                <w:bCs/>
                <w:szCs w:val="21"/>
              </w:rPr>
            </w:pPr>
            <w:r>
              <w:rPr>
                <w:b/>
                <w:bCs/>
                <w:szCs w:val="21"/>
              </w:rPr>
              <w:t>表1-</w:t>
            </w:r>
            <w:r>
              <w:rPr>
                <w:rFonts w:hint="eastAsia"/>
                <w:b/>
                <w:bCs/>
                <w:szCs w:val="21"/>
                <w:lang w:val="en-US" w:eastAsia="zh-CN"/>
              </w:rPr>
              <w:t>3</w:t>
            </w:r>
            <w:r>
              <w:rPr>
                <w:rFonts w:hint="eastAsia"/>
                <w:b/>
                <w:bCs/>
                <w:szCs w:val="21"/>
              </w:rPr>
              <w:t xml:space="preserve"> </w:t>
            </w:r>
            <w:r>
              <w:rPr>
                <w:b/>
                <w:bCs/>
                <w:szCs w:val="21"/>
              </w:rPr>
              <w:t>与《</w:t>
            </w:r>
            <w:r>
              <w:rPr>
                <w:rFonts w:hint="eastAsia"/>
                <w:b/>
                <w:bCs/>
                <w:szCs w:val="21"/>
                <w:lang w:eastAsia="zh-CN"/>
              </w:rPr>
              <w:t>〈</w:t>
            </w:r>
            <w:r>
              <w:rPr>
                <w:b/>
                <w:bCs/>
                <w:szCs w:val="21"/>
              </w:rPr>
              <w:t>长江经济带发展负面清单指南</w:t>
            </w:r>
            <w:r>
              <w:rPr>
                <w:rFonts w:hint="eastAsia"/>
                <w:b/>
                <w:bCs/>
                <w:szCs w:val="21"/>
                <w:lang w:eastAsia="zh-CN"/>
              </w:rPr>
              <w:t>〉</w:t>
            </w:r>
            <w:r>
              <w:rPr>
                <w:b/>
                <w:bCs/>
                <w:szCs w:val="21"/>
              </w:rPr>
              <w:t>江苏省实施细则</w:t>
            </w:r>
            <w:r>
              <w:rPr>
                <w:rFonts w:hint="eastAsia"/>
                <w:b/>
                <w:bCs/>
                <w:szCs w:val="21"/>
                <w:lang w:eastAsia="zh-CN"/>
              </w:rPr>
              <w:t>（</w:t>
            </w:r>
            <w:r>
              <w:rPr>
                <w:b/>
                <w:bCs/>
                <w:szCs w:val="21"/>
              </w:rPr>
              <w:t>试行</w:t>
            </w:r>
            <w:r>
              <w:rPr>
                <w:rFonts w:hint="eastAsia"/>
                <w:b/>
                <w:bCs/>
                <w:szCs w:val="21"/>
                <w:lang w:eastAsia="zh-CN"/>
              </w:rPr>
              <w:t>）</w:t>
            </w:r>
            <w:r>
              <w:rPr>
                <w:b/>
                <w:bCs/>
                <w:szCs w:val="21"/>
              </w:rPr>
              <w:t>》相符性分析</w:t>
            </w:r>
          </w:p>
          <w:tbl>
            <w:tblPr>
              <w:tblStyle w:val="1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5"/>
              <w:gridCol w:w="3556"/>
              <w:gridCol w:w="1785"/>
              <w:gridCol w:w="882"/>
            </w:tblGrid>
            <w:tr w14:paraId="336605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18A0D7F8">
                  <w:pPr>
                    <w:adjustRightInd w:val="0"/>
                    <w:snapToGrid w:val="0"/>
                    <w:jc w:val="center"/>
                    <w:rPr>
                      <w:b/>
                      <w:bCs/>
                      <w:sz w:val="18"/>
                      <w:szCs w:val="18"/>
                    </w:rPr>
                  </w:pPr>
                  <w:r>
                    <w:rPr>
                      <w:b/>
                      <w:bCs/>
                      <w:sz w:val="18"/>
                      <w:szCs w:val="18"/>
                    </w:rPr>
                    <w:t>序号</w:t>
                  </w:r>
                </w:p>
              </w:tc>
              <w:tc>
                <w:tcPr>
                  <w:tcW w:w="3556" w:type="dxa"/>
                  <w:vAlign w:val="center"/>
                </w:tcPr>
                <w:p w14:paraId="322F8ED9">
                  <w:pPr>
                    <w:adjustRightInd w:val="0"/>
                    <w:snapToGrid w:val="0"/>
                    <w:jc w:val="center"/>
                    <w:rPr>
                      <w:b/>
                      <w:bCs/>
                      <w:sz w:val="18"/>
                      <w:szCs w:val="18"/>
                    </w:rPr>
                  </w:pPr>
                  <w:r>
                    <w:rPr>
                      <w:b/>
                      <w:bCs/>
                      <w:sz w:val="18"/>
                      <w:szCs w:val="18"/>
                    </w:rPr>
                    <w:t>管控条款</w:t>
                  </w:r>
                </w:p>
              </w:tc>
              <w:tc>
                <w:tcPr>
                  <w:tcW w:w="1785" w:type="dxa"/>
                  <w:vAlign w:val="center"/>
                </w:tcPr>
                <w:p w14:paraId="5E9E6C6C">
                  <w:pPr>
                    <w:adjustRightInd w:val="0"/>
                    <w:snapToGrid w:val="0"/>
                    <w:jc w:val="center"/>
                    <w:rPr>
                      <w:b/>
                      <w:bCs/>
                      <w:sz w:val="18"/>
                      <w:szCs w:val="18"/>
                    </w:rPr>
                  </w:pPr>
                  <w:r>
                    <w:rPr>
                      <w:b/>
                      <w:bCs/>
                      <w:sz w:val="18"/>
                      <w:szCs w:val="18"/>
                    </w:rPr>
                    <w:t>本项目情况</w:t>
                  </w:r>
                </w:p>
              </w:tc>
              <w:tc>
                <w:tcPr>
                  <w:tcW w:w="882" w:type="dxa"/>
                  <w:vAlign w:val="center"/>
                </w:tcPr>
                <w:p w14:paraId="055C5298">
                  <w:pPr>
                    <w:adjustRightInd w:val="0"/>
                    <w:snapToGrid w:val="0"/>
                    <w:jc w:val="center"/>
                    <w:rPr>
                      <w:b/>
                      <w:bCs/>
                      <w:sz w:val="18"/>
                      <w:szCs w:val="18"/>
                    </w:rPr>
                  </w:pPr>
                  <w:r>
                    <w:rPr>
                      <w:b/>
                      <w:bCs/>
                      <w:sz w:val="18"/>
                      <w:szCs w:val="18"/>
                    </w:rPr>
                    <w:t>相符性</w:t>
                  </w:r>
                </w:p>
              </w:tc>
            </w:tr>
            <w:tr w14:paraId="7AFEF0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878" w:type="dxa"/>
                  <w:gridSpan w:val="4"/>
                  <w:vAlign w:val="center"/>
                </w:tcPr>
                <w:p w14:paraId="50B984DE">
                  <w:pPr>
                    <w:adjustRightInd w:val="0"/>
                    <w:snapToGrid w:val="0"/>
                    <w:jc w:val="center"/>
                    <w:rPr>
                      <w:b/>
                      <w:bCs/>
                      <w:sz w:val="18"/>
                      <w:szCs w:val="18"/>
                    </w:rPr>
                  </w:pPr>
                  <w:r>
                    <w:rPr>
                      <w:b/>
                      <w:bCs/>
                      <w:sz w:val="18"/>
                      <w:szCs w:val="18"/>
                    </w:rPr>
                    <w:t>一、河段利用与岸线开发</w:t>
                  </w:r>
                </w:p>
              </w:tc>
            </w:tr>
            <w:tr w14:paraId="1DD9E6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53606046">
                  <w:pPr>
                    <w:jc w:val="center"/>
                    <w:rPr>
                      <w:sz w:val="18"/>
                      <w:szCs w:val="18"/>
                    </w:rPr>
                  </w:pPr>
                  <w:r>
                    <w:rPr>
                      <w:sz w:val="18"/>
                      <w:szCs w:val="18"/>
                    </w:rPr>
                    <w:t>1</w:t>
                  </w:r>
                </w:p>
              </w:tc>
              <w:tc>
                <w:tcPr>
                  <w:tcW w:w="3556" w:type="dxa"/>
                  <w:vAlign w:val="center"/>
                </w:tcPr>
                <w:p w14:paraId="55D8DE51">
                  <w:pPr>
                    <w:jc w:val="left"/>
                    <w:rPr>
                      <w:sz w:val="18"/>
                      <w:szCs w:val="18"/>
                    </w:rPr>
                  </w:pPr>
                  <w:r>
                    <w:rPr>
                      <w:sz w:val="18"/>
                      <w:szCs w:val="18"/>
                    </w:rPr>
                    <w:t>禁止建设不符合国家港口布局规划和《江苏省沿江沿海港口布局规划（2015</w:t>
                  </w:r>
                  <w:r>
                    <w:rPr>
                      <w:rFonts w:hint="eastAsia"/>
                      <w:sz w:val="18"/>
                      <w:szCs w:val="18"/>
                      <w:lang w:eastAsia="zh-CN"/>
                    </w:rPr>
                    <w:t>—</w:t>
                  </w:r>
                  <w:r>
                    <w:rPr>
                      <w:sz w:val="18"/>
                      <w:szCs w:val="18"/>
                    </w:rPr>
                    <w:t>2030年）》《江苏省内河港口布局规划（2017</w:t>
                  </w:r>
                  <w:r>
                    <w:rPr>
                      <w:rFonts w:hint="eastAsia"/>
                      <w:sz w:val="18"/>
                      <w:szCs w:val="18"/>
                      <w:lang w:eastAsia="zh-CN"/>
                    </w:rPr>
                    <w:t>—</w:t>
                  </w:r>
                  <w:r>
                    <w:rPr>
                      <w:sz w:val="18"/>
                      <w:szCs w:val="18"/>
                    </w:rPr>
                    <w:t>2035年）》以及我省有关港口总体规划的码头项目，禁止建设未纳入《长江干线过江通道布局规划》的过长江通道项目。</w:t>
                  </w:r>
                </w:p>
              </w:tc>
              <w:tc>
                <w:tcPr>
                  <w:tcW w:w="1785" w:type="dxa"/>
                  <w:vAlign w:val="center"/>
                </w:tcPr>
                <w:p w14:paraId="4DC43C59">
                  <w:pPr>
                    <w:rPr>
                      <w:sz w:val="18"/>
                      <w:szCs w:val="18"/>
                    </w:rPr>
                  </w:pPr>
                  <w:r>
                    <w:rPr>
                      <w:sz w:val="18"/>
                      <w:szCs w:val="18"/>
                    </w:rPr>
                    <w:t>项目不属于码头及过长江干线通道项目。</w:t>
                  </w:r>
                </w:p>
              </w:tc>
              <w:tc>
                <w:tcPr>
                  <w:tcW w:w="882" w:type="dxa"/>
                  <w:vAlign w:val="center"/>
                </w:tcPr>
                <w:p w14:paraId="3860A797">
                  <w:pPr>
                    <w:jc w:val="center"/>
                    <w:rPr>
                      <w:sz w:val="18"/>
                      <w:szCs w:val="18"/>
                    </w:rPr>
                  </w:pPr>
                  <w:r>
                    <w:rPr>
                      <w:sz w:val="18"/>
                      <w:szCs w:val="18"/>
                    </w:rPr>
                    <w:t>相符</w:t>
                  </w:r>
                </w:p>
              </w:tc>
            </w:tr>
            <w:tr w14:paraId="72C865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54BDA89">
                  <w:pPr>
                    <w:jc w:val="center"/>
                    <w:rPr>
                      <w:sz w:val="18"/>
                      <w:szCs w:val="18"/>
                    </w:rPr>
                  </w:pPr>
                  <w:r>
                    <w:rPr>
                      <w:sz w:val="18"/>
                      <w:szCs w:val="18"/>
                    </w:rPr>
                    <w:t>2</w:t>
                  </w:r>
                </w:p>
              </w:tc>
              <w:tc>
                <w:tcPr>
                  <w:tcW w:w="3556" w:type="dxa"/>
                  <w:vAlign w:val="center"/>
                </w:tcPr>
                <w:p w14:paraId="4BC45938">
                  <w:pPr>
                    <w:rPr>
                      <w:sz w:val="18"/>
                      <w:szCs w:val="18"/>
                    </w:rPr>
                  </w:pPr>
                  <w:r>
                    <w:rPr>
                      <w:sz w:val="18"/>
                      <w:szCs w:val="18"/>
                    </w:rPr>
                    <w:t>严格执行《中华人民共和国自然保护区条例》，禁止在自然保护区核心区、缓冲区的岸线和河段范围内投资建设旅游和生产经营项目。严格执行《风景名胜区条例》《江苏省风景名胜区管理条例》，禁止在国家级和省级风景名胜区核心景区的岸线和河段范围内投资建设与风景名胜资源保护无关的项目。</w:t>
                  </w:r>
                </w:p>
              </w:tc>
              <w:tc>
                <w:tcPr>
                  <w:tcW w:w="1785" w:type="dxa"/>
                  <w:vAlign w:val="center"/>
                </w:tcPr>
                <w:p w14:paraId="50DC16AD">
                  <w:pPr>
                    <w:adjustRightInd w:val="0"/>
                    <w:snapToGrid w:val="0"/>
                    <w:rPr>
                      <w:sz w:val="18"/>
                      <w:szCs w:val="18"/>
                    </w:rPr>
                  </w:pPr>
                  <w:r>
                    <w:rPr>
                      <w:sz w:val="18"/>
                      <w:szCs w:val="18"/>
                    </w:rPr>
                    <w:t>项目位于</w:t>
                  </w:r>
                  <w:r>
                    <w:rPr>
                      <w:rFonts w:hint="eastAsia"/>
                      <w:sz w:val="18"/>
                      <w:szCs w:val="18"/>
                    </w:rPr>
                    <w:t>南通市通州区刘桥镇蒋一村十五组</w:t>
                  </w:r>
                  <w:r>
                    <w:rPr>
                      <w:sz w:val="18"/>
                      <w:szCs w:val="18"/>
                    </w:rPr>
                    <w:t>，项目位置不属于自然保护核心区、缓冲区，也不属于国家级和省级风景名胜区核心景区的岸线和河段。</w:t>
                  </w:r>
                </w:p>
              </w:tc>
              <w:tc>
                <w:tcPr>
                  <w:tcW w:w="882" w:type="dxa"/>
                  <w:vAlign w:val="center"/>
                </w:tcPr>
                <w:p w14:paraId="2C02D2D3">
                  <w:pPr>
                    <w:jc w:val="center"/>
                    <w:rPr>
                      <w:sz w:val="18"/>
                      <w:szCs w:val="18"/>
                    </w:rPr>
                  </w:pPr>
                  <w:r>
                    <w:rPr>
                      <w:sz w:val="18"/>
                      <w:szCs w:val="18"/>
                    </w:rPr>
                    <w:t>相符</w:t>
                  </w:r>
                </w:p>
              </w:tc>
            </w:tr>
            <w:tr w14:paraId="456674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443AFC7B">
                  <w:pPr>
                    <w:jc w:val="center"/>
                    <w:rPr>
                      <w:sz w:val="18"/>
                      <w:szCs w:val="18"/>
                    </w:rPr>
                  </w:pPr>
                  <w:r>
                    <w:rPr>
                      <w:sz w:val="18"/>
                      <w:szCs w:val="18"/>
                    </w:rPr>
                    <w:t>3</w:t>
                  </w:r>
                </w:p>
              </w:tc>
              <w:tc>
                <w:tcPr>
                  <w:tcW w:w="3556" w:type="dxa"/>
                  <w:vAlign w:val="center"/>
                </w:tcPr>
                <w:p w14:paraId="1B53AE43">
                  <w:pPr>
                    <w:rPr>
                      <w:sz w:val="18"/>
                      <w:szCs w:val="18"/>
                    </w:rPr>
                  </w:pPr>
                  <w:r>
                    <w:rPr>
                      <w:sz w:val="18"/>
                      <w:szCs w:val="18"/>
                    </w:rPr>
                    <w:t>严格执行《中华人民共和国水污染防治法》《江苏省人民代表大会常务委员会关于加强饮用水源地保护的决定》《江苏省水污染防治条例》，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禁止在饮用水水源准保护区的岸线和河道范围内新建、扩建对水体污染严重的投资建设项目，改建项目应当消减排污量。</w:t>
                  </w:r>
                </w:p>
              </w:tc>
              <w:tc>
                <w:tcPr>
                  <w:tcW w:w="1785" w:type="dxa"/>
                  <w:vAlign w:val="center"/>
                </w:tcPr>
                <w:p w14:paraId="2EA4C16A">
                  <w:pPr>
                    <w:adjustRightInd w:val="0"/>
                    <w:snapToGrid w:val="0"/>
                    <w:rPr>
                      <w:sz w:val="18"/>
                      <w:szCs w:val="18"/>
                    </w:rPr>
                  </w:pPr>
                  <w:r>
                    <w:rPr>
                      <w:sz w:val="18"/>
                      <w:szCs w:val="18"/>
                    </w:rPr>
                    <w:t>项目所在区域不在饮用水源一级和二级保护区范围。</w:t>
                  </w:r>
                </w:p>
              </w:tc>
              <w:tc>
                <w:tcPr>
                  <w:tcW w:w="882" w:type="dxa"/>
                  <w:vAlign w:val="center"/>
                </w:tcPr>
                <w:p w14:paraId="33966587">
                  <w:pPr>
                    <w:jc w:val="center"/>
                    <w:rPr>
                      <w:sz w:val="18"/>
                      <w:szCs w:val="18"/>
                    </w:rPr>
                  </w:pPr>
                  <w:r>
                    <w:rPr>
                      <w:sz w:val="18"/>
                      <w:szCs w:val="18"/>
                    </w:rPr>
                    <w:t>相符</w:t>
                  </w:r>
                </w:p>
              </w:tc>
            </w:tr>
            <w:tr w14:paraId="3B8E2E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B59DFBC">
                  <w:pPr>
                    <w:jc w:val="center"/>
                    <w:rPr>
                      <w:sz w:val="18"/>
                      <w:szCs w:val="18"/>
                    </w:rPr>
                  </w:pPr>
                  <w:r>
                    <w:rPr>
                      <w:sz w:val="18"/>
                      <w:szCs w:val="18"/>
                    </w:rPr>
                    <w:t>4</w:t>
                  </w:r>
                </w:p>
              </w:tc>
              <w:tc>
                <w:tcPr>
                  <w:tcW w:w="3556" w:type="dxa"/>
                  <w:vAlign w:val="center"/>
                </w:tcPr>
                <w:p w14:paraId="163ECB30">
                  <w:pPr>
                    <w:rPr>
                      <w:sz w:val="18"/>
                      <w:szCs w:val="18"/>
                    </w:rPr>
                  </w:pPr>
                  <w:r>
                    <w:rPr>
                      <w:sz w:val="18"/>
                      <w:szCs w:val="18"/>
                    </w:rPr>
                    <w:t>严格执行《水产种质资源保护区管理暂行办法》，禁止在国家级和省级水产种质资源保护区的岸线和河段范围内新建排污口，以及围湖造田、围海造地或围填海等投资建设项目。严格执行《中华人民共和国湿地保护法》《江苏省湿地保护条例》，禁止在国家湿地公园的岸线和河段范围内挖沙、采矿，以及任何不符合主体功能定位的投资建设项目。</w:t>
                  </w:r>
                </w:p>
              </w:tc>
              <w:tc>
                <w:tcPr>
                  <w:tcW w:w="1785" w:type="dxa"/>
                  <w:vAlign w:val="center"/>
                </w:tcPr>
                <w:p w14:paraId="31861E19">
                  <w:pPr>
                    <w:adjustRightInd w:val="0"/>
                    <w:snapToGrid w:val="0"/>
                    <w:rPr>
                      <w:sz w:val="18"/>
                      <w:szCs w:val="18"/>
                    </w:rPr>
                  </w:pPr>
                  <w:r>
                    <w:rPr>
                      <w:sz w:val="18"/>
                      <w:szCs w:val="18"/>
                    </w:rPr>
                    <w:t>项目所在区域不在国家级或省级水产种质资源保护区范围内，也不在国家湿地公园的岸线和河段范围内。</w:t>
                  </w:r>
                </w:p>
                <w:p w14:paraId="6BB768B8">
                  <w:pPr>
                    <w:adjustRightInd w:val="0"/>
                    <w:snapToGrid w:val="0"/>
                    <w:rPr>
                      <w:sz w:val="18"/>
                      <w:szCs w:val="18"/>
                    </w:rPr>
                  </w:pPr>
                </w:p>
              </w:tc>
              <w:tc>
                <w:tcPr>
                  <w:tcW w:w="882" w:type="dxa"/>
                  <w:vAlign w:val="center"/>
                </w:tcPr>
                <w:p w14:paraId="0EAABCCB">
                  <w:pPr>
                    <w:jc w:val="center"/>
                    <w:rPr>
                      <w:sz w:val="18"/>
                      <w:szCs w:val="18"/>
                    </w:rPr>
                  </w:pPr>
                  <w:r>
                    <w:rPr>
                      <w:sz w:val="18"/>
                      <w:szCs w:val="18"/>
                    </w:rPr>
                    <w:t>相符</w:t>
                  </w:r>
                </w:p>
              </w:tc>
            </w:tr>
            <w:tr w14:paraId="45DA24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2" w:hRule="atLeast"/>
                <w:jc w:val="center"/>
              </w:trPr>
              <w:tc>
                <w:tcPr>
                  <w:tcW w:w="655" w:type="dxa"/>
                  <w:vAlign w:val="center"/>
                </w:tcPr>
                <w:p w14:paraId="41A2EB67">
                  <w:pPr>
                    <w:jc w:val="center"/>
                    <w:rPr>
                      <w:sz w:val="18"/>
                      <w:szCs w:val="18"/>
                    </w:rPr>
                  </w:pPr>
                  <w:r>
                    <w:rPr>
                      <w:sz w:val="18"/>
                      <w:szCs w:val="18"/>
                    </w:rPr>
                    <w:t>5</w:t>
                  </w:r>
                </w:p>
              </w:tc>
              <w:tc>
                <w:tcPr>
                  <w:tcW w:w="3556" w:type="dxa"/>
                  <w:vAlign w:val="center"/>
                </w:tcPr>
                <w:p w14:paraId="6EFFE1A5">
                  <w:pPr>
                    <w:rPr>
                      <w:sz w:val="18"/>
                      <w:szCs w:val="18"/>
                    </w:rPr>
                  </w:pPr>
                  <w:r>
                    <w:rPr>
                      <w:sz w:val="18"/>
                      <w:szCs w:val="18"/>
                    </w:rPr>
                    <w:t>禁止违法利用、占用长江流域河湖岸线。禁止在《长江岸线保护和开发利用总体规划》划定的岸线保护区和保留区内投资建设除事关公共安全及公共利益的防洪护岸、河道治理、供水、生态环境保护、航道整治、国家重要基础设施以外的项目。长江干支流基础设施项目应按照《长江岸线保护和开发利用总体规划》和生态环境保护、岸线保护等要求，按规定开展项目前期论证并办理相关手续。禁止在《全国重要江河湖泊水功能区划》划定的河段及湖泊保护区、保留区内投资建设不利于水资源及自然生态保护的项目。</w:t>
                  </w:r>
                </w:p>
              </w:tc>
              <w:tc>
                <w:tcPr>
                  <w:tcW w:w="1785" w:type="dxa"/>
                  <w:vAlign w:val="center"/>
                </w:tcPr>
                <w:p w14:paraId="09081D64">
                  <w:pPr>
                    <w:adjustRightInd w:val="0"/>
                    <w:snapToGrid w:val="0"/>
                    <w:rPr>
                      <w:sz w:val="18"/>
                      <w:szCs w:val="18"/>
                    </w:rPr>
                  </w:pPr>
                  <w:r>
                    <w:rPr>
                      <w:sz w:val="18"/>
                      <w:szCs w:val="18"/>
                    </w:rPr>
                    <w:t>项目不在《长江岸线保护和开发利用总体规划》范围内。</w:t>
                  </w:r>
                </w:p>
              </w:tc>
              <w:tc>
                <w:tcPr>
                  <w:tcW w:w="882" w:type="dxa"/>
                  <w:vAlign w:val="center"/>
                </w:tcPr>
                <w:p w14:paraId="36D07FC8">
                  <w:pPr>
                    <w:jc w:val="center"/>
                    <w:rPr>
                      <w:sz w:val="18"/>
                      <w:szCs w:val="18"/>
                    </w:rPr>
                  </w:pPr>
                  <w:r>
                    <w:rPr>
                      <w:sz w:val="18"/>
                      <w:szCs w:val="18"/>
                    </w:rPr>
                    <w:t>相符</w:t>
                  </w:r>
                </w:p>
              </w:tc>
            </w:tr>
            <w:tr w14:paraId="2ECDDC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E9D7576">
                  <w:pPr>
                    <w:jc w:val="center"/>
                    <w:rPr>
                      <w:sz w:val="18"/>
                      <w:szCs w:val="18"/>
                    </w:rPr>
                  </w:pPr>
                  <w:r>
                    <w:rPr>
                      <w:sz w:val="18"/>
                      <w:szCs w:val="18"/>
                    </w:rPr>
                    <w:t>6</w:t>
                  </w:r>
                </w:p>
              </w:tc>
              <w:tc>
                <w:tcPr>
                  <w:tcW w:w="3556" w:type="dxa"/>
                  <w:vAlign w:val="center"/>
                </w:tcPr>
                <w:p w14:paraId="33B6BE79">
                  <w:pPr>
                    <w:rPr>
                      <w:sz w:val="18"/>
                      <w:szCs w:val="18"/>
                    </w:rPr>
                  </w:pPr>
                  <w:r>
                    <w:rPr>
                      <w:sz w:val="18"/>
                      <w:szCs w:val="18"/>
                    </w:rPr>
                    <w:t>禁止未经许可在长江干支流及湖泊新设、改设或扩大排污口。</w:t>
                  </w:r>
                </w:p>
              </w:tc>
              <w:tc>
                <w:tcPr>
                  <w:tcW w:w="1785" w:type="dxa"/>
                  <w:vAlign w:val="center"/>
                </w:tcPr>
                <w:p w14:paraId="4838618D">
                  <w:pPr>
                    <w:rPr>
                      <w:sz w:val="18"/>
                      <w:szCs w:val="18"/>
                    </w:rPr>
                  </w:pPr>
                  <w:r>
                    <w:rPr>
                      <w:sz w:val="18"/>
                      <w:szCs w:val="18"/>
                    </w:rPr>
                    <w:t>本项目位于</w:t>
                  </w:r>
                  <w:r>
                    <w:rPr>
                      <w:rFonts w:hint="eastAsia"/>
                      <w:sz w:val="18"/>
                      <w:szCs w:val="18"/>
                    </w:rPr>
                    <w:t>南通市通州区刘桥镇蒋一村十五组</w:t>
                  </w:r>
                  <w:r>
                    <w:rPr>
                      <w:sz w:val="18"/>
                      <w:szCs w:val="18"/>
                    </w:rPr>
                    <w:t>，不在长江干支流及湖泊旁，且项目为间接排放。</w:t>
                  </w:r>
                </w:p>
              </w:tc>
              <w:tc>
                <w:tcPr>
                  <w:tcW w:w="882" w:type="dxa"/>
                  <w:vAlign w:val="center"/>
                </w:tcPr>
                <w:p w14:paraId="1050E375">
                  <w:pPr>
                    <w:jc w:val="center"/>
                    <w:rPr>
                      <w:sz w:val="18"/>
                      <w:szCs w:val="18"/>
                    </w:rPr>
                  </w:pPr>
                  <w:r>
                    <w:rPr>
                      <w:sz w:val="18"/>
                      <w:szCs w:val="18"/>
                    </w:rPr>
                    <w:t>相符</w:t>
                  </w:r>
                </w:p>
              </w:tc>
            </w:tr>
            <w:tr w14:paraId="3D1EA9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78" w:type="dxa"/>
                  <w:gridSpan w:val="4"/>
                  <w:vAlign w:val="center"/>
                </w:tcPr>
                <w:p w14:paraId="4416A01A">
                  <w:pPr>
                    <w:jc w:val="center"/>
                    <w:rPr>
                      <w:sz w:val="18"/>
                      <w:szCs w:val="18"/>
                    </w:rPr>
                  </w:pPr>
                  <w:r>
                    <w:rPr>
                      <w:b/>
                      <w:bCs/>
                      <w:sz w:val="18"/>
                      <w:szCs w:val="18"/>
                    </w:rPr>
                    <w:t>二、区域活动</w:t>
                  </w:r>
                </w:p>
              </w:tc>
            </w:tr>
            <w:tr w14:paraId="57752A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14A0D10E">
                  <w:pPr>
                    <w:jc w:val="center"/>
                    <w:rPr>
                      <w:sz w:val="18"/>
                      <w:szCs w:val="18"/>
                    </w:rPr>
                  </w:pPr>
                  <w:r>
                    <w:rPr>
                      <w:sz w:val="18"/>
                      <w:szCs w:val="18"/>
                    </w:rPr>
                    <w:t>7</w:t>
                  </w:r>
                </w:p>
              </w:tc>
              <w:tc>
                <w:tcPr>
                  <w:tcW w:w="3556" w:type="dxa"/>
                  <w:vAlign w:val="center"/>
                </w:tcPr>
                <w:p w14:paraId="5DB4606D">
                  <w:pPr>
                    <w:rPr>
                      <w:sz w:val="18"/>
                      <w:szCs w:val="18"/>
                    </w:rPr>
                  </w:pPr>
                  <w:r>
                    <w:rPr>
                      <w:sz w:val="18"/>
                      <w:szCs w:val="18"/>
                    </w:rPr>
                    <w:t>禁止长江干流、长江口、34个列入《率先全面禁捕的长江流域水生生物保护区名录》的水生生物保护区以及省规定的其他禁渔水域开展生产性捕捞。</w:t>
                  </w:r>
                </w:p>
              </w:tc>
              <w:tc>
                <w:tcPr>
                  <w:tcW w:w="1785" w:type="dxa"/>
                  <w:vAlign w:val="center"/>
                </w:tcPr>
                <w:p w14:paraId="0A8B50F5">
                  <w:pPr>
                    <w:rPr>
                      <w:sz w:val="18"/>
                      <w:szCs w:val="18"/>
                    </w:rPr>
                  </w:pPr>
                  <w:r>
                    <w:rPr>
                      <w:sz w:val="18"/>
                      <w:szCs w:val="18"/>
                    </w:rPr>
                    <w:t>项目不涉及生产性捕捞。</w:t>
                  </w:r>
                </w:p>
              </w:tc>
              <w:tc>
                <w:tcPr>
                  <w:tcW w:w="882" w:type="dxa"/>
                  <w:vAlign w:val="center"/>
                </w:tcPr>
                <w:p w14:paraId="540C6740">
                  <w:pPr>
                    <w:jc w:val="center"/>
                    <w:rPr>
                      <w:sz w:val="18"/>
                      <w:szCs w:val="18"/>
                    </w:rPr>
                  </w:pPr>
                  <w:r>
                    <w:rPr>
                      <w:sz w:val="18"/>
                      <w:szCs w:val="18"/>
                    </w:rPr>
                    <w:t>相符</w:t>
                  </w:r>
                </w:p>
              </w:tc>
            </w:tr>
            <w:tr w14:paraId="231E07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707BA1DE">
                  <w:pPr>
                    <w:jc w:val="center"/>
                    <w:rPr>
                      <w:sz w:val="18"/>
                      <w:szCs w:val="18"/>
                    </w:rPr>
                  </w:pPr>
                  <w:r>
                    <w:rPr>
                      <w:sz w:val="18"/>
                      <w:szCs w:val="18"/>
                    </w:rPr>
                    <w:t>8</w:t>
                  </w:r>
                </w:p>
              </w:tc>
              <w:tc>
                <w:tcPr>
                  <w:tcW w:w="3556" w:type="dxa"/>
                  <w:vAlign w:val="center"/>
                </w:tcPr>
                <w:p w14:paraId="53B3DB70">
                  <w:pPr>
                    <w:rPr>
                      <w:sz w:val="18"/>
                      <w:szCs w:val="18"/>
                    </w:rPr>
                  </w:pPr>
                  <w:r>
                    <w:rPr>
                      <w:sz w:val="18"/>
                      <w:szCs w:val="18"/>
                    </w:rPr>
                    <w:t>禁止在距离长江干支流岸线一公里范围内新建、扩建化工园区和化工项目。长江干支流一公里按照长江干支流岸线边界（即水利部门河道管理范围边界）向陆域纵深一公里执行。</w:t>
                  </w:r>
                </w:p>
              </w:tc>
              <w:tc>
                <w:tcPr>
                  <w:tcW w:w="1785" w:type="dxa"/>
                  <w:vAlign w:val="center"/>
                </w:tcPr>
                <w:p w14:paraId="118B73D0">
                  <w:pPr>
                    <w:rPr>
                      <w:sz w:val="18"/>
                      <w:szCs w:val="18"/>
                    </w:rPr>
                  </w:pPr>
                  <w:r>
                    <w:rPr>
                      <w:sz w:val="18"/>
                      <w:szCs w:val="18"/>
                    </w:rPr>
                    <w:t>项目位于</w:t>
                  </w:r>
                  <w:r>
                    <w:rPr>
                      <w:rFonts w:hint="eastAsia"/>
                      <w:sz w:val="18"/>
                      <w:szCs w:val="18"/>
                    </w:rPr>
                    <w:t>南通市通州区刘桥镇蒋一村十五组</w:t>
                  </w:r>
                  <w:r>
                    <w:rPr>
                      <w:sz w:val="18"/>
                      <w:szCs w:val="18"/>
                    </w:rPr>
                    <w:t>，不在长江干支流、重要湖泊岸线一公里范围内。</w:t>
                  </w:r>
                </w:p>
              </w:tc>
              <w:tc>
                <w:tcPr>
                  <w:tcW w:w="882" w:type="dxa"/>
                  <w:vAlign w:val="center"/>
                </w:tcPr>
                <w:p w14:paraId="6A64A0FA">
                  <w:pPr>
                    <w:jc w:val="center"/>
                    <w:rPr>
                      <w:sz w:val="18"/>
                      <w:szCs w:val="18"/>
                    </w:rPr>
                  </w:pPr>
                  <w:r>
                    <w:rPr>
                      <w:sz w:val="18"/>
                      <w:szCs w:val="18"/>
                    </w:rPr>
                    <w:t>相符</w:t>
                  </w:r>
                </w:p>
              </w:tc>
            </w:tr>
            <w:tr w14:paraId="0EE589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23CA6786">
                  <w:pPr>
                    <w:jc w:val="center"/>
                    <w:rPr>
                      <w:sz w:val="18"/>
                      <w:szCs w:val="18"/>
                    </w:rPr>
                  </w:pPr>
                  <w:r>
                    <w:rPr>
                      <w:sz w:val="18"/>
                      <w:szCs w:val="18"/>
                    </w:rPr>
                    <w:t>9</w:t>
                  </w:r>
                </w:p>
              </w:tc>
              <w:tc>
                <w:tcPr>
                  <w:tcW w:w="3556" w:type="dxa"/>
                  <w:vAlign w:val="center"/>
                </w:tcPr>
                <w:p w14:paraId="614B2556">
                  <w:pPr>
                    <w:rPr>
                      <w:sz w:val="18"/>
                      <w:szCs w:val="18"/>
                    </w:rPr>
                  </w:pPr>
                  <w:r>
                    <w:rPr>
                      <w:sz w:val="18"/>
                      <w:szCs w:val="18"/>
                    </w:rPr>
                    <w:t>禁止在长江干流岸线三公里范围内新建、改建、扩建尾矿库、冶炼渣库和磷石膏库，以提升安全、生态环境保护水平为目的的改建除外。</w:t>
                  </w:r>
                </w:p>
              </w:tc>
              <w:tc>
                <w:tcPr>
                  <w:tcW w:w="1785" w:type="dxa"/>
                  <w:vAlign w:val="center"/>
                </w:tcPr>
                <w:p w14:paraId="29A88302">
                  <w:pPr>
                    <w:rPr>
                      <w:sz w:val="18"/>
                      <w:szCs w:val="18"/>
                    </w:rPr>
                  </w:pPr>
                  <w:r>
                    <w:rPr>
                      <w:sz w:val="18"/>
                      <w:szCs w:val="18"/>
                    </w:rPr>
                    <w:t>项目不涉及尾矿库、冶炼渣库和磷石膏库。</w:t>
                  </w:r>
                </w:p>
              </w:tc>
              <w:tc>
                <w:tcPr>
                  <w:tcW w:w="882" w:type="dxa"/>
                  <w:vAlign w:val="center"/>
                </w:tcPr>
                <w:p w14:paraId="72555E97">
                  <w:pPr>
                    <w:jc w:val="center"/>
                    <w:rPr>
                      <w:sz w:val="18"/>
                      <w:szCs w:val="18"/>
                    </w:rPr>
                  </w:pPr>
                  <w:r>
                    <w:rPr>
                      <w:sz w:val="18"/>
                      <w:szCs w:val="18"/>
                    </w:rPr>
                    <w:t>相符</w:t>
                  </w:r>
                </w:p>
              </w:tc>
            </w:tr>
            <w:tr w14:paraId="412304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4924E3B5">
                  <w:pPr>
                    <w:jc w:val="center"/>
                    <w:rPr>
                      <w:sz w:val="18"/>
                      <w:szCs w:val="18"/>
                    </w:rPr>
                  </w:pPr>
                  <w:r>
                    <w:rPr>
                      <w:sz w:val="18"/>
                      <w:szCs w:val="18"/>
                    </w:rPr>
                    <w:t>10</w:t>
                  </w:r>
                </w:p>
              </w:tc>
              <w:tc>
                <w:tcPr>
                  <w:tcW w:w="3556" w:type="dxa"/>
                  <w:vAlign w:val="center"/>
                </w:tcPr>
                <w:p w14:paraId="185DE091">
                  <w:pPr>
                    <w:rPr>
                      <w:sz w:val="18"/>
                      <w:szCs w:val="18"/>
                    </w:rPr>
                  </w:pPr>
                  <w:r>
                    <w:rPr>
                      <w:sz w:val="18"/>
                      <w:szCs w:val="18"/>
                    </w:rPr>
                    <w:t>禁止在太湖流域一、二、三级保护区内开展《江苏省太湖水污染防治条例》禁止的投资建设活动。</w:t>
                  </w:r>
                </w:p>
              </w:tc>
              <w:tc>
                <w:tcPr>
                  <w:tcW w:w="1785" w:type="dxa"/>
                  <w:vAlign w:val="center"/>
                </w:tcPr>
                <w:p w14:paraId="6FDBF7EA">
                  <w:pPr>
                    <w:rPr>
                      <w:sz w:val="18"/>
                      <w:szCs w:val="18"/>
                    </w:rPr>
                  </w:pPr>
                  <w:r>
                    <w:rPr>
                      <w:sz w:val="18"/>
                      <w:szCs w:val="18"/>
                    </w:rPr>
                    <w:t>项目位于</w:t>
                  </w:r>
                  <w:r>
                    <w:rPr>
                      <w:rFonts w:hint="eastAsia"/>
                      <w:sz w:val="18"/>
                      <w:szCs w:val="18"/>
                    </w:rPr>
                    <w:t>南通市通州区刘桥镇蒋一村十五组</w:t>
                  </w:r>
                  <w:r>
                    <w:rPr>
                      <w:sz w:val="18"/>
                      <w:szCs w:val="18"/>
                    </w:rPr>
                    <w:t>，不在太湖流域内。</w:t>
                  </w:r>
                </w:p>
              </w:tc>
              <w:tc>
                <w:tcPr>
                  <w:tcW w:w="882" w:type="dxa"/>
                  <w:vAlign w:val="center"/>
                </w:tcPr>
                <w:p w14:paraId="5542ECBB">
                  <w:pPr>
                    <w:jc w:val="center"/>
                    <w:rPr>
                      <w:sz w:val="18"/>
                      <w:szCs w:val="18"/>
                    </w:rPr>
                  </w:pPr>
                  <w:r>
                    <w:rPr>
                      <w:sz w:val="18"/>
                      <w:szCs w:val="18"/>
                    </w:rPr>
                    <w:t>相符</w:t>
                  </w:r>
                </w:p>
              </w:tc>
            </w:tr>
            <w:tr w14:paraId="3B2065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5ED16FF">
                  <w:pPr>
                    <w:jc w:val="center"/>
                    <w:rPr>
                      <w:sz w:val="18"/>
                      <w:szCs w:val="18"/>
                    </w:rPr>
                  </w:pPr>
                  <w:r>
                    <w:rPr>
                      <w:sz w:val="18"/>
                      <w:szCs w:val="18"/>
                    </w:rPr>
                    <w:t>11</w:t>
                  </w:r>
                </w:p>
              </w:tc>
              <w:tc>
                <w:tcPr>
                  <w:tcW w:w="3556" w:type="dxa"/>
                  <w:vAlign w:val="center"/>
                </w:tcPr>
                <w:p w14:paraId="77006846">
                  <w:pPr>
                    <w:rPr>
                      <w:sz w:val="18"/>
                      <w:szCs w:val="18"/>
                    </w:rPr>
                  </w:pPr>
                  <w:r>
                    <w:rPr>
                      <w:sz w:val="18"/>
                      <w:szCs w:val="18"/>
                    </w:rPr>
                    <w:t>禁止在沿江地区新建、扩建未纳入国家和省布局规划的燃煤发电项目。</w:t>
                  </w:r>
                </w:p>
              </w:tc>
              <w:tc>
                <w:tcPr>
                  <w:tcW w:w="1785" w:type="dxa"/>
                  <w:vAlign w:val="center"/>
                </w:tcPr>
                <w:p w14:paraId="7B9C2E0E">
                  <w:pPr>
                    <w:rPr>
                      <w:sz w:val="18"/>
                      <w:szCs w:val="18"/>
                    </w:rPr>
                  </w:pPr>
                  <w:r>
                    <w:rPr>
                      <w:sz w:val="18"/>
                      <w:szCs w:val="18"/>
                    </w:rPr>
                    <w:t>项目不属于燃煤发电项目。</w:t>
                  </w:r>
                </w:p>
              </w:tc>
              <w:tc>
                <w:tcPr>
                  <w:tcW w:w="882" w:type="dxa"/>
                  <w:vAlign w:val="center"/>
                </w:tcPr>
                <w:p w14:paraId="0ACCDAB9">
                  <w:pPr>
                    <w:jc w:val="center"/>
                    <w:rPr>
                      <w:sz w:val="18"/>
                      <w:szCs w:val="18"/>
                    </w:rPr>
                  </w:pPr>
                  <w:r>
                    <w:rPr>
                      <w:sz w:val="18"/>
                      <w:szCs w:val="18"/>
                    </w:rPr>
                    <w:t>相符</w:t>
                  </w:r>
                </w:p>
              </w:tc>
            </w:tr>
            <w:tr w14:paraId="595895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6162DB5">
                  <w:pPr>
                    <w:jc w:val="center"/>
                    <w:rPr>
                      <w:sz w:val="18"/>
                      <w:szCs w:val="18"/>
                    </w:rPr>
                  </w:pPr>
                  <w:r>
                    <w:rPr>
                      <w:sz w:val="18"/>
                      <w:szCs w:val="18"/>
                    </w:rPr>
                    <w:t>12</w:t>
                  </w:r>
                </w:p>
              </w:tc>
              <w:tc>
                <w:tcPr>
                  <w:tcW w:w="3556" w:type="dxa"/>
                  <w:vAlign w:val="center"/>
                </w:tcPr>
                <w:p w14:paraId="5DBFA363">
                  <w:pPr>
                    <w:rPr>
                      <w:sz w:val="18"/>
                      <w:szCs w:val="18"/>
                    </w:rPr>
                  </w:pPr>
                  <w:r>
                    <w:rPr>
                      <w:sz w:val="18"/>
                      <w:szCs w:val="18"/>
                    </w:rPr>
                    <w:t>禁止在合规园区外新建、扩建钢铁、石化、化工、焦化、建材、有色、制浆造纸等高污染项目。合规园区名录按照《</w:t>
                  </w:r>
                  <w:r>
                    <w:rPr>
                      <w:rFonts w:hint="eastAsia"/>
                      <w:sz w:val="18"/>
                      <w:szCs w:val="18"/>
                      <w:lang w:eastAsia="zh-CN"/>
                    </w:rPr>
                    <w:t>〈</w:t>
                  </w:r>
                  <w:r>
                    <w:rPr>
                      <w:sz w:val="18"/>
                      <w:szCs w:val="18"/>
                    </w:rPr>
                    <w:t>长江经济带发展负面清单指南（试行，2022年版）江苏省实施细则合规园区名录》执行</w:t>
                  </w:r>
                </w:p>
              </w:tc>
              <w:tc>
                <w:tcPr>
                  <w:tcW w:w="1785" w:type="dxa"/>
                  <w:vAlign w:val="center"/>
                </w:tcPr>
                <w:p w14:paraId="31287EF0">
                  <w:pPr>
                    <w:rPr>
                      <w:sz w:val="18"/>
                      <w:szCs w:val="18"/>
                    </w:rPr>
                  </w:pPr>
                  <w:r>
                    <w:rPr>
                      <w:sz w:val="18"/>
                      <w:szCs w:val="18"/>
                    </w:rPr>
                    <w:t>项目不属于钢铁、石化、化工、焦化、建材、有色、制浆造纸等高污染项目。</w:t>
                  </w:r>
                </w:p>
              </w:tc>
              <w:tc>
                <w:tcPr>
                  <w:tcW w:w="882" w:type="dxa"/>
                  <w:vAlign w:val="center"/>
                </w:tcPr>
                <w:p w14:paraId="3248278B">
                  <w:pPr>
                    <w:jc w:val="center"/>
                    <w:rPr>
                      <w:sz w:val="18"/>
                      <w:szCs w:val="18"/>
                    </w:rPr>
                  </w:pPr>
                  <w:r>
                    <w:rPr>
                      <w:sz w:val="18"/>
                      <w:szCs w:val="18"/>
                    </w:rPr>
                    <w:t>相符</w:t>
                  </w:r>
                </w:p>
              </w:tc>
            </w:tr>
            <w:tr w14:paraId="3264B4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7FDE9615">
                  <w:pPr>
                    <w:jc w:val="center"/>
                    <w:rPr>
                      <w:sz w:val="18"/>
                      <w:szCs w:val="18"/>
                    </w:rPr>
                  </w:pPr>
                  <w:r>
                    <w:rPr>
                      <w:sz w:val="18"/>
                      <w:szCs w:val="18"/>
                    </w:rPr>
                    <w:t>13</w:t>
                  </w:r>
                </w:p>
              </w:tc>
              <w:tc>
                <w:tcPr>
                  <w:tcW w:w="3556" w:type="dxa"/>
                  <w:vAlign w:val="center"/>
                </w:tcPr>
                <w:p w14:paraId="499503B9">
                  <w:pPr>
                    <w:rPr>
                      <w:sz w:val="18"/>
                      <w:szCs w:val="18"/>
                    </w:rPr>
                  </w:pPr>
                  <w:r>
                    <w:rPr>
                      <w:sz w:val="18"/>
                      <w:szCs w:val="18"/>
                    </w:rPr>
                    <w:t>禁止在取消化工定位的园区（集中区）内新建化工项目。</w:t>
                  </w:r>
                </w:p>
              </w:tc>
              <w:tc>
                <w:tcPr>
                  <w:tcW w:w="1785" w:type="dxa"/>
                  <w:vAlign w:val="center"/>
                </w:tcPr>
                <w:p w14:paraId="61A721F9">
                  <w:pPr>
                    <w:rPr>
                      <w:sz w:val="18"/>
                      <w:szCs w:val="18"/>
                    </w:rPr>
                  </w:pPr>
                  <w:r>
                    <w:rPr>
                      <w:sz w:val="18"/>
                      <w:szCs w:val="18"/>
                    </w:rPr>
                    <w:t>项目不属于化工项目。</w:t>
                  </w:r>
                </w:p>
              </w:tc>
              <w:tc>
                <w:tcPr>
                  <w:tcW w:w="882" w:type="dxa"/>
                  <w:vAlign w:val="center"/>
                </w:tcPr>
                <w:p w14:paraId="5D5C678F">
                  <w:pPr>
                    <w:jc w:val="center"/>
                    <w:rPr>
                      <w:sz w:val="18"/>
                      <w:szCs w:val="18"/>
                    </w:rPr>
                  </w:pPr>
                  <w:r>
                    <w:rPr>
                      <w:sz w:val="18"/>
                      <w:szCs w:val="18"/>
                    </w:rPr>
                    <w:t>相符</w:t>
                  </w:r>
                </w:p>
              </w:tc>
            </w:tr>
            <w:tr w14:paraId="09B30A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6DCF231">
                  <w:pPr>
                    <w:jc w:val="center"/>
                    <w:rPr>
                      <w:sz w:val="18"/>
                      <w:szCs w:val="18"/>
                    </w:rPr>
                  </w:pPr>
                  <w:r>
                    <w:rPr>
                      <w:sz w:val="18"/>
                      <w:szCs w:val="18"/>
                    </w:rPr>
                    <w:t>14</w:t>
                  </w:r>
                </w:p>
              </w:tc>
              <w:tc>
                <w:tcPr>
                  <w:tcW w:w="3556" w:type="dxa"/>
                  <w:vAlign w:val="center"/>
                </w:tcPr>
                <w:p w14:paraId="2DC2444F">
                  <w:pPr>
                    <w:rPr>
                      <w:sz w:val="18"/>
                      <w:szCs w:val="18"/>
                    </w:rPr>
                  </w:pPr>
                  <w:r>
                    <w:rPr>
                      <w:sz w:val="18"/>
                      <w:szCs w:val="18"/>
                    </w:rPr>
                    <w:t>禁止在化工企业周边建设不符合安全距离规定的劳动密集型的非化工项目和其他人员密集的公共设施项目。</w:t>
                  </w:r>
                </w:p>
              </w:tc>
              <w:tc>
                <w:tcPr>
                  <w:tcW w:w="1785" w:type="dxa"/>
                  <w:vAlign w:val="center"/>
                </w:tcPr>
                <w:p w14:paraId="461EC19E">
                  <w:pPr>
                    <w:rPr>
                      <w:sz w:val="18"/>
                      <w:szCs w:val="18"/>
                    </w:rPr>
                  </w:pPr>
                  <w:r>
                    <w:rPr>
                      <w:sz w:val="18"/>
                      <w:szCs w:val="18"/>
                    </w:rPr>
                    <w:t>项目周边无化工企业。</w:t>
                  </w:r>
                </w:p>
              </w:tc>
              <w:tc>
                <w:tcPr>
                  <w:tcW w:w="882" w:type="dxa"/>
                  <w:vAlign w:val="center"/>
                </w:tcPr>
                <w:p w14:paraId="0A27C933">
                  <w:pPr>
                    <w:jc w:val="center"/>
                    <w:rPr>
                      <w:sz w:val="18"/>
                      <w:szCs w:val="18"/>
                    </w:rPr>
                  </w:pPr>
                  <w:r>
                    <w:rPr>
                      <w:sz w:val="18"/>
                      <w:szCs w:val="18"/>
                    </w:rPr>
                    <w:t>相符</w:t>
                  </w:r>
                </w:p>
              </w:tc>
            </w:tr>
            <w:tr w14:paraId="686DCB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78" w:type="dxa"/>
                  <w:gridSpan w:val="4"/>
                  <w:vAlign w:val="center"/>
                </w:tcPr>
                <w:p w14:paraId="6C897CCB">
                  <w:pPr>
                    <w:jc w:val="center"/>
                    <w:rPr>
                      <w:sz w:val="18"/>
                      <w:szCs w:val="18"/>
                    </w:rPr>
                  </w:pPr>
                  <w:r>
                    <w:rPr>
                      <w:b/>
                      <w:bCs/>
                      <w:sz w:val="18"/>
                      <w:szCs w:val="18"/>
                    </w:rPr>
                    <w:t>三、产业发展</w:t>
                  </w:r>
                </w:p>
              </w:tc>
            </w:tr>
            <w:tr w14:paraId="76E324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5C26CE8C">
                  <w:pPr>
                    <w:jc w:val="center"/>
                    <w:rPr>
                      <w:sz w:val="18"/>
                      <w:szCs w:val="18"/>
                    </w:rPr>
                  </w:pPr>
                  <w:r>
                    <w:rPr>
                      <w:sz w:val="18"/>
                      <w:szCs w:val="18"/>
                    </w:rPr>
                    <w:t>15</w:t>
                  </w:r>
                </w:p>
              </w:tc>
              <w:tc>
                <w:tcPr>
                  <w:tcW w:w="3556" w:type="dxa"/>
                  <w:vAlign w:val="center"/>
                </w:tcPr>
                <w:p w14:paraId="7EE5ACC9">
                  <w:pPr>
                    <w:rPr>
                      <w:sz w:val="18"/>
                      <w:szCs w:val="18"/>
                    </w:rPr>
                  </w:pPr>
                  <w:r>
                    <w:rPr>
                      <w:sz w:val="18"/>
                      <w:szCs w:val="18"/>
                    </w:rPr>
                    <w:t>禁止新建、扩建不符合国家和省产业政策的尿素、磷铵、电石、烧碱、聚氯乙烯、纯碱等行业新增产能项目。</w:t>
                  </w:r>
                </w:p>
              </w:tc>
              <w:tc>
                <w:tcPr>
                  <w:tcW w:w="1785" w:type="dxa"/>
                  <w:vAlign w:val="center"/>
                </w:tcPr>
                <w:p w14:paraId="74171BE9">
                  <w:pPr>
                    <w:rPr>
                      <w:sz w:val="18"/>
                      <w:szCs w:val="18"/>
                    </w:rPr>
                  </w:pPr>
                  <w:r>
                    <w:rPr>
                      <w:sz w:val="18"/>
                      <w:szCs w:val="18"/>
                    </w:rPr>
                    <w:t>项目不属于尿素、磷铵、电石、烧碱、聚氯乙烯、纯碱等行业</w:t>
                  </w:r>
                </w:p>
              </w:tc>
              <w:tc>
                <w:tcPr>
                  <w:tcW w:w="882" w:type="dxa"/>
                  <w:vAlign w:val="center"/>
                </w:tcPr>
                <w:p w14:paraId="09A3C9D2">
                  <w:pPr>
                    <w:jc w:val="center"/>
                    <w:rPr>
                      <w:sz w:val="18"/>
                      <w:szCs w:val="18"/>
                    </w:rPr>
                  </w:pPr>
                  <w:r>
                    <w:rPr>
                      <w:sz w:val="18"/>
                      <w:szCs w:val="18"/>
                    </w:rPr>
                    <w:t>相符</w:t>
                  </w:r>
                </w:p>
              </w:tc>
            </w:tr>
            <w:tr w14:paraId="615933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655" w:type="dxa"/>
                  <w:vAlign w:val="center"/>
                </w:tcPr>
                <w:p w14:paraId="72D9A11C">
                  <w:pPr>
                    <w:jc w:val="center"/>
                    <w:rPr>
                      <w:sz w:val="18"/>
                      <w:szCs w:val="18"/>
                    </w:rPr>
                  </w:pPr>
                  <w:r>
                    <w:rPr>
                      <w:sz w:val="18"/>
                      <w:szCs w:val="18"/>
                    </w:rPr>
                    <w:t>16</w:t>
                  </w:r>
                </w:p>
              </w:tc>
              <w:tc>
                <w:tcPr>
                  <w:tcW w:w="3556" w:type="dxa"/>
                  <w:vAlign w:val="center"/>
                </w:tcPr>
                <w:p w14:paraId="46F3DF73">
                  <w:pPr>
                    <w:rPr>
                      <w:sz w:val="18"/>
                      <w:szCs w:val="18"/>
                    </w:rPr>
                  </w:pPr>
                  <w:r>
                    <w:rPr>
                      <w:sz w:val="18"/>
                      <w:szCs w:val="18"/>
                    </w:rPr>
                    <w:t>禁止新建、改建、扩建高毒、高残留以及对环境影响大的农药原药（化学合成类）项目，禁止新建、扩建不符合国家和省产业政策的农药、医药和染料中间体化工项目。</w:t>
                  </w:r>
                </w:p>
              </w:tc>
              <w:tc>
                <w:tcPr>
                  <w:tcW w:w="1785" w:type="dxa"/>
                  <w:vAlign w:val="center"/>
                </w:tcPr>
                <w:p w14:paraId="27FDD39B">
                  <w:pPr>
                    <w:rPr>
                      <w:sz w:val="18"/>
                      <w:szCs w:val="18"/>
                    </w:rPr>
                  </w:pPr>
                  <w:r>
                    <w:rPr>
                      <w:sz w:val="18"/>
                      <w:szCs w:val="18"/>
                    </w:rPr>
                    <w:t>项目不属于农药、医药和染料中间体化工项目。</w:t>
                  </w:r>
                </w:p>
              </w:tc>
              <w:tc>
                <w:tcPr>
                  <w:tcW w:w="882" w:type="dxa"/>
                  <w:vAlign w:val="center"/>
                </w:tcPr>
                <w:p w14:paraId="3583AE33">
                  <w:pPr>
                    <w:jc w:val="center"/>
                    <w:rPr>
                      <w:sz w:val="18"/>
                      <w:szCs w:val="18"/>
                    </w:rPr>
                  </w:pPr>
                  <w:r>
                    <w:rPr>
                      <w:sz w:val="18"/>
                      <w:szCs w:val="18"/>
                    </w:rPr>
                    <w:t>相符</w:t>
                  </w:r>
                </w:p>
              </w:tc>
            </w:tr>
            <w:tr w14:paraId="4401FE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D4174B7">
                  <w:pPr>
                    <w:jc w:val="center"/>
                    <w:rPr>
                      <w:sz w:val="18"/>
                      <w:szCs w:val="18"/>
                    </w:rPr>
                  </w:pPr>
                  <w:r>
                    <w:rPr>
                      <w:sz w:val="18"/>
                      <w:szCs w:val="18"/>
                    </w:rPr>
                    <w:t>17</w:t>
                  </w:r>
                </w:p>
              </w:tc>
              <w:tc>
                <w:tcPr>
                  <w:tcW w:w="3556" w:type="dxa"/>
                  <w:vAlign w:val="center"/>
                </w:tcPr>
                <w:p w14:paraId="1E171EB6">
                  <w:pPr>
                    <w:rPr>
                      <w:sz w:val="18"/>
                      <w:szCs w:val="18"/>
                    </w:rPr>
                  </w:pPr>
                  <w:r>
                    <w:rPr>
                      <w:sz w:val="18"/>
                      <w:szCs w:val="18"/>
                    </w:rPr>
                    <w:t>禁止新建、扩建不符合国家石化、现代煤化工等产业布局规划的项目，禁止新建独立焦化项目。</w:t>
                  </w:r>
                </w:p>
              </w:tc>
              <w:tc>
                <w:tcPr>
                  <w:tcW w:w="1785" w:type="dxa"/>
                  <w:vAlign w:val="center"/>
                </w:tcPr>
                <w:p w14:paraId="4D37DBBB">
                  <w:pPr>
                    <w:adjustRightInd w:val="0"/>
                    <w:snapToGrid w:val="0"/>
                    <w:rPr>
                      <w:sz w:val="18"/>
                      <w:szCs w:val="18"/>
                    </w:rPr>
                  </w:pPr>
                  <w:r>
                    <w:rPr>
                      <w:sz w:val="18"/>
                      <w:szCs w:val="18"/>
                    </w:rPr>
                    <w:t>项目不属于国家石化、现代煤化工等产业布局规划的项目。</w:t>
                  </w:r>
                </w:p>
              </w:tc>
              <w:tc>
                <w:tcPr>
                  <w:tcW w:w="882" w:type="dxa"/>
                  <w:vAlign w:val="center"/>
                </w:tcPr>
                <w:p w14:paraId="06EE609E">
                  <w:pPr>
                    <w:jc w:val="center"/>
                    <w:rPr>
                      <w:sz w:val="18"/>
                      <w:szCs w:val="18"/>
                    </w:rPr>
                  </w:pPr>
                  <w:r>
                    <w:rPr>
                      <w:sz w:val="18"/>
                      <w:szCs w:val="18"/>
                    </w:rPr>
                    <w:t>相符</w:t>
                  </w:r>
                </w:p>
              </w:tc>
            </w:tr>
            <w:tr w14:paraId="0E9FA2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71EAD733">
                  <w:pPr>
                    <w:jc w:val="center"/>
                    <w:rPr>
                      <w:sz w:val="18"/>
                      <w:szCs w:val="18"/>
                    </w:rPr>
                  </w:pPr>
                  <w:r>
                    <w:rPr>
                      <w:sz w:val="18"/>
                      <w:szCs w:val="18"/>
                    </w:rPr>
                    <w:t>18</w:t>
                  </w:r>
                </w:p>
              </w:tc>
              <w:tc>
                <w:tcPr>
                  <w:tcW w:w="3556" w:type="dxa"/>
                  <w:vAlign w:val="center"/>
                </w:tcPr>
                <w:p w14:paraId="2FB9C86C">
                  <w:pPr>
                    <w:rPr>
                      <w:sz w:val="18"/>
                      <w:szCs w:val="18"/>
                    </w:rPr>
                  </w:pPr>
                  <w:r>
                    <w:rPr>
                      <w:sz w:val="18"/>
                      <w:szCs w:val="18"/>
                    </w:rPr>
                    <w:t>禁止新建、扩建国家《产业结构调整指导目录》《江苏省产业结构调整限制、淘汰和禁止目录》明确的限制类、淘汰类、禁止类项目，法律法规和相关政策明令禁止的落后产能项目，以及明令淘汰的安全生产落后工艺及装备项目。</w:t>
                  </w:r>
                </w:p>
              </w:tc>
              <w:tc>
                <w:tcPr>
                  <w:tcW w:w="1785" w:type="dxa"/>
                  <w:vAlign w:val="center"/>
                </w:tcPr>
                <w:p w14:paraId="26B9ABAA">
                  <w:pPr>
                    <w:adjustRightInd w:val="0"/>
                    <w:snapToGrid w:val="0"/>
                    <w:rPr>
                      <w:sz w:val="18"/>
                      <w:szCs w:val="18"/>
                    </w:rPr>
                  </w:pPr>
                  <w:r>
                    <w:rPr>
                      <w:sz w:val="18"/>
                      <w:szCs w:val="18"/>
                    </w:rPr>
                    <w:t>项目不属于限制类、淘汰类、禁止类项目。</w:t>
                  </w:r>
                </w:p>
              </w:tc>
              <w:tc>
                <w:tcPr>
                  <w:tcW w:w="882" w:type="dxa"/>
                  <w:vAlign w:val="center"/>
                </w:tcPr>
                <w:p w14:paraId="32FDD71B">
                  <w:pPr>
                    <w:jc w:val="center"/>
                    <w:rPr>
                      <w:sz w:val="18"/>
                      <w:szCs w:val="18"/>
                    </w:rPr>
                  </w:pPr>
                  <w:r>
                    <w:rPr>
                      <w:sz w:val="18"/>
                      <w:szCs w:val="18"/>
                    </w:rPr>
                    <w:t>相符</w:t>
                  </w:r>
                </w:p>
              </w:tc>
            </w:tr>
            <w:tr w14:paraId="40EC0A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10756249">
                  <w:pPr>
                    <w:jc w:val="center"/>
                    <w:rPr>
                      <w:sz w:val="18"/>
                      <w:szCs w:val="18"/>
                    </w:rPr>
                  </w:pPr>
                  <w:r>
                    <w:rPr>
                      <w:sz w:val="18"/>
                      <w:szCs w:val="18"/>
                    </w:rPr>
                    <w:t>19</w:t>
                  </w:r>
                </w:p>
              </w:tc>
              <w:tc>
                <w:tcPr>
                  <w:tcW w:w="3556" w:type="dxa"/>
                  <w:vAlign w:val="center"/>
                </w:tcPr>
                <w:p w14:paraId="143991B0">
                  <w:pPr>
                    <w:rPr>
                      <w:sz w:val="18"/>
                      <w:szCs w:val="18"/>
                    </w:rPr>
                  </w:pPr>
                  <w:r>
                    <w:rPr>
                      <w:sz w:val="18"/>
                      <w:szCs w:val="18"/>
                    </w:rPr>
                    <w:t>禁止新建、扩建不符合国家产能置换要求的严重过剩产能行业的项目。禁止新建、扩建不符合要求的高耗能高排放项目。</w:t>
                  </w:r>
                </w:p>
              </w:tc>
              <w:tc>
                <w:tcPr>
                  <w:tcW w:w="1785" w:type="dxa"/>
                  <w:vAlign w:val="center"/>
                </w:tcPr>
                <w:p w14:paraId="165ABCD4">
                  <w:pPr>
                    <w:adjustRightInd w:val="0"/>
                    <w:snapToGrid w:val="0"/>
                    <w:rPr>
                      <w:sz w:val="18"/>
                      <w:szCs w:val="18"/>
                    </w:rPr>
                  </w:pPr>
                  <w:r>
                    <w:rPr>
                      <w:sz w:val="18"/>
                      <w:szCs w:val="18"/>
                    </w:rPr>
                    <w:t>项目不属于落后产能、严重过剩产能行业项目。</w:t>
                  </w:r>
                </w:p>
              </w:tc>
              <w:tc>
                <w:tcPr>
                  <w:tcW w:w="882" w:type="dxa"/>
                  <w:vAlign w:val="center"/>
                </w:tcPr>
                <w:p w14:paraId="39CD3074">
                  <w:pPr>
                    <w:jc w:val="center"/>
                    <w:rPr>
                      <w:sz w:val="18"/>
                      <w:szCs w:val="18"/>
                    </w:rPr>
                  </w:pPr>
                  <w:r>
                    <w:rPr>
                      <w:sz w:val="18"/>
                      <w:szCs w:val="18"/>
                    </w:rPr>
                    <w:t>相符</w:t>
                  </w:r>
                </w:p>
              </w:tc>
            </w:tr>
          </w:tbl>
          <w:p w14:paraId="5DDCD4C8">
            <w:pPr>
              <w:spacing w:line="360" w:lineRule="auto"/>
              <w:ind w:firstLine="422" w:firstLineChars="200"/>
              <w:rPr>
                <w:b/>
                <w:bCs/>
              </w:rPr>
            </w:pPr>
            <w:r>
              <w:rPr>
                <w:rFonts w:hint="eastAsia"/>
                <w:b/>
                <w:bCs/>
                <w:lang w:val="en-US" w:eastAsia="zh-CN"/>
              </w:rPr>
              <w:t>5</w:t>
            </w:r>
            <w:r>
              <w:rPr>
                <w:b/>
                <w:bCs/>
              </w:rPr>
              <w:t>、与《关于印发</w:t>
            </w:r>
            <w:r>
              <w:rPr>
                <w:rFonts w:hint="eastAsia"/>
                <w:b/>
                <w:bCs/>
                <w:lang w:eastAsia="zh-CN"/>
              </w:rPr>
              <w:t>〈</w:t>
            </w:r>
            <w:r>
              <w:rPr>
                <w:b/>
                <w:bCs/>
              </w:rPr>
              <w:t>重点行业挥发性有机物综合治理方案</w:t>
            </w:r>
            <w:r>
              <w:rPr>
                <w:rFonts w:hint="eastAsia"/>
                <w:b/>
                <w:bCs/>
                <w:lang w:eastAsia="zh-CN"/>
              </w:rPr>
              <w:t>〉</w:t>
            </w:r>
            <w:r>
              <w:rPr>
                <w:b/>
                <w:bCs/>
              </w:rPr>
              <w:t>的通知》（环大气〔2019〕53号）相符性</w:t>
            </w:r>
          </w:p>
          <w:p w14:paraId="3BA98A82">
            <w:pPr>
              <w:spacing w:line="360" w:lineRule="auto"/>
              <w:ind w:firstLine="420" w:firstLineChars="200"/>
            </w:pPr>
            <w:r>
              <w:t>根据《关于印发</w:t>
            </w:r>
            <w:r>
              <w:rPr>
                <w:rFonts w:hint="eastAsia"/>
                <w:lang w:eastAsia="zh-CN"/>
              </w:rPr>
              <w:t>〈</w:t>
            </w:r>
            <w:r>
              <w:t>重点行业挥发性有机物综合治理方案</w:t>
            </w:r>
            <w:r>
              <w:rPr>
                <w:rFonts w:hint="eastAsia"/>
                <w:lang w:eastAsia="zh-CN"/>
              </w:rPr>
              <w:t>〉</w:t>
            </w:r>
            <w:r>
              <w:t>的通知》（环大气〔2019〕53号）中明确要求</w:t>
            </w:r>
            <w:r>
              <w:rPr>
                <w:rFonts w:hint="eastAsia"/>
                <w:lang w:eastAsia="zh-CN"/>
              </w:rPr>
              <w:t>“</w:t>
            </w:r>
            <w:r>
              <w:t>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r>
              <w:rPr>
                <w:rFonts w:hint="eastAsia"/>
                <w:lang w:eastAsia="zh-CN"/>
              </w:rPr>
              <w:t>”</w:t>
            </w:r>
            <w:r>
              <w:t>。</w:t>
            </w:r>
          </w:p>
          <w:p w14:paraId="0FEC068C">
            <w:pPr>
              <w:spacing w:line="360" w:lineRule="auto"/>
              <w:ind w:firstLine="420" w:firstLineChars="200"/>
              <w:rPr>
                <w:color w:val="auto"/>
              </w:rPr>
            </w:pPr>
            <w:r>
              <w:rPr>
                <w:color w:val="auto"/>
              </w:rPr>
              <w:t>本项目含VOCs物料储存于密闭容器中，</w:t>
            </w:r>
            <w:r>
              <w:rPr>
                <w:color w:val="auto"/>
                <w:szCs w:val="21"/>
              </w:rPr>
              <w:t>有机废气采用</w:t>
            </w:r>
            <w:r>
              <w:rPr>
                <w:rFonts w:hint="eastAsia"/>
                <w:color w:val="auto"/>
                <w:szCs w:val="21"/>
              </w:rPr>
              <w:t>“</w:t>
            </w:r>
            <w:r>
              <w:rPr>
                <w:rFonts w:hint="eastAsia"/>
                <w:color w:val="auto"/>
                <w:szCs w:val="21"/>
                <w:lang w:eastAsia="zh-CN"/>
              </w:rPr>
              <w:t>水喷淋</w:t>
            </w:r>
            <w:r>
              <w:rPr>
                <w:rFonts w:hint="eastAsia"/>
                <w:color w:val="auto"/>
                <w:szCs w:val="21"/>
                <w:lang w:val="en-US" w:eastAsia="zh-CN"/>
              </w:rPr>
              <w:t>+除雾除湿设施+</w:t>
            </w:r>
            <w:r>
              <w:rPr>
                <w:color w:val="auto"/>
                <w:szCs w:val="21"/>
              </w:rPr>
              <w:t>二级活性炭吸附</w:t>
            </w:r>
            <w:r>
              <w:rPr>
                <w:rFonts w:hint="eastAsia"/>
                <w:color w:val="auto"/>
                <w:szCs w:val="21"/>
              </w:rPr>
              <w:t>”</w:t>
            </w:r>
            <w:r>
              <w:rPr>
                <w:color w:val="auto"/>
                <w:szCs w:val="21"/>
              </w:rPr>
              <w:t>设备处理；厂内加强通风，未收集的废气无组织排放。因此本项目符合《关于印发</w:t>
            </w:r>
            <w:r>
              <w:rPr>
                <w:rFonts w:hint="eastAsia"/>
                <w:color w:val="auto"/>
                <w:szCs w:val="21"/>
                <w:lang w:eastAsia="zh-CN"/>
              </w:rPr>
              <w:t>〈</w:t>
            </w:r>
            <w:r>
              <w:rPr>
                <w:color w:val="auto"/>
                <w:szCs w:val="21"/>
              </w:rPr>
              <w:t>重点行业挥发性有机物综合治理方案</w:t>
            </w:r>
            <w:r>
              <w:rPr>
                <w:rFonts w:hint="eastAsia"/>
                <w:color w:val="auto"/>
                <w:szCs w:val="21"/>
                <w:lang w:eastAsia="zh-CN"/>
              </w:rPr>
              <w:t>〉</w:t>
            </w:r>
            <w:r>
              <w:rPr>
                <w:color w:val="auto"/>
                <w:szCs w:val="21"/>
              </w:rPr>
              <w:t>的通知》（环大气〔2019〕53号）的要求。</w:t>
            </w:r>
          </w:p>
          <w:p w14:paraId="2461E12C">
            <w:pPr>
              <w:pStyle w:val="2"/>
              <w:spacing w:after="0" w:line="360" w:lineRule="auto"/>
              <w:ind w:firstLine="422" w:firstLineChars="200"/>
              <w:rPr>
                <w:rFonts w:ascii="Times New Roman" w:hAnsi="Times New Roman"/>
                <w:b/>
                <w:bCs/>
                <w:sz w:val="21"/>
                <w:szCs w:val="21"/>
              </w:rPr>
            </w:pPr>
            <w:r>
              <w:rPr>
                <w:rFonts w:hint="eastAsia" w:ascii="Times New Roman" w:hAnsi="Times New Roman"/>
                <w:b/>
                <w:bCs/>
                <w:sz w:val="21"/>
                <w:szCs w:val="21"/>
                <w:lang w:val="en-US" w:eastAsia="zh-CN"/>
              </w:rPr>
              <w:t>6</w:t>
            </w:r>
            <w:r>
              <w:rPr>
                <w:rFonts w:ascii="Times New Roman" w:hAnsi="Times New Roman"/>
                <w:b/>
                <w:bCs/>
                <w:sz w:val="21"/>
                <w:szCs w:val="21"/>
              </w:rPr>
              <w:t>、</w:t>
            </w:r>
            <w:r>
              <w:rPr>
                <w:rFonts w:hint="eastAsia" w:ascii="Times New Roman" w:hAnsi="Times New Roman"/>
                <w:b/>
                <w:bCs/>
                <w:sz w:val="21"/>
                <w:szCs w:val="21"/>
                <w:lang w:eastAsia="zh-CN"/>
              </w:rPr>
              <w:t>与</w:t>
            </w:r>
            <w:r>
              <w:rPr>
                <w:rFonts w:ascii="Times New Roman" w:hAnsi="Times New Roman"/>
                <w:b/>
                <w:bCs/>
                <w:sz w:val="21"/>
                <w:szCs w:val="21"/>
              </w:rPr>
              <w:t xml:space="preserve">《江苏省重点行业挥发性有机物污染控制指南》相符性 </w:t>
            </w:r>
          </w:p>
          <w:p w14:paraId="011028E8">
            <w:pPr>
              <w:spacing w:line="360" w:lineRule="auto"/>
              <w:ind w:firstLine="420" w:firstLineChars="200"/>
            </w:pPr>
            <w:r>
              <w:t>对照《江苏省重点行业挥发性有机物污染控制指南》（苏环办</w:t>
            </w:r>
            <w:r>
              <w:rPr>
                <w:rFonts w:hint="eastAsia"/>
                <w:lang w:eastAsia="zh-CN"/>
              </w:rPr>
              <w:t>〔</w:t>
            </w:r>
            <w:r>
              <w:t>2014</w:t>
            </w:r>
            <w:r>
              <w:rPr>
                <w:rFonts w:hint="eastAsia"/>
                <w:lang w:eastAsia="zh-CN"/>
              </w:rPr>
              <w:t>〕</w:t>
            </w:r>
            <w:r>
              <w:t>128号）中提出“有机化工、医药化工、橡胶和塑料制品（有溶剂浸胶工艺）、溶剂型涂料表面涂装、包装印刷业的VOCs总收集、净化处理率均不低于90%，其他行业原则上不低于75%”。</w:t>
            </w:r>
          </w:p>
          <w:p w14:paraId="7C80B9C0">
            <w:pPr>
              <w:spacing w:line="360" w:lineRule="auto"/>
              <w:ind w:firstLine="420" w:firstLineChars="200"/>
              <w:rPr>
                <w:color w:val="auto"/>
              </w:rPr>
            </w:pPr>
            <w:r>
              <w:rPr>
                <w:color w:val="auto"/>
              </w:rPr>
              <w:t>本项目通过对生产车间的合理布局，</w:t>
            </w:r>
            <w:r>
              <w:rPr>
                <w:rFonts w:hint="eastAsia"/>
                <w:color w:val="auto"/>
                <w:lang w:eastAsia="zh-CN"/>
              </w:rPr>
              <w:t>有机</w:t>
            </w:r>
            <w:r>
              <w:rPr>
                <w:rFonts w:hint="eastAsia"/>
                <w:color w:val="auto"/>
              </w:rPr>
              <w:t>废气采用密闭负压收集，</w:t>
            </w:r>
            <w:r>
              <w:rPr>
                <w:color w:val="auto"/>
              </w:rPr>
              <w:t>并采用“</w:t>
            </w:r>
            <w:r>
              <w:rPr>
                <w:rFonts w:hint="eastAsia"/>
                <w:color w:val="auto"/>
                <w:szCs w:val="21"/>
                <w:lang w:eastAsia="zh-CN"/>
              </w:rPr>
              <w:t>水喷淋</w:t>
            </w:r>
            <w:r>
              <w:rPr>
                <w:rFonts w:hint="eastAsia"/>
                <w:color w:val="auto"/>
                <w:szCs w:val="21"/>
                <w:lang w:val="en-US" w:eastAsia="zh-CN"/>
              </w:rPr>
              <w:t>+除雾除湿设施+</w:t>
            </w:r>
            <w:r>
              <w:rPr>
                <w:color w:val="auto"/>
              </w:rPr>
              <w:t>二级活性炭吸附”处理</w:t>
            </w:r>
            <w:r>
              <w:rPr>
                <w:rFonts w:hint="eastAsia"/>
                <w:color w:val="auto"/>
              </w:rPr>
              <w:t>，</w:t>
            </w:r>
            <w:r>
              <w:rPr>
                <w:color w:val="auto"/>
              </w:rPr>
              <w:t>有机废气（收集效率90%，处理效率可达90%），符合《江苏省重点行业挥发性有机物污染控制指南》（苏环办〔2014〕128号）中的相关要求。</w:t>
            </w:r>
          </w:p>
          <w:p w14:paraId="11D64B33">
            <w:pPr>
              <w:adjustRightInd w:val="0"/>
              <w:snapToGrid w:val="0"/>
              <w:spacing w:line="500" w:lineRule="exact"/>
              <w:ind w:firstLine="422" w:firstLineChars="200"/>
              <w:rPr>
                <w:b/>
                <w:bCs/>
                <w:szCs w:val="21"/>
              </w:rPr>
            </w:pPr>
            <w:r>
              <w:rPr>
                <w:rFonts w:hint="eastAsia"/>
                <w:b/>
                <w:bCs/>
                <w:szCs w:val="21"/>
                <w:lang w:val="en-US" w:eastAsia="zh-CN"/>
              </w:rPr>
              <w:t>7</w:t>
            </w:r>
            <w:r>
              <w:rPr>
                <w:b/>
                <w:bCs/>
                <w:szCs w:val="21"/>
              </w:rPr>
              <w:t>、与《江苏省大气污染防治条例》的相符性分析</w:t>
            </w:r>
          </w:p>
          <w:p w14:paraId="2F2A70BA">
            <w:pPr>
              <w:adjustRightInd w:val="0"/>
              <w:snapToGrid w:val="0"/>
              <w:spacing w:line="500" w:lineRule="exact"/>
              <w:ind w:firstLine="420" w:firstLineChars="200"/>
              <w:rPr>
                <w:kern w:val="0"/>
                <w:szCs w:val="21"/>
              </w:rPr>
            </w:pPr>
            <w:r>
              <w:rPr>
                <w:kern w:val="0"/>
                <w:szCs w:val="21"/>
              </w:rPr>
              <w:t>拟建项目对照《江苏省大气污染防治条例》要求：产生挥发性有机物的生产经营活动，应当在密闭空间或者设备中进行，并设置废气收集和处理系统等污染防治设施，保持其正常使用；造船等无法在密闭空间进行的生产经营活动，应当采取有效措施，减少挥发性有机物排放量。</w:t>
            </w:r>
          </w:p>
          <w:p w14:paraId="160A4823">
            <w:pPr>
              <w:adjustRightInd w:val="0"/>
              <w:snapToGrid w:val="0"/>
              <w:spacing w:line="500" w:lineRule="exact"/>
              <w:ind w:firstLine="420" w:firstLineChars="200"/>
              <w:rPr>
                <w:color w:val="auto"/>
                <w:kern w:val="0"/>
                <w:szCs w:val="21"/>
              </w:rPr>
            </w:pPr>
            <w:r>
              <w:rPr>
                <w:color w:val="auto"/>
                <w:kern w:val="0"/>
                <w:szCs w:val="21"/>
              </w:rPr>
              <w:t>本项目VOCs物料储存于密闭容器中，</w:t>
            </w:r>
            <w:r>
              <w:rPr>
                <w:rFonts w:hint="eastAsia"/>
                <w:color w:val="auto"/>
                <w:kern w:val="0"/>
                <w:szCs w:val="21"/>
                <w:lang w:eastAsia="zh-CN"/>
              </w:rPr>
              <w:t>有机</w:t>
            </w:r>
            <w:r>
              <w:rPr>
                <w:rFonts w:hint="eastAsia"/>
                <w:color w:val="auto"/>
                <w:kern w:val="0"/>
                <w:szCs w:val="21"/>
              </w:rPr>
              <w:t>废气采用负压收集后</w:t>
            </w:r>
            <w:r>
              <w:rPr>
                <w:color w:val="auto"/>
                <w:kern w:val="0"/>
                <w:szCs w:val="21"/>
              </w:rPr>
              <w:t>采用</w:t>
            </w:r>
            <w:r>
              <w:rPr>
                <w:rFonts w:hint="eastAsia"/>
                <w:color w:val="auto"/>
                <w:kern w:val="0"/>
                <w:szCs w:val="21"/>
              </w:rPr>
              <w:t>“</w:t>
            </w:r>
            <w:r>
              <w:rPr>
                <w:rFonts w:hint="eastAsia"/>
                <w:color w:val="auto"/>
                <w:szCs w:val="21"/>
                <w:lang w:eastAsia="zh-CN"/>
              </w:rPr>
              <w:t>水喷淋</w:t>
            </w:r>
            <w:r>
              <w:rPr>
                <w:rFonts w:hint="eastAsia"/>
                <w:color w:val="auto"/>
                <w:szCs w:val="21"/>
                <w:lang w:val="en-US" w:eastAsia="zh-CN"/>
              </w:rPr>
              <w:t>+除雾除湿设施+</w:t>
            </w:r>
            <w:r>
              <w:rPr>
                <w:color w:val="auto"/>
              </w:rPr>
              <w:t>二级活性炭吸附”</w:t>
            </w:r>
            <w:r>
              <w:rPr>
                <w:color w:val="auto"/>
                <w:kern w:val="0"/>
                <w:szCs w:val="21"/>
              </w:rPr>
              <w:t>工艺，可以有效处理有机废气，因此，项目符合《江苏省大气污染防治条例》中相关要求。</w:t>
            </w:r>
          </w:p>
          <w:p w14:paraId="11AD8846">
            <w:pPr>
              <w:snapToGrid w:val="0"/>
              <w:spacing w:line="500" w:lineRule="exact"/>
              <w:ind w:firstLine="422" w:firstLineChars="200"/>
              <w:rPr>
                <w:b/>
                <w:bCs/>
                <w:szCs w:val="21"/>
              </w:rPr>
            </w:pPr>
            <w:r>
              <w:rPr>
                <w:rFonts w:hint="eastAsia"/>
                <w:b/>
                <w:bCs/>
                <w:szCs w:val="21"/>
                <w:lang w:val="en-US" w:eastAsia="zh-CN"/>
              </w:rPr>
              <w:t>8</w:t>
            </w:r>
            <w:r>
              <w:rPr>
                <w:b/>
                <w:bCs/>
                <w:szCs w:val="21"/>
              </w:rPr>
              <w:t>、与《关于加强高耗能、高排放建设项目生态环境源头防控的指导意见》（环环评〔2021〕45号）相符性分析</w:t>
            </w:r>
          </w:p>
          <w:p w14:paraId="41111EE4">
            <w:pPr>
              <w:adjustRightInd w:val="0"/>
              <w:snapToGrid w:val="0"/>
              <w:spacing w:line="500" w:lineRule="exact"/>
              <w:ind w:firstLine="420" w:firstLineChars="200"/>
            </w:pPr>
            <w:r>
              <w:rPr>
                <w:kern w:val="0"/>
                <w:szCs w:val="21"/>
              </w:rPr>
              <w:t>对照《关于加强高耗能、高排放建设项目生态环境源头防控的指导意见》（环环评〔2021〕45号），本项目与</w:t>
            </w:r>
            <w:bookmarkStart w:id="2" w:name="OLE_LINK131"/>
            <w:r>
              <w:rPr>
                <w:kern w:val="0"/>
                <w:szCs w:val="21"/>
              </w:rPr>
              <w:t>《关于加强高耗能、高排放建设项目生态环境源头防控的指导意见》（环环评〔2021〕45号）相符性分析</w:t>
            </w:r>
            <w:bookmarkEnd w:id="2"/>
            <w:r>
              <w:rPr>
                <w:kern w:val="0"/>
                <w:szCs w:val="21"/>
              </w:rPr>
              <w:t>见表1-</w:t>
            </w:r>
            <w:r>
              <w:rPr>
                <w:rFonts w:hint="eastAsia"/>
                <w:kern w:val="0"/>
                <w:szCs w:val="21"/>
                <w:lang w:val="en-US" w:eastAsia="zh-CN"/>
              </w:rPr>
              <w:t>6</w:t>
            </w:r>
            <w:r>
              <w:rPr>
                <w:kern w:val="0"/>
                <w:szCs w:val="21"/>
              </w:rPr>
              <w:t>。</w:t>
            </w:r>
          </w:p>
          <w:p w14:paraId="4C34622E">
            <w:pPr>
              <w:spacing w:line="500" w:lineRule="exact"/>
              <w:ind w:firstLine="422" w:firstLineChars="200"/>
              <w:jc w:val="center"/>
              <w:rPr>
                <w:b/>
                <w:szCs w:val="21"/>
              </w:rPr>
            </w:pPr>
            <w:r>
              <w:rPr>
                <w:b/>
                <w:szCs w:val="21"/>
              </w:rPr>
              <w:t>表1-</w:t>
            </w:r>
            <w:r>
              <w:rPr>
                <w:rFonts w:hint="eastAsia"/>
                <w:b/>
                <w:szCs w:val="21"/>
                <w:lang w:val="en-US" w:eastAsia="zh-CN"/>
              </w:rPr>
              <w:t>4</w:t>
            </w:r>
            <w:r>
              <w:rPr>
                <w:rFonts w:hint="eastAsia"/>
                <w:b/>
                <w:szCs w:val="21"/>
              </w:rPr>
              <w:t xml:space="preserve"> </w:t>
            </w:r>
            <w:r>
              <w:rPr>
                <w:b/>
                <w:szCs w:val="21"/>
              </w:rPr>
              <w:t>项目与环环评〔2021〕45号相符性分析</w:t>
            </w:r>
          </w:p>
          <w:tbl>
            <w:tblPr>
              <w:tblStyle w:val="16"/>
              <w:tblW w:w="69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2566"/>
              <w:gridCol w:w="1185"/>
            </w:tblGrid>
            <w:tr w14:paraId="1203F4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227" w:type="dxa"/>
                  <w:vAlign w:val="center"/>
                </w:tcPr>
                <w:p w14:paraId="5DF90309">
                  <w:pPr>
                    <w:tabs>
                      <w:tab w:val="left" w:pos="6379"/>
                    </w:tabs>
                    <w:overflowPunct w:val="0"/>
                    <w:adjustRightInd w:val="0"/>
                    <w:snapToGrid w:val="0"/>
                    <w:jc w:val="center"/>
                    <w:rPr>
                      <w:sz w:val="18"/>
                      <w:szCs w:val="21"/>
                    </w:rPr>
                  </w:pPr>
                  <w:r>
                    <w:rPr>
                      <w:sz w:val="18"/>
                      <w:szCs w:val="21"/>
                    </w:rPr>
                    <w:t>相关要求</w:t>
                  </w:r>
                </w:p>
              </w:tc>
              <w:tc>
                <w:tcPr>
                  <w:tcW w:w="2566" w:type="dxa"/>
                  <w:vAlign w:val="center"/>
                </w:tcPr>
                <w:p w14:paraId="1D86BD3D">
                  <w:pPr>
                    <w:tabs>
                      <w:tab w:val="left" w:pos="6379"/>
                    </w:tabs>
                    <w:overflowPunct w:val="0"/>
                    <w:adjustRightInd w:val="0"/>
                    <w:snapToGrid w:val="0"/>
                    <w:jc w:val="center"/>
                    <w:rPr>
                      <w:sz w:val="18"/>
                      <w:szCs w:val="21"/>
                    </w:rPr>
                  </w:pPr>
                  <w:r>
                    <w:rPr>
                      <w:sz w:val="18"/>
                      <w:szCs w:val="21"/>
                    </w:rPr>
                    <w:t>相符性分析</w:t>
                  </w:r>
                </w:p>
              </w:tc>
              <w:tc>
                <w:tcPr>
                  <w:tcW w:w="1185" w:type="dxa"/>
                  <w:vAlign w:val="center"/>
                </w:tcPr>
                <w:p w14:paraId="012C0961">
                  <w:pPr>
                    <w:tabs>
                      <w:tab w:val="left" w:pos="6379"/>
                    </w:tabs>
                    <w:overflowPunct w:val="0"/>
                    <w:adjustRightInd w:val="0"/>
                    <w:snapToGrid w:val="0"/>
                    <w:jc w:val="center"/>
                    <w:rPr>
                      <w:sz w:val="18"/>
                      <w:szCs w:val="21"/>
                    </w:rPr>
                  </w:pPr>
                  <w:r>
                    <w:rPr>
                      <w:sz w:val="18"/>
                      <w:szCs w:val="21"/>
                    </w:rPr>
                    <w:t>符合情况</w:t>
                  </w:r>
                </w:p>
              </w:tc>
            </w:tr>
            <w:tr w14:paraId="581EF5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227" w:type="dxa"/>
                  <w:vAlign w:val="center"/>
                </w:tcPr>
                <w:p w14:paraId="47851774">
                  <w:pPr>
                    <w:tabs>
                      <w:tab w:val="left" w:pos="6379"/>
                    </w:tabs>
                    <w:overflowPunct w:val="0"/>
                    <w:adjustRightInd w:val="0"/>
                    <w:snapToGrid w:val="0"/>
                    <w:jc w:val="center"/>
                    <w:rPr>
                      <w:sz w:val="18"/>
                      <w:szCs w:val="21"/>
                    </w:rPr>
                  </w:pPr>
                  <w:r>
                    <w:rPr>
                      <w:sz w:val="18"/>
                      <w:szCs w:val="21"/>
                    </w:rPr>
                    <w:t>坚决遏制高耗能、高排放（以下简称“两高”）项目盲目发展</w:t>
                  </w:r>
                </w:p>
              </w:tc>
              <w:tc>
                <w:tcPr>
                  <w:tcW w:w="2566" w:type="dxa"/>
                  <w:vAlign w:val="center"/>
                </w:tcPr>
                <w:p w14:paraId="3FA4CE4F">
                  <w:pPr>
                    <w:tabs>
                      <w:tab w:val="left" w:pos="6379"/>
                    </w:tabs>
                    <w:overflowPunct w:val="0"/>
                    <w:adjustRightInd w:val="0"/>
                    <w:snapToGrid w:val="0"/>
                    <w:jc w:val="center"/>
                    <w:rPr>
                      <w:sz w:val="18"/>
                      <w:szCs w:val="21"/>
                    </w:rPr>
                  </w:pPr>
                  <w:r>
                    <w:rPr>
                      <w:sz w:val="18"/>
                      <w:szCs w:val="21"/>
                    </w:rPr>
                    <w:t>本项目不属于“两高”项目</w:t>
                  </w:r>
                </w:p>
              </w:tc>
              <w:tc>
                <w:tcPr>
                  <w:tcW w:w="1185" w:type="dxa"/>
                  <w:vAlign w:val="center"/>
                </w:tcPr>
                <w:p w14:paraId="7ACF5011">
                  <w:pPr>
                    <w:tabs>
                      <w:tab w:val="left" w:pos="6379"/>
                    </w:tabs>
                    <w:overflowPunct w:val="0"/>
                    <w:adjustRightInd w:val="0"/>
                    <w:snapToGrid w:val="0"/>
                    <w:jc w:val="center"/>
                    <w:rPr>
                      <w:sz w:val="18"/>
                      <w:szCs w:val="21"/>
                    </w:rPr>
                  </w:pPr>
                  <w:bookmarkStart w:id="3" w:name="OLE_LINK133"/>
                  <w:r>
                    <w:rPr>
                      <w:sz w:val="18"/>
                      <w:szCs w:val="21"/>
                    </w:rPr>
                    <w:t>符合</w:t>
                  </w:r>
                  <w:bookmarkEnd w:id="3"/>
                </w:p>
              </w:tc>
            </w:tr>
            <w:tr w14:paraId="77D4DD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27" w:type="dxa"/>
                  <w:vAlign w:val="center"/>
                </w:tcPr>
                <w:p w14:paraId="4D873AC3">
                  <w:pPr>
                    <w:tabs>
                      <w:tab w:val="left" w:pos="6379"/>
                    </w:tabs>
                    <w:overflowPunct w:val="0"/>
                    <w:adjustRightInd w:val="0"/>
                    <w:snapToGrid w:val="0"/>
                    <w:jc w:val="center"/>
                    <w:rPr>
                      <w:sz w:val="18"/>
                      <w:szCs w:val="21"/>
                    </w:rPr>
                  </w:pPr>
                  <w:r>
                    <w:rPr>
                      <w:sz w:val="18"/>
                      <w:szCs w:val="21"/>
                    </w:rPr>
                    <w:t>严格“两高”项目环评审批</w:t>
                  </w:r>
                </w:p>
              </w:tc>
              <w:tc>
                <w:tcPr>
                  <w:tcW w:w="2566" w:type="dxa"/>
                  <w:vAlign w:val="center"/>
                </w:tcPr>
                <w:p w14:paraId="1C42FBA9">
                  <w:pPr>
                    <w:tabs>
                      <w:tab w:val="left" w:pos="6379"/>
                    </w:tabs>
                    <w:overflowPunct w:val="0"/>
                    <w:adjustRightInd w:val="0"/>
                    <w:snapToGrid w:val="0"/>
                    <w:jc w:val="center"/>
                    <w:rPr>
                      <w:sz w:val="18"/>
                      <w:szCs w:val="21"/>
                    </w:rPr>
                  </w:pPr>
                  <w:r>
                    <w:rPr>
                      <w:sz w:val="18"/>
                      <w:szCs w:val="21"/>
                    </w:rPr>
                    <w:t>本项目不属于“两高”项目</w:t>
                  </w:r>
                </w:p>
              </w:tc>
              <w:tc>
                <w:tcPr>
                  <w:tcW w:w="1185" w:type="dxa"/>
                  <w:vAlign w:val="center"/>
                </w:tcPr>
                <w:p w14:paraId="7B1AF8DF">
                  <w:pPr>
                    <w:tabs>
                      <w:tab w:val="left" w:pos="6379"/>
                    </w:tabs>
                    <w:overflowPunct w:val="0"/>
                    <w:adjustRightInd w:val="0"/>
                    <w:snapToGrid w:val="0"/>
                    <w:jc w:val="center"/>
                    <w:rPr>
                      <w:sz w:val="18"/>
                      <w:szCs w:val="21"/>
                    </w:rPr>
                  </w:pPr>
                  <w:r>
                    <w:rPr>
                      <w:sz w:val="18"/>
                      <w:szCs w:val="21"/>
                    </w:rPr>
                    <w:t>符合</w:t>
                  </w:r>
                </w:p>
              </w:tc>
            </w:tr>
            <w:tr w14:paraId="2BEB49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227" w:type="dxa"/>
                  <w:vAlign w:val="center"/>
                </w:tcPr>
                <w:p w14:paraId="2FF067AD">
                  <w:pPr>
                    <w:tabs>
                      <w:tab w:val="left" w:pos="6379"/>
                    </w:tabs>
                    <w:overflowPunct w:val="0"/>
                    <w:adjustRightInd w:val="0"/>
                    <w:snapToGrid w:val="0"/>
                    <w:jc w:val="center"/>
                    <w:rPr>
                      <w:sz w:val="18"/>
                      <w:szCs w:val="21"/>
                    </w:rPr>
                  </w:pPr>
                  <w:r>
                    <w:rPr>
                      <w:sz w:val="18"/>
                      <w:szCs w:val="21"/>
                    </w:rPr>
                    <w:t>推进“两高”行业减污降碳协同控制</w:t>
                  </w:r>
                </w:p>
              </w:tc>
              <w:tc>
                <w:tcPr>
                  <w:tcW w:w="2566" w:type="dxa"/>
                  <w:vAlign w:val="center"/>
                </w:tcPr>
                <w:p w14:paraId="20367DA9">
                  <w:pPr>
                    <w:tabs>
                      <w:tab w:val="left" w:pos="6379"/>
                    </w:tabs>
                    <w:overflowPunct w:val="0"/>
                    <w:adjustRightInd w:val="0"/>
                    <w:snapToGrid w:val="0"/>
                    <w:jc w:val="center"/>
                    <w:rPr>
                      <w:sz w:val="18"/>
                      <w:szCs w:val="21"/>
                    </w:rPr>
                  </w:pPr>
                  <w:r>
                    <w:rPr>
                      <w:sz w:val="18"/>
                      <w:szCs w:val="21"/>
                    </w:rPr>
                    <w:t>本项目不属于“两高”项目</w:t>
                  </w:r>
                </w:p>
              </w:tc>
              <w:tc>
                <w:tcPr>
                  <w:tcW w:w="1185" w:type="dxa"/>
                  <w:vAlign w:val="center"/>
                </w:tcPr>
                <w:p w14:paraId="1BE31C5D">
                  <w:pPr>
                    <w:tabs>
                      <w:tab w:val="left" w:pos="6379"/>
                    </w:tabs>
                    <w:overflowPunct w:val="0"/>
                    <w:adjustRightInd w:val="0"/>
                    <w:snapToGrid w:val="0"/>
                    <w:jc w:val="center"/>
                    <w:rPr>
                      <w:sz w:val="18"/>
                      <w:szCs w:val="21"/>
                    </w:rPr>
                  </w:pPr>
                  <w:r>
                    <w:rPr>
                      <w:sz w:val="18"/>
                      <w:szCs w:val="21"/>
                    </w:rPr>
                    <w:t>符合</w:t>
                  </w:r>
                </w:p>
              </w:tc>
            </w:tr>
            <w:tr w14:paraId="3EB3DD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27" w:type="dxa"/>
                  <w:vAlign w:val="center"/>
                </w:tcPr>
                <w:p w14:paraId="36F3F9B2">
                  <w:pPr>
                    <w:tabs>
                      <w:tab w:val="left" w:pos="6379"/>
                    </w:tabs>
                    <w:overflowPunct w:val="0"/>
                    <w:adjustRightInd w:val="0"/>
                    <w:snapToGrid w:val="0"/>
                    <w:jc w:val="center"/>
                    <w:rPr>
                      <w:sz w:val="18"/>
                      <w:szCs w:val="21"/>
                    </w:rPr>
                  </w:pPr>
                  <w:r>
                    <w:rPr>
                      <w:sz w:val="18"/>
                      <w:szCs w:val="21"/>
                    </w:rPr>
                    <w:t>依排污许可证强化监管执法</w:t>
                  </w:r>
                </w:p>
              </w:tc>
              <w:tc>
                <w:tcPr>
                  <w:tcW w:w="2566" w:type="dxa"/>
                  <w:vAlign w:val="center"/>
                </w:tcPr>
                <w:p w14:paraId="7E582888">
                  <w:pPr>
                    <w:tabs>
                      <w:tab w:val="left" w:pos="6379"/>
                    </w:tabs>
                    <w:overflowPunct w:val="0"/>
                    <w:adjustRightInd w:val="0"/>
                    <w:snapToGrid w:val="0"/>
                    <w:jc w:val="center"/>
                    <w:rPr>
                      <w:sz w:val="18"/>
                      <w:szCs w:val="21"/>
                    </w:rPr>
                  </w:pPr>
                  <w:r>
                    <w:rPr>
                      <w:sz w:val="18"/>
                      <w:szCs w:val="21"/>
                    </w:rPr>
                    <w:t>本项目不属于“两高”项目</w:t>
                  </w:r>
                </w:p>
              </w:tc>
              <w:tc>
                <w:tcPr>
                  <w:tcW w:w="1185" w:type="dxa"/>
                  <w:vAlign w:val="center"/>
                </w:tcPr>
                <w:p w14:paraId="2E75143D">
                  <w:pPr>
                    <w:tabs>
                      <w:tab w:val="left" w:pos="6379"/>
                    </w:tabs>
                    <w:overflowPunct w:val="0"/>
                    <w:adjustRightInd w:val="0"/>
                    <w:snapToGrid w:val="0"/>
                    <w:jc w:val="center"/>
                    <w:rPr>
                      <w:sz w:val="18"/>
                      <w:szCs w:val="21"/>
                    </w:rPr>
                  </w:pPr>
                  <w:r>
                    <w:rPr>
                      <w:sz w:val="18"/>
                      <w:szCs w:val="21"/>
                    </w:rPr>
                    <w:t>符合</w:t>
                  </w:r>
                </w:p>
              </w:tc>
            </w:tr>
          </w:tbl>
          <w:p w14:paraId="66CE75F1">
            <w:pPr>
              <w:adjustRightInd w:val="0"/>
              <w:snapToGrid w:val="0"/>
              <w:spacing w:line="500" w:lineRule="exact"/>
              <w:ind w:firstLine="422" w:firstLineChars="200"/>
              <w:rPr>
                <w:b/>
                <w:szCs w:val="21"/>
              </w:rPr>
            </w:pPr>
            <w:r>
              <w:rPr>
                <w:rFonts w:hint="eastAsia"/>
                <w:b/>
                <w:bCs/>
                <w:szCs w:val="21"/>
                <w:lang w:val="en-US" w:eastAsia="zh-CN"/>
              </w:rPr>
              <w:t>9</w:t>
            </w:r>
            <w:r>
              <w:rPr>
                <w:b/>
                <w:bCs/>
                <w:szCs w:val="21"/>
              </w:rPr>
              <w:t>、与《南通市关于加大污染减排力度推进重点行业绿色发展的指导意见》的</w:t>
            </w:r>
            <w:r>
              <w:rPr>
                <w:rFonts w:hint="eastAsia"/>
                <w:b/>
                <w:bCs/>
                <w:szCs w:val="21"/>
              </w:rPr>
              <w:t>（通办〔2024〕6号）的</w:t>
            </w:r>
            <w:r>
              <w:rPr>
                <w:b/>
                <w:bCs/>
                <w:szCs w:val="21"/>
              </w:rPr>
              <w:t>相符性分析</w:t>
            </w:r>
          </w:p>
          <w:p w14:paraId="5A5FB2C1">
            <w:pPr>
              <w:spacing w:line="500" w:lineRule="exact"/>
              <w:ind w:firstLine="422" w:firstLineChars="200"/>
              <w:jc w:val="center"/>
              <w:rPr>
                <w:b/>
                <w:szCs w:val="21"/>
              </w:rPr>
            </w:pPr>
            <w:r>
              <w:rPr>
                <w:b/>
                <w:szCs w:val="21"/>
              </w:rPr>
              <w:t>表1-</w:t>
            </w:r>
            <w:r>
              <w:rPr>
                <w:rFonts w:hint="eastAsia"/>
                <w:b/>
                <w:szCs w:val="21"/>
                <w:lang w:val="en-US" w:eastAsia="zh-CN"/>
              </w:rPr>
              <w:t>5</w:t>
            </w:r>
            <w:r>
              <w:rPr>
                <w:b/>
                <w:szCs w:val="21"/>
              </w:rPr>
              <w:t xml:space="preserve"> 与《南通市关于加大污染减排力度推进重点行业绿色发展的指导意见》（通办</w:t>
            </w:r>
            <w:r>
              <w:rPr>
                <w:rFonts w:hint="eastAsia"/>
                <w:b/>
                <w:szCs w:val="21"/>
              </w:rPr>
              <w:t>〔</w:t>
            </w:r>
            <w:r>
              <w:rPr>
                <w:b/>
                <w:szCs w:val="21"/>
              </w:rPr>
              <w:t>202</w:t>
            </w:r>
            <w:r>
              <w:rPr>
                <w:rFonts w:hint="eastAsia"/>
                <w:b/>
                <w:szCs w:val="21"/>
                <w:lang w:val="en-US" w:eastAsia="zh-CN"/>
              </w:rPr>
              <w:t>4</w:t>
            </w:r>
            <w:r>
              <w:rPr>
                <w:rFonts w:hint="eastAsia"/>
                <w:b/>
                <w:szCs w:val="21"/>
              </w:rPr>
              <w:t>〕</w:t>
            </w:r>
            <w:r>
              <w:rPr>
                <w:rFonts w:hint="eastAsia"/>
                <w:b/>
                <w:szCs w:val="21"/>
                <w:lang w:val="en-US" w:eastAsia="zh-CN"/>
              </w:rPr>
              <w:t>6</w:t>
            </w:r>
            <w:r>
              <w:rPr>
                <w:b/>
                <w:szCs w:val="21"/>
              </w:rPr>
              <w:t>号）的相符性分析</w:t>
            </w:r>
          </w:p>
          <w:tbl>
            <w:tblPr>
              <w:tblStyle w:val="16"/>
              <w:tblW w:w="74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42"/>
              <w:gridCol w:w="3968"/>
              <w:gridCol w:w="1369"/>
              <w:gridCol w:w="769"/>
            </w:tblGrid>
            <w:tr w14:paraId="60C46A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2" w:type="dxa"/>
                  <w:noWrap/>
                  <w:vAlign w:val="center"/>
                </w:tcPr>
                <w:p w14:paraId="17CCEBAA">
                  <w:pPr>
                    <w:tabs>
                      <w:tab w:val="left" w:pos="6379"/>
                    </w:tabs>
                    <w:overflowPunct w:val="0"/>
                    <w:adjustRightInd w:val="0"/>
                    <w:snapToGrid w:val="0"/>
                    <w:jc w:val="center"/>
                    <w:rPr>
                      <w:bCs/>
                      <w:sz w:val="18"/>
                      <w:szCs w:val="21"/>
                    </w:rPr>
                  </w:pPr>
                  <w:r>
                    <w:rPr>
                      <w:bCs/>
                      <w:sz w:val="18"/>
                      <w:szCs w:val="21"/>
                    </w:rPr>
                    <w:t>序号</w:t>
                  </w:r>
                </w:p>
              </w:tc>
              <w:tc>
                <w:tcPr>
                  <w:tcW w:w="742" w:type="dxa"/>
                  <w:noWrap/>
                  <w:vAlign w:val="center"/>
                </w:tcPr>
                <w:p w14:paraId="0F592603">
                  <w:pPr>
                    <w:tabs>
                      <w:tab w:val="left" w:pos="6379"/>
                    </w:tabs>
                    <w:overflowPunct w:val="0"/>
                    <w:adjustRightInd w:val="0"/>
                    <w:snapToGrid w:val="0"/>
                    <w:jc w:val="center"/>
                    <w:rPr>
                      <w:bCs/>
                      <w:sz w:val="18"/>
                      <w:szCs w:val="21"/>
                    </w:rPr>
                  </w:pPr>
                  <w:r>
                    <w:rPr>
                      <w:bCs/>
                      <w:sz w:val="18"/>
                      <w:szCs w:val="21"/>
                    </w:rPr>
                    <w:t>类别</w:t>
                  </w:r>
                </w:p>
              </w:tc>
              <w:tc>
                <w:tcPr>
                  <w:tcW w:w="3968" w:type="dxa"/>
                  <w:noWrap/>
                  <w:vAlign w:val="center"/>
                </w:tcPr>
                <w:p w14:paraId="5B9DEC36">
                  <w:pPr>
                    <w:tabs>
                      <w:tab w:val="left" w:pos="6379"/>
                    </w:tabs>
                    <w:overflowPunct w:val="0"/>
                    <w:adjustRightInd w:val="0"/>
                    <w:snapToGrid w:val="0"/>
                    <w:jc w:val="center"/>
                    <w:rPr>
                      <w:bCs/>
                      <w:sz w:val="18"/>
                      <w:szCs w:val="21"/>
                    </w:rPr>
                  </w:pPr>
                  <w:r>
                    <w:rPr>
                      <w:bCs/>
                      <w:sz w:val="18"/>
                      <w:szCs w:val="21"/>
                    </w:rPr>
                    <w:t>方案相关内容</w:t>
                  </w:r>
                </w:p>
              </w:tc>
              <w:tc>
                <w:tcPr>
                  <w:tcW w:w="1369" w:type="dxa"/>
                  <w:noWrap/>
                  <w:vAlign w:val="center"/>
                </w:tcPr>
                <w:p w14:paraId="682BCFF0">
                  <w:pPr>
                    <w:tabs>
                      <w:tab w:val="left" w:pos="6379"/>
                    </w:tabs>
                    <w:overflowPunct w:val="0"/>
                    <w:adjustRightInd w:val="0"/>
                    <w:snapToGrid w:val="0"/>
                    <w:jc w:val="center"/>
                    <w:rPr>
                      <w:bCs/>
                      <w:sz w:val="18"/>
                      <w:szCs w:val="21"/>
                    </w:rPr>
                  </w:pPr>
                  <w:r>
                    <w:rPr>
                      <w:bCs/>
                      <w:sz w:val="18"/>
                      <w:szCs w:val="21"/>
                    </w:rPr>
                    <w:t>本项目情况</w:t>
                  </w:r>
                </w:p>
              </w:tc>
              <w:tc>
                <w:tcPr>
                  <w:tcW w:w="769" w:type="dxa"/>
                  <w:noWrap/>
                  <w:vAlign w:val="center"/>
                </w:tcPr>
                <w:p w14:paraId="2101151A">
                  <w:pPr>
                    <w:tabs>
                      <w:tab w:val="left" w:pos="6379"/>
                    </w:tabs>
                    <w:overflowPunct w:val="0"/>
                    <w:adjustRightInd w:val="0"/>
                    <w:snapToGrid w:val="0"/>
                    <w:jc w:val="center"/>
                    <w:rPr>
                      <w:bCs/>
                      <w:sz w:val="18"/>
                      <w:szCs w:val="21"/>
                    </w:rPr>
                  </w:pPr>
                  <w:r>
                    <w:rPr>
                      <w:bCs/>
                      <w:sz w:val="18"/>
                      <w:szCs w:val="21"/>
                    </w:rPr>
                    <w:t>相符性分析</w:t>
                  </w:r>
                </w:p>
              </w:tc>
            </w:tr>
            <w:tr w14:paraId="312BD9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2" w:type="dxa"/>
                  <w:noWrap/>
                  <w:vAlign w:val="center"/>
                </w:tcPr>
                <w:p w14:paraId="76C1AC88">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1</w:t>
                  </w:r>
                </w:p>
              </w:tc>
              <w:tc>
                <w:tcPr>
                  <w:tcW w:w="742" w:type="dxa"/>
                  <w:noWrap/>
                  <w:vAlign w:val="center"/>
                </w:tcPr>
                <w:p w14:paraId="0ED0180F">
                  <w:pPr>
                    <w:tabs>
                      <w:tab w:val="left" w:pos="6379"/>
                    </w:tabs>
                    <w:overflowPunct w:val="0"/>
                    <w:adjustRightInd w:val="0"/>
                    <w:snapToGrid w:val="0"/>
                    <w:jc w:val="center"/>
                    <w:rPr>
                      <w:sz w:val="18"/>
                      <w:szCs w:val="21"/>
                    </w:rPr>
                  </w:pPr>
                  <w:r>
                    <w:rPr>
                      <w:sz w:val="18"/>
                      <w:szCs w:val="21"/>
                    </w:rPr>
                    <w:t>优化空间布局</w:t>
                  </w:r>
                </w:p>
              </w:tc>
              <w:tc>
                <w:tcPr>
                  <w:tcW w:w="3968" w:type="dxa"/>
                  <w:noWrap/>
                  <w:vAlign w:val="center"/>
                </w:tcPr>
                <w:p w14:paraId="1CFAEFFF">
                  <w:pPr>
                    <w:tabs>
                      <w:tab w:val="left" w:pos="6379"/>
                    </w:tabs>
                    <w:overflowPunct w:val="0"/>
                    <w:adjustRightInd w:val="0"/>
                    <w:snapToGrid w:val="0"/>
                    <w:jc w:val="center"/>
                    <w:rPr>
                      <w:sz w:val="18"/>
                      <w:szCs w:val="21"/>
                    </w:rPr>
                  </w:pPr>
                  <w:r>
                    <w:rPr>
                      <w:sz w:val="18"/>
                      <w:szCs w:val="21"/>
                    </w:rPr>
                    <w:t>严格落实长江经济带“共抓大保护、不搞大开发”要求，坚持生态优先、绿色发展，突出沿江向沿海布局、区外分散向园区集聚的总体方向。结合国土空间规划编制，优化重点产业空间格局；协调江海河关系，加大生态保护力度，凸显江海生态资源特色，建设品质优良的长江口生态区；综合考量不同区域资源环境承载能力，兼顾不同领域和行业发展特点，注重差异化发展，引导不同区域打造特色产业园区。</w:t>
                  </w:r>
                </w:p>
              </w:tc>
              <w:tc>
                <w:tcPr>
                  <w:tcW w:w="1369" w:type="dxa"/>
                  <w:noWrap/>
                  <w:vAlign w:val="center"/>
                </w:tcPr>
                <w:p w14:paraId="30E32AFC">
                  <w:pPr>
                    <w:tabs>
                      <w:tab w:val="left" w:pos="6379"/>
                    </w:tabs>
                    <w:overflowPunct w:val="0"/>
                    <w:adjustRightInd w:val="0"/>
                    <w:snapToGrid w:val="0"/>
                    <w:jc w:val="center"/>
                    <w:rPr>
                      <w:sz w:val="18"/>
                      <w:szCs w:val="21"/>
                    </w:rPr>
                  </w:pPr>
                  <w:r>
                    <w:rPr>
                      <w:sz w:val="18"/>
                      <w:szCs w:val="21"/>
                    </w:rPr>
                    <w:t>本项目位于</w:t>
                  </w:r>
                  <w:r>
                    <w:rPr>
                      <w:rFonts w:hint="eastAsia"/>
                      <w:sz w:val="18"/>
                      <w:szCs w:val="21"/>
                    </w:rPr>
                    <w:t>南通市通州区刘桥镇蒋一村十五组</w:t>
                  </w:r>
                  <w:r>
                    <w:rPr>
                      <w:rFonts w:hint="eastAsia"/>
                      <w:sz w:val="18"/>
                      <w:szCs w:val="21"/>
                      <w:lang w:eastAsia="zh-CN"/>
                    </w:rPr>
                    <w:t>，不涉及生态红线，符合国土空间规划</w:t>
                  </w:r>
                  <w:r>
                    <w:rPr>
                      <w:sz w:val="18"/>
                      <w:szCs w:val="21"/>
                    </w:rPr>
                    <w:t>。</w:t>
                  </w:r>
                </w:p>
              </w:tc>
              <w:tc>
                <w:tcPr>
                  <w:tcW w:w="769" w:type="dxa"/>
                  <w:noWrap/>
                  <w:vAlign w:val="center"/>
                </w:tcPr>
                <w:p w14:paraId="029C633F">
                  <w:pPr>
                    <w:tabs>
                      <w:tab w:val="left" w:pos="6379"/>
                    </w:tabs>
                    <w:overflowPunct w:val="0"/>
                    <w:adjustRightInd w:val="0"/>
                    <w:snapToGrid w:val="0"/>
                    <w:jc w:val="center"/>
                    <w:rPr>
                      <w:sz w:val="18"/>
                      <w:szCs w:val="21"/>
                    </w:rPr>
                  </w:pPr>
                  <w:r>
                    <w:rPr>
                      <w:sz w:val="18"/>
                      <w:szCs w:val="21"/>
                    </w:rPr>
                    <w:t>符合</w:t>
                  </w:r>
                </w:p>
              </w:tc>
            </w:tr>
            <w:tr w14:paraId="71B15E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2" w:type="dxa"/>
                  <w:noWrap/>
                  <w:vAlign w:val="center"/>
                </w:tcPr>
                <w:p w14:paraId="00F27C19">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2</w:t>
                  </w:r>
                </w:p>
              </w:tc>
              <w:tc>
                <w:tcPr>
                  <w:tcW w:w="742" w:type="dxa"/>
                  <w:noWrap/>
                  <w:vAlign w:val="center"/>
                </w:tcPr>
                <w:p w14:paraId="014F9349">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打造绿色产业</w:t>
                  </w:r>
                </w:p>
              </w:tc>
              <w:tc>
                <w:tcPr>
                  <w:tcW w:w="3968" w:type="dxa"/>
                  <w:noWrap/>
                  <w:vAlign w:val="center"/>
                </w:tcPr>
                <w:p w14:paraId="2B443939">
                  <w:pPr>
                    <w:tabs>
                      <w:tab w:val="left" w:pos="6379"/>
                    </w:tabs>
                    <w:overflowPunct w:val="0"/>
                    <w:adjustRightInd w:val="0"/>
                    <w:snapToGrid w:val="0"/>
                    <w:jc w:val="center"/>
                    <w:rPr>
                      <w:sz w:val="18"/>
                      <w:szCs w:val="21"/>
                    </w:rPr>
                  </w:pPr>
                  <w:r>
                    <w:rPr>
                      <w:rFonts w:hint="eastAsia"/>
                      <w:sz w:val="18"/>
                      <w:szCs w:val="21"/>
                    </w:rPr>
                    <w:t>扎实推进产业倍增三年行动，围绕传统产业焕新、新兴产业壮大、未来产业培育，进一步明确产业发展方向，加快形成新质生产力。突出强链补链延链，以创新驱动、项目支撑、集群发展加快推进制造强市建设。推动制造业绿色化发展，推动传统产业转型升级，推动重点领域企业积极采用绿色工艺技术装备实施节能降碳改造升级，建立健全碳排放管理机制和产品碳足迹管理体系。以打造环境友好型、资源节约型现代化企业为目标，实施钢铁、化工、建材、煤电、纺织、造纸等产业改造提升，深度推进传统制造业节能减排、两化融合、产品结构调整和工艺技术创新。推行高效能、低能耗、可循环、少排放的绿色生产模式。优化能源结构，减少煤炭消费比重。完善政策措施，充分发挥市场机制的决定性作用，加快碳市场建设，降低经济的碳强度。</w:t>
                  </w:r>
                </w:p>
              </w:tc>
              <w:tc>
                <w:tcPr>
                  <w:tcW w:w="1369" w:type="dxa"/>
                  <w:noWrap/>
                  <w:vAlign w:val="center"/>
                </w:tcPr>
                <w:p w14:paraId="5F8B81CB">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本项目不属于钢铁、化工。建材、煤电、纺织、造纸行业，项目使用清洁能源，不使用煤炭等。</w:t>
                  </w:r>
                </w:p>
              </w:tc>
              <w:tc>
                <w:tcPr>
                  <w:tcW w:w="769" w:type="dxa"/>
                  <w:noWrap/>
                  <w:vAlign w:val="center"/>
                </w:tcPr>
                <w:p w14:paraId="4A35A113">
                  <w:pPr>
                    <w:tabs>
                      <w:tab w:val="left" w:pos="6379"/>
                    </w:tabs>
                    <w:overflowPunct w:val="0"/>
                    <w:adjustRightInd w:val="0"/>
                    <w:snapToGrid w:val="0"/>
                    <w:jc w:val="center"/>
                    <w:rPr>
                      <w:sz w:val="18"/>
                      <w:szCs w:val="21"/>
                    </w:rPr>
                  </w:pPr>
                  <w:r>
                    <w:rPr>
                      <w:sz w:val="18"/>
                      <w:szCs w:val="21"/>
                    </w:rPr>
                    <w:t>符合</w:t>
                  </w:r>
                </w:p>
              </w:tc>
            </w:tr>
            <w:tr w14:paraId="7A1382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572" w:type="dxa"/>
                  <w:noWrap/>
                  <w:vAlign w:val="center"/>
                </w:tcPr>
                <w:p w14:paraId="4BFD7AE6">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3</w:t>
                  </w:r>
                </w:p>
              </w:tc>
              <w:tc>
                <w:tcPr>
                  <w:tcW w:w="742" w:type="dxa"/>
                  <w:noWrap/>
                  <w:vAlign w:val="center"/>
                </w:tcPr>
                <w:p w14:paraId="121920A8">
                  <w:pPr>
                    <w:tabs>
                      <w:tab w:val="left" w:pos="6379"/>
                    </w:tabs>
                    <w:overflowPunct w:val="0"/>
                    <w:adjustRightInd w:val="0"/>
                    <w:snapToGrid w:val="0"/>
                    <w:jc w:val="center"/>
                    <w:rPr>
                      <w:sz w:val="18"/>
                      <w:szCs w:val="21"/>
                    </w:rPr>
                  </w:pPr>
                  <w:r>
                    <w:rPr>
                      <w:sz w:val="18"/>
                      <w:szCs w:val="21"/>
                    </w:rPr>
                    <w:t>建设生态园区</w:t>
                  </w:r>
                </w:p>
              </w:tc>
              <w:tc>
                <w:tcPr>
                  <w:tcW w:w="3968" w:type="dxa"/>
                  <w:noWrap/>
                  <w:vAlign w:val="center"/>
                </w:tcPr>
                <w:p w14:paraId="0F0FDAEE">
                  <w:pPr>
                    <w:tabs>
                      <w:tab w:val="left" w:pos="6379"/>
                    </w:tabs>
                    <w:overflowPunct w:val="0"/>
                    <w:adjustRightInd w:val="0"/>
                    <w:snapToGrid w:val="0"/>
                    <w:jc w:val="center"/>
                    <w:rPr>
                      <w:sz w:val="18"/>
                      <w:szCs w:val="21"/>
                    </w:rPr>
                  </w:pPr>
                  <w:r>
                    <w:rPr>
                      <w:rFonts w:hint="eastAsia"/>
                      <w:sz w:val="18"/>
                      <w:szCs w:val="21"/>
                    </w:rPr>
                    <w:t>推动园区产业向“专精特新”方向发展。引导每个省级以上园区重点打造1～2 个特色主导产业、1～2个新兴产业。实施园区循环化改造，推动企业循环式生产、产业循环式组合，搭建资源共享、废物处理公共平台，提高能源资源综合利用效率。推动园区基础公共设施共建共享、能源梯级利用、资源循环利用和污染物集中安全处置等。因地制宜布局污水资源化利用设施，提高水重复利用率。强化工业园区用能管理，鼓励优先利用可再生能源，支持园区探索开展环境管家、绿色联盟、产业共生等创新发展模式，推广绿色整体服务和全过程服务。</w:t>
                  </w:r>
                </w:p>
              </w:tc>
              <w:tc>
                <w:tcPr>
                  <w:tcW w:w="1369" w:type="dxa"/>
                  <w:noWrap/>
                  <w:vAlign w:val="center"/>
                </w:tcPr>
                <w:p w14:paraId="42DCF60C">
                  <w:pPr>
                    <w:tabs>
                      <w:tab w:val="left" w:pos="6379"/>
                    </w:tabs>
                    <w:overflowPunct w:val="0"/>
                    <w:adjustRightInd w:val="0"/>
                    <w:snapToGrid w:val="0"/>
                    <w:jc w:val="center"/>
                    <w:rPr>
                      <w:sz w:val="18"/>
                      <w:szCs w:val="21"/>
                    </w:rPr>
                  </w:pPr>
                  <w:r>
                    <w:rPr>
                      <w:sz w:val="18"/>
                      <w:szCs w:val="21"/>
                    </w:rPr>
                    <w:t>/</w:t>
                  </w:r>
                </w:p>
              </w:tc>
              <w:tc>
                <w:tcPr>
                  <w:tcW w:w="769" w:type="dxa"/>
                  <w:noWrap/>
                  <w:vAlign w:val="center"/>
                </w:tcPr>
                <w:p w14:paraId="33A3FF2E">
                  <w:pPr>
                    <w:tabs>
                      <w:tab w:val="left" w:pos="6379"/>
                    </w:tabs>
                    <w:overflowPunct w:val="0"/>
                    <w:adjustRightInd w:val="0"/>
                    <w:snapToGrid w:val="0"/>
                    <w:jc w:val="center"/>
                    <w:rPr>
                      <w:sz w:val="18"/>
                      <w:szCs w:val="21"/>
                    </w:rPr>
                  </w:pPr>
                  <w:r>
                    <w:rPr>
                      <w:sz w:val="18"/>
                      <w:szCs w:val="21"/>
                    </w:rPr>
                    <w:t>/</w:t>
                  </w:r>
                </w:p>
              </w:tc>
            </w:tr>
            <w:tr w14:paraId="1BA4F2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noWrap/>
                  <w:vAlign w:val="center"/>
                </w:tcPr>
                <w:p w14:paraId="0495BB6F">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4</w:t>
                  </w:r>
                </w:p>
              </w:tc>
              <w:tc>
                <w:tcPr>
                  <w:tcW w:w="742" w:type="dxa"/>
                  <w:noWrap/>
                  <w:vAlign w:val="center"/>
                </w:tcPr>
                <w:p w14:paraId="1B186155">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推进清洁生产</w:t>
                  </w:r>
                </w:p>
              </w:tc>
              <w:tc>
                <w:tcPr>
                  <w:tcW w:w="3968" w:type="dxa"/>
                  <w:noWrap/>
                  <w:vAlign w:val="center"/>
                </w:tcPr>
                <w:p w14:paraId="116D2647">
                  <w:pPr>
                    <w:tabs>
                      <w:tab w:val="left" w:pos="6379"/>
                    </w:tabs>
                    <w:overflowPunct w:val="0"/>
                    <w:adjustRightInd w:val="0"/>
                    <w:snapToGrid w:val="0"/>
                    <w:jc w:val="both"/>
                    <w:rPr>
                      <w:sz w:val="18"/>
                      <w:szCs w:val="21"/>
                    </w:rPr>
                  </w:pPr>
                  <w:r>
                    <w:rPr>
                      <w:rFonts w:hint="eastAsia"/>
                      <w:sz w:val="18"/>
                      <w:szCs w:val="21"/>
                    </w:rPr>
                    <w:t>在重点行业现有企业全面推行强制性清洁生产审核，提高精细化管理水平，推广节水技术，改进生产工艺，降低能耗、减少污染排放。鼓励集成电路封装、电子专用材料制造等重点排放企业开展中水回用示范工程，力争将非金属传统行业环境绩效提升至清洁生产Ⅰ级标准。将国际国内清洁生产一流标准作为新项目招引、落户的关键因素。</w:t>
                  </w:r>
                </w:p>
              </w:tc>
              <w:tc>
                <w:tcPr>
                  <w:tcW w:w="1369" w:type="dxa"/>
                  <w:noWrap/>
                  <w:vAlign w:val="center"/>
                </w:tcPr>
                <w:p w14:paraId="6E735D31">
                  <w:pPr>
                    <w:tabs>
                      <w:tab w:val="left" w:pos="6379"/>
                    </w:tabs>
                    <w:overflowPunct w:val="0"/>
                    <w:adjustRightInd w:val="0"/>
                    <w:snapToGrid w:val="0"/>
                    <w:jc w:val="center"/>
                    <w:rPr>
                      <w:sz w:val="18"/>
                      <w:szCs w:val="21"/>
                    </w:rPr>
                  </w:pPr>
                  <w:r>
                    <w:rPr>
                      <w:sz w:val="18"/>
                      <w:szCs w:val="21"/>
                    </w:rPr>
                    <w:t>项目产生“三废”均有效治理；不涉及“散乱污”问题。</w:t>
                  </w:r>
                </w:p>
              </w:tc>
              <w:tc>
                <w:tcPr>
                  <w:tcW w:w="769" w:type="dxa"/>
                  <w:noWrap/>
                  <w:vAlign w:val="center"/>
                </w:tcPr>
                <w:p w14:paraId="2D1732DF">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符合</w:t>
                  </w:r>
                </w:p>
              </w:tc>
            </w:tr>
            <w:tr w14:paraId="682160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2" w:type="dxa"/>
                  <w:noWrap/>
                  <w:vAlign w:val="center"/>
                </w:tcPr>
                <w:p w14:paraId="4862AB33">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5</w:t>
                  </w:r>
                </w:p>
              </w:tc>
              <w:tc>
                <w:tcPr>
                  <w:tcW w:w="742" w:type="dxa"/>
                  <w:noWrap/>
                  <w:vAlign w:val="center"/>
                </w:tcPr>
                <w:p w14:paraId="021267E5">
                  <w:pPr>
                    <w:tabs>
                      <w:tab w:val="left" w:pos="6379"/>
                    </w:tabs>
                    <w:overflowPunct w:val="0"/>
                    <w:adjustRightInd w:val="0"/>
                    <w:snapToGrid w:val="0"/>
                    <w:jc w:val="center"/>
                    <w:rPr>
                      <w:sz w:val="18"/>
                      <w:szCs w:val="21"/>
                    </w:rPr>
                  </w:pPr>
                  <w:r>
                    <w:rPr>
                      <w:sz w:val="18"/>
                      <w:szCs w:val="21"/>
                    </w:rPr>
                    <w:t>严守准入门槛</w:t>
                  </w:r>
                </w:p>
              </w:tc>
              <w:tc>
                <w:tcPr>
                  <w:tcW w:w="3968" w:type="dxa"/>
                  <w:noWrap/>
                  <w:vAlign w:val="center"/>
                </w:tcPr>
                <w:p w14:paraId="048F3519">
                  <w:pPr>
                    <w:tabs>
                      <w:tab w:val="left" w:pos="6379"/>
                    </w:tabs>
                    <w:overflowPunct w:val="0"/>
                    <w:adjustRightInd w:val="0"/>
                    <w:snapToGrid w:val="0"/>
                    <w:jc w:val="center"/>
                    <w:rPr>
                      <w:sz w:val="18"/>
                      <w:szCs w:val="21"/>
                    </w:rPr>
                  </w:pPr>
                  <w:r>
                    <w:rPr>
                      <w:rFonts w:hint="eastAsia"/>
                      <w:sz w:val="18"/>
                      <w:szCs w:val="21"/>
                    </w:rPr>
                    <w:t>全面深化生态环境分区管控方案、细化管控单元及行业准入条件，建立重点产业项目准入机制，优化产业发展。严格执行《长江经济带发展负面清单指南（试行，2022 年版）》及江苏省实施细则，严守国家生态保护红线及江苏省生态空间管控区域。着力提升项目招引质效，以省级以上园区为主阵地，以大项目、好项目、新项目为切入点，注重项目的含金量、含新量、含绿量，招新引特、招大引强，带动行业提质增效。强化项目可研、环评、安评、能评、稳评等许可（备案）联动，严控高能耗高排放项目建设、严禁高污染不安全项目落地，坚决杜绝未批先建违法行为。</w:t>
                  </w:r>
                </w:p>
              </w:tc>
              <w:tc>
                <w:tcPr>
                  <w:tcW w:w="1369" w:type="dxa"/>
                  <w:noWrap/>
                  <w:vAlign w:val="center"/>
                </w:tcPr>
                <w:p w14:paraId="5120C28E">
                  <w:pPr>
                    <w:tabs>
                      <w:tab w:val="left" w:pos="6379"/>
                    </w:tabs>
                    <w:overflowPunct w:val="0"/>
                    <w:adjustRightInd w:val="0"/>
                    <w:snapToGrid w:val="0"/>
                    <w:rPr>
                      <w:sz w:val="18"/>
                      <w:szCs w:val="21"/>
                    </w:rPr>
                  </w:pPr>
                  <w:r>
                    <w:rPr>
                      <w:sz w:val="18"/>
                      <w:szCs w:val="21"/>
                    </w:rPr>
                    <w:t>本项目符合“三线一单”管控要求；与《长江经济带发展负面清单指南（试行）》及江苏省实施细则、国家生态保护红线及江苏省生态空间管控区域规划相符。</w:t>
                  </w:r>
                </w:p>
              </w:tc>
              <w:tc>
                <w:tcPr>
                  <w:tcW w:w="769" w:type="dxa"/>
                  <w:noWrap/>
                  <w:vAlign w:val="center"/>
                </w:tcPr>
                <w:p w14:paraId="7A81A4C6">
                  <w:pPr>
                    <w:tabs>
                      <w:tab w:val="left" w:pos="6379"/>
                    </w:tabs>
                    <w:overflowPunct w:val="0"/>
                    <w:adjustRightInd w:val="0"/>
                    <w:snapToGrid w:val="0"/>
                    <w:jc w:val="center"/>
                    <w:rPr>
                      <w:sz w:val="18"/>
                      <w:szCs w:val="21"/>
                    </w:rPr>
                  </w:pPr>
                  <w:r>
                    <w:rPr>
                      <w:sz w:val="18"/>
                      <w:szCs w:val="21"/>
                    </w:rPr>
                    <w:t>符合</w:t>
                  </w:r>
                </w:p>
              </w:tc>
            </w:tr>
            <w:tr w14:paraId="42A4E6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2" w:type="dxa"/>
                  <w:noWrap/>
                  <w:vAlign w:val="center"/>
                </w:tcPr>
                <w:p w14:paraId="279B5DFA">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6</w:t>
                  </w:r>
                </w:p>
              </w:tc>
              <w:tc>
                <w:tcPr>
                  <w:tcW w:w="742" w:type="dxa"/>
                  <w:noWrap/>
                  <w:vAlign w:val="center"/>
                </w:tcPr>
                <w:p w14:paraId="5D6F2D31">
                  <w:pPr>
                    <w:tabs>
                      <w:tab w:val="left" w:pos="6379"/>
                    </w:tabs>
                    <w:overflowPunct w:val="0"/>
                    <w:adjustRightInd w:val="0"/>
                    <w:snapToGrid w:val="0"/>
                    <w:jc w:val="center"/>
                    <w:rPr>
                      <w:sz w:val="18"/>
                      <w:szCs w:val="21"/>
                    </w:rPr>
                  </w:pPr>
                  <w:r>
                    <w:rPr>
                      <w:sz w:val="18"/>
                      <w:szCs w:val="21"/>
                    </w:rPr>
                    <w:t>鼓励科技创新</w:t>
                  </w:r>
                </w:p>
              </w:tc>
              <w:tc>
                <w:tcPr>
                  <w:tcW w:w="3968" w:type="dxa"/>
                  <w:noWrap/>
                  <w:vAlign w:val="center"/>
                </w:tcPr>
                <w:p w14:paraId="01DDC1C3">
                  <w:pPr>
                    <w:tabs>
                      <w:tab w:val="left" w:pos="6379"/>
                    </w:tabs>
                    <w:overflowPunct w:val="0"/>
                    <w:adjustRightInd w:val="0"/>
                    <w:snapToGrid w:val="0"/>
                    <w:jc w:val="center"/>
                    <w:rPr>
                      <w:sz w:val="18"/>
                      <w:szCs w:val="21"/>
                    </w:rPr>
                  </w:pPr>
                  <w:r>
                    <w:rPr>
                      <w:rFonts w:hint="eastAsia"/>
                      <w:sz w:val="18"/>
                      <w:szCs w:val="21"/>
                    </w:rPr>
                    <w:t>健全以企业为主体的产学研用协同创新体系，推动“揭榜挂帅”攻坚计划项目，支持联合攻关。培育科技创新企业，强化平台载体建设，深化开发合作创新，广聚创新创业人才，加强知识产权保护。加强节能降耗、清洁生产、污染治理、循环利用等领域的技术创新和成果转化，大力推进原始创新和集成创新。增强创新储备，提升创新全链条支撑能力，为实现重大创新突破、培育高端产业奠定重要基础。鼓励科研机构、高等院校和企业等单位开展重点行业节能减排领域应用基础研究，提高科学研究支撑能力。</w:t>
                  </w:r>
                </w:p>
              </w:tc>
              <w:tc>
                <w:tcPr>
                  <w:tcW w:w="1369" w:type="dxa"/>
                  <w:noWrap/>
                  <w:vAlign w:val="center"/>
                </w:tcPr>
                <w:p w14:paraId="543B4AE5">
                  <w:pPr>
                    <w:tabs>
                      <w:tab w:val="left" w:pos="6379"/>
                    </w:tabs>
                    <w:overflowPunct w:val="0"/>
                    <w:adjustRightInd w:val="0"/>
                    <w:snapToGrid w:val="0"/>
                    <w:jc w:val="center"/>
                    <w:rPr>
                      <w:rFonts w:hint="eastAsia" w:eastAsia="宋体"/>
                      <w:sz w:val="18"/>
                      <w:szCs w:val="21"/>
                      <w:lang w:val="en-US" w:eastAsia="zh-CN"/>
                    </w:rPr>
                  </w:pPr>
                  <w:r>
                    <w:rPr>
                      <w:rFonts w:hint="eastAsia"/>
                      <w:sz w:val="18"/>
                      <w:szCs w:val="21"/>
                      <w:lang w:val="en-US" w:eastAsia="zh-CN"/>
                    </w:rPr>
                    <w:t>/</w:t>
                  </w:r>
                </w:p>
              </w:tc>
              <w:tc>
                <w:tcPr>
                  <w:tcW w:w="769" w:type="dxa"/>
                  <w:noWrap/>
                  <w:vAlign w:val="center"/>
                </w:tcPr>
                <w:p w14:paraId="60A396A2">
                  <w:pPr>
                    <w:tabs>
                      <w:tab w:val="left" w:pos="6379"/>
                    </w:tabs>
                    <w:overflowPunct w:val="0"/>
                    <w:adjustRightInd w:val="0"/>
                    <w:snapToGrid w:val="0"/>
                    <w:jc w:val="center"/>
                    <w:rPr>
                      <w:sz w:val="18"/>
                      <w:szCs w:val="21"/>
                    </w:rPr>
                  </w:pPr>
                  <w:r>
                    <w:rPr>
                      <w:sz w:val="18"/>
                      <w:szCs w:val="21"/>
                    </w:rPr>
                    <w:t>符合</w:t>
                  </w:r>
                </w:p>
              </w:tc>
            </w:tr>
            <w:tr w14:paraId="5C42D2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2" w:type="dxa"/>
                  <w:noWrap/>
                  <w:vAlign w:val="center"/>
                </w:tcPr>
                <w:p w14:paraId="0DDCFCB2">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7</w:t>
                  </w:r>
                </w:p>
              </w:tc>
              <w:tc>
                <w:tcPr>
                  <w:tcW w:w="742" w:type="dxa"/>
                  <w:noWrap/>
                  <w:vAlign w:val="center"/>
                </w:tcPr>
                <w:p w14:paraId="03BFEFC7">
                  <w:pPr>
                    <w:tabs>
                      <w:tab w:val="left" w:pos="6379"/>
                    </w:tabs>
                    <w:overflowPunct w:val="0"/>
                    <w:adjustRightInd w:val="0"/>
                    <w:snapToGrid w:val="0"/>
                    <w:jc w:val="center"/>
                    <w:rPr>
                      <w:sz w:val="18"/>
                      <w:szCs w:val="21"/>
                    </w:rPr>
                  </w:pPr>
                  <w:r>
                    <w:rPr>
                      <w:sz w:val="18"/>
                      <w:szCs w:val="21"/>
                    </w:rPr>
                    <w:t>构建绿色供应链</w:t>
                  </w:r>
                </w:p>
              </w:tc>
              <w:tc>
                <w:tcPr>
                  <w:tcW w:w="3968" w:type="dxa"/>
                  <w:noWrap/>
                  <w:vAlign w:val="center"/>
                </w:tcPr>
                <w:p w14:paraId="56DB11C1">
                  <w:pPr>
                    <w:tabs>
                      <w:tab w:val="left" w:pos="6379"/>
                    </w:tabs>
                    <w:overflowPunct w:val="0"/>
                    <w:adjustRightInd w:val="0"/>
                    <w:snapToGrid w:val="0"/>
                    <w:jc w:val="center"/>
                    <w:rPr>
                      <w:sz w:val="18"/>
                      <w:szCs w:val="21"/>
                    </w:rPr>
                  </w:pPr>
                  <w:r>
                    <w:rPr>
                      <w:sz w:val="18"/>
                      <w:szCs w:val="21"/>
                    </w:rPr>
                    <w:t>加快建设绿色制造体系，实施一批绿色制造示范项目，打造一批具有示范带动作用的绿色工厂和绿色供应链。鼓励企业开展绿色设计、选择绿色材料、实施绿色采购、打造绿色制造工艺、推行绿色包装、开展绿色运输、做好废弃产品回收处理，实现产品全周期的绿色环保。鼓励行业协会通过制定规范、咨询服务、行业自律等方式提高行业供应链绿色化水平。</w:t>
                  </w:r>
                </w:p>
              </w:tc>
              <w:tc>
                <w:tcPr>
                  <w:tcW w:w="1369" w:type="dxa"/>
                  <w:noWrap/>
                  <w:vAlign w:val="center"/>
                </w:tcPr>
                <w:p w14:paraId="51A5F212">
                  <w:pPr>
                    <w:tabs>
                      <w:tab w:val="left" w:pos="6379"/>
                    </w:tabs>
                    <w:overflowPunct w:val="0"/>
                    <w:adjustRightInd w:val="0"/>
                    <w:snapToGrid w:val="0"/>
                    <w:jc w:val="center"/>
                    <w:rPr>
                      <w:sz w:val="18"/>
                      <w:szCs w:val="21"/>
                    </w:rPr>
                  </w:pPr>
                  <w:r>
                    <w:rPr>
                      <w:rFonts w:hint="eastAsia"/>
                      <w:sz w:val="18"/>
                      <w:szCs w:val="21"/>
                    </w:rPr>
                    <w:t>项目</w:t>
                  </w:r>
                  <w:r>
                    <w:rPr>
                      <w:rFonts w:hint="eastAsia"/>
                      <w:color w:val="auto"/>
                      <w:sz w:val="18"/>
                      <w:szCs w:val="21"/>
                    </w:rPr>
                    <w:t>废气</w:t>
                  </w:r>
                  <w:r>
                    <w:rPr>
                      <w:rFonts w:hint="eastAsia"/>
                      <w:color w:val="auto"/>
                      <w:sz w:val="18"/>
                      <w:szCs w:val="21"/>
                      <w:lang w:eastAsia="zh-CN"/>
                    </w:rPr>
                    <w:t>经处理后排放</w:t>
                  </w:r>
                  <w:r>
                    <w:rPr>
                      <w:rFonts w:hint="eastAsia"/>
                      <w:sz w:val="18"/>
                      <w:szCs w:val="21"/>
                    </w:rPr>
                    <w:t>；危废均密闭存放于危废暂存库，委托有资质单位进行处置。</w:t>
                  </w:r>
                </w:p>
              </w:tc>
              <w:tc>
                <w:tcPr>
                  <w:tcW w:w="769" w:type="dxa"/>
                  <w:noWrap/>
                  <w:vAlign w:val="center"/>
                </w:tcPr>
                <w:p w14:paraId="017096AA">
                  <w:pPr>
                    <w:tabs>
                      <w:tab w:val="left" w:pos="6379"/>
                    </w:tabs>
                    <w:overflowPunct w:val="0"/>
                    <w:adjustRightInd w:val="0"/>
                    <w:snapToGrid w:val="0"/>
                    <w:jc w:val="center"/>
                    <w:rPr>
                      <w:sz w:val="18"/>
                      <w:szCs w:val="21"/>
                    </w:rPr>
                  </w:pPr>
                  <w:r>
                    <w:rPr>
                      <w:sz w:val="18"/>
                      <w:szCs w:val="21"/>
                    </w:rPr>
                    <w:t>/</w:t>
                  </w:r>
                </w:p>
              </w:tc>
            </w:tr>
            <w:tr w14:paraId="44B2AF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572" w:type="dxa"/>
                  <w:noWrap/>
                  <w:vAlign w:val="center"/>
                </w:tcPr>
                <w:p w14:paraId="6069F2B1">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8</w:t>
                  </w:r>
                </w:p>
              </w:tc>
              <w:tc>
                <w:tcPr>
                  <w:tcW w:w="742" w:type="dxa"/>
                  <w:noWrap/>
                  <w:vAlign w:val="center"/>
                </w:tcPr>
                <w:p w14:paraId="2FE2F6AE">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提高能源利用效率</w:t>
                  </w:r>
                </w:p>
              </w:tc>
              <w:tc>
                <w:tcPr>
                  <w:tcW w:w="3968" w:type="dxa"/>
                  <w:noWrap/>
                  <w:vAlign w:val="center"/>
                </w:tcPr>
                <w:p w14:paraId="02B7D315">
                  <w:pPr>
                    <w:tabs>
                      <w:tab w:val="left" w:pos="6379"/>
                    </w:tabs>
                    <w:overflowPunct w:val="0"/>
                    <w:adjustRightInd w:val="0"/>
                    <w:snapToGrid w:val="0"/>
                    <w:jc w:val="center"/>
                    <w:rPr>
                      <w:sz w:val="18"/>
                      <w:szCs w:val="21"/>
                    </w:rPr>
                  </w:pPr>
                  <w:r>
                    <w:rPr>
                      <w:rFonts w:hint="eastAsia"/>
                      <w:sz w:val="18"/>
                      <w:szCs w:val="21"/>
                    </w:rPr>
                    <w:t>强化能耗强度刚性约束，对标高耗能行业重点领域能效标杆水平和基准水平，开展全市重点领域项目能效摸底调查，建立重点企业、重点项目能效清单目录和能效台账，有序推进纺织、化工、建材等行业开展节能降碳改造，提升能源利用效率。加强新型基础设施绿色技术耦合，推动既有设施绿色升级改造。深入挖掘存量项目节能潜力，强化用能管理，优化用能结构，规范用能行为，提高设施能效水平。强化高耗能企业绿电（绿证）消费责任，按要求提升绿电（绿证）消费水平，到2025年，高耗能企业电力消费中绿色电力占比不低于30%。支持重点企业、园区高比例消费绿色电力，打造绿色电力企业、绿色电力园区。强化执法监管，建立完善跨部门联动的跟踪节能监察机制，组织开展专项节能监察行动。壮大节能减排队伍，加强节能监察能力建设，健全市、县节能监察体系，提升监察队伍的专业素质和服务意识。</w:t>
                  </w:r>
                </w:p>
              </w:tc>
              <w:tc>
                <w:tcPr>
                  <w:tcW w:w="1369" w:type="dxa"/>
                  <w:noWrap/>
                  <w:vAlign w:val="center"/>
                </w:tcPr>
                <w:p w14:paraId="40611F90">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项目不属于高能耗项目。</w:t>
                  </w:r>
                </w:p>
              </w:tc>
              <w:tc>
                <w:tcPr>
                  <w:tcW w:w="769" w:type="dxa"/>
                  <w:noWrap/>
                  <w:vAlign w:val="center"/>
                </w:tcPr>
                <w:p w14:paraId="4611A0F8">
                  <w:pPr>
                    <w:tabs>
                      <w:tab w:val="left" w:pos="6379"/>
                    </w:tabs>
                    <w:overflowPunct w:val="0"/>
                    <w:adjustRightInd w:val="0"/>
                    <w:snapToGrid w:val="0"/>
                    <w:jc w:val="center"/>
                    <w:rPr>
                      <w:sz w:val="18"/>
                      <w:szCs w:val="21"/>
                    </w:rPr>
                  </w:pPr>
                  <w:r>
                    <w:rPr>
                      <w:rFonts w:hint="eastAsia"/>
                      <w:sz w:val="18"/>
                      <w:szCs w:val="21"/>
                    </w:rPr>
                    <w:t>/</w:t>
                  </w:r>
                </w:p>
              </w:tc>
            </w:tr>
            <w:tr w14:paraId="68B9C3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2" w:type="dxa"/>
                  <w:noWrap/>
                  <w:vAlign w:val="center"/>
                </w:tcPr>
                <w:p w14:paraId="181A91E0">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9</w:t>
                  </w:r>
                </w:p>
              </w:tc>
              <w:tc>
                <w:tcPr>
                  <w:tcW w:w="742" w:type="dxa"/>
                  <w:noWrap/>
                  <w:vAlign w:val="center"/>
                </w:tcPr>
                <w:p w14:paraId="1D74940C">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加强统计监测能力</w:t>
                  </w:r>
                </w:p>
              </w:tc>
              <w:tc>
                <w:tcPr>
                  <w:tcW w:w="3968" w:type="dxa"/>
                  <w:noWrap/>
                  <w:vAlign w:val="center"/>
                </w:tcPr>
                <w:p w14:paraId="31AC0CA8">
                  <w:pPr>
                    <w:tabs>
                      <w:tab w:val="left" w:pos="6379"/>
                    </w:tabs>
                    <w:overflowPunct w:val="0"/>
                    <w:adjustRightInd w:val="0"/>
                    <w:snapToGrid w:val="0"/>
                    <w:jc w:val="both"/>
                    <w:rPr>
                      <w:sz w:val="18"/>
                      <w:szCs w:val="21"/>
                    </w:rPr>
                  </w:pPr>
                  <w:r>
                    <w:rPr>
                      <w:rFonts w:hint="eastAsia"/>
                      <w:sz w:val="18"/>
                      <w:szCs w:val="21"/>
                    </w:rPr>
                    <w:t>完善重点用能单位能源利用状况报告制度，健全能源计量体系。推进重点耗能企业能耗在线监测系统建设和应用。健全固定污染源监测监控体系，推进排污单位自动监测监控联网全覆盖。开展农业面源污染试点监测评估。加强船舶和港口污染物排放调查监测。加强统计基层队伍建设，提升统计数据质量。在火电、石化、化工、建材、钢铁、有色、造纸等行业，以及年综合能源消费1万吨标准煤以上的重点污染源企业开展碳排放协同监测</w:t>
                  </w:r>
                </w:p>
              </w:tc>
              <w:tc>
                <w:tcPr>
                  <w:tcW w:w="1369" w:type="dxa"/>
                  <w:noWrap/>
                  <w:vAlign w:val="center"/>
                </w:tcPr>
                <w:p w14:paraId="33CCBC96">
                  <w:pPr>
                    <w:tabs>
                      <w:tab w:val="left" w:pos="6379"/>
                    </w:tabs>
                    <w:overflowPunct w:val="0"/>
                    <w:adjustRightInd w:val="0"/>
                    <w:snapToGrid w:val="0"/>
                    <w:jc w:val="center"/>
                    <w:rPr>
                      <w:sz w:val="18"/>
                      <w:szCs w:val="21"/>
                    </w:rPr>
                  </w:pPr>
                  <w:r>
                    <w:rPr>
                      <w:rFonts w:hint="eastAsia"/>
                      <w:sz w:val="18"/>
                      <w:szCs w:val="18"/>
                    </w:rPr>
                    <w:t>项目已制定自行监测计划，后期项目运营后，按计划进行监测</w:t>
                  </w:r>
                </w:p>
              </w:tc>
              <w:tc>
                <w:tcPr>
                  <w:tcW w:w="769" w:type="dxa"/>
                  <w:noWrap/>
                  <w:vAlign w:val="center"/>
                </w:tcPr>
                <w:p w14:paraId="10C0A776">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符合</w:t>
                  </w:r>
                </w:p>
              </w:tc>
            </w:tr>
            <w:tr w14:paraId="59BA10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2" w:type="dxa"/>
                  <w:noWrap/>
                  <w:vAlign w:val="center"/>
                </w:tcPr>
                <w:p w14:paraId="01E9DFB9">
                  <w:pPr>
                    <w:tabs>
                      <w:tab w:val="left" w:pos="6379"/>
                    </w:tabs>
                    <w:overflowPunct w:val="0"/>
                    <w:adjustRightInd w:val="0"/>
                    <w:snapToGrid w:val="0"/>
                    <w:jc w:val="center"/>
                    <w:rPr>
                      <w:rFonts w:hint="default" w:eastAsia="宋体"/>
                      <w:sz w:val="18"/>
                      <w:szCs w:val="21"/>
                      <w:lang w:val="en-US" w:eastAsia="zh-CN"/>
                    </w:rPr>
                  </w:pPr>
                  <w:r>
                    <w:rPr>
                      <w:rFonts w:hint="eastAsia"/>
                      <w:sz w:val="18"/>
                      <w:szCs w:val="21"/>
                      <w:lang w:val="en-US" w:eastAsia="zh-CN"/>
                    </w:rPr>
                    <w:t>10</w:t>
                  </w:r>
                </w:p>
              </w:tc>
              <w:tc>
                <w:tcPr>
                  <w:tcW w:w="742" w:type="dxa"/>
                  <w:noWrap/>
                  <w:vAlign w:val="center"/>
                </w:tcPr>
                <w:p w14:paraId="2DB61947">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加快智改数转</w:t>
                  </w:r>
                </w:p>
              </w:tc>
              <w:tc>
                <w:tcPr>
                  <w:tcW w:w="3968" w:type="dxa"/>
                  <w:noWrap/>
                  <w:vAlign w:val="center"/>
                </w:tcPr>
                <w:p w14:paraId="2517F1E7">
                  <w:pPr>
                    <w:tabs>
                      <w:tab w:val="left" w:pos="6379"/>
                    </w:tabs>
                    <w:overflowPunct w:val="0"/>
                    <w:adjustRightInd w:val="0"/>
                    <w:snapToGrid w:val="0"/>
                    <w:jc w:val="center"/>
                    <w:rPr>
                      <w:sz w:val="18"/>
                      <w:szCs w:val="21"/>
                    </w:rPr>
                  </w:pPr>
                  <w:r>
                    <w:rPr>
                      <w:rFonts w:hint="eastAsia"/>
                      <w:sz w:val="18"/>
                      <w:szCs w:val="21"/>
                    </w:rPr>
                    <w:t>大力推进智慧化工园区建设，全面提升园区监督管理信息化、分析决策智能化、应急救援一体化支撑能力。支持园区“链主”企业利用5G、大数据、人工智能等新一代信息技术进行全链条改造，加大核心装备、关键工序智能化改造和载体平台数字化提升等领域的投入，培育一批智能制造示范车间、示范工厂和工业互联网标杆工厂，带动产业链上下游企业数字化转型，推动化工产业转型升级、高质量发展。</w:t>
                  </w:r>
                </w:p>
              </w:tc>
              <w:tc>
                <w:tcPr>
                  <w:tcW w:w="1369" w:type="dxa"/>
                  <w:noWrap/>
                  <w:vAlign w:val="center"/>
                </w:tcPr>
                <w:p w14:paraId="0C643030">
                  <w:pPr>
                    <w:tabs>
                      <w:tab w:val="left" w:pos="6379"/>
                    </w:tabs>
                    <w:overflowPunct w:val="0"/>
                    <w:adjustRightInd w:val="0"/>
                    <w:snapToGrid w:val="0"/>
                    <w:jc w:val="center"/>
                    <w:rPr>
                      <w:rFonts w:hint="eastAsia" w:eastAsia="宋体"/>
                      <w:sz w:val="18"/>
                      <w:szCs w:val="21"/>
                      <w:lang w:eastAsia="zh-CN"/>
                    </w:rPr>
                  </w:pPr>
                  <w:r>
                    <w:rPr>
                      <w:rFonts w:hint="eastAsia"/>
                      <w:sz w:val="18"/>
                      <w:szCs w:val="21"/>
                      <w:lang w:val="en-US" w:eastAsia="zh-CN"/>
                    </w:rPr>
                    <w:t>/</w:t>
                  </w:r>
                </w:p>
              </w:tc>
              <w:tc>
                <w:tcPr>
                  <w:tcW w:w="769" w:type="dxa"/>
                  <w:noWrap/>
                  <w:vAlign w:val="center"/>
                </w:tcPr>
                <w:p w14:paraId="6E5E3173">
                  <w:pPr>
                    <w:tabs>
                      <w:tab w:val="left" w:pos="6379"/>
                    </w:tabs>
                    <w:overflowPunct w:val="0"/>
                    <w:adjustRightInd w:val="0"/>
                    <w:snapToGrid w:val="0"/>
                    <w:jc w:val="center"/>
                    <w:rPr>
                      <w:rFonts w:hint="eastAsia" w:eastAsia="宋体"/>
                      <w:sz w:val="18"/>
                      <w:szCs w:val="21"/>
                      <w:lang w:eastAsia="zh-CN"/>
                    </w:rPr>
                  </w:pPr>
                  <w:r>
                    <w:rPr>
                      <w:rFonts w:hint="eastAsia"/>
                      <w:sz w:val="18"/>
                      <w:szCs w:val="21"/>
                      <w:lang w:val="en-US" w:eastAsia="zh-CN"/>
                    </w:rPr>
                    <w:t>/</w:t>
                  </w:r>
                </w:p>
              </w:tc>
            </w:tr>
          </w:tbl>
          <w:p w14:paraId="4A65834E">
            <w:pPr>
              <w:adjustRightInd w:val="0"/>
              <w:snapToGrid w:val="0"/>
              <w:spacing w:line="500" w:lineRule="exact"/>
              <w:ind w:firstLine="422" w:firstLineChars="200"/>
              <w:rPr>
                <w:b/>
                <w:szCs w:val="21"/>
              </w:rPr>
            </w:pPr>
            <w:r>
              <w:rPr>
                <w:rFonts w:hint="eastAsia"/>
                <w:b/>
                <w:bCs/>
                <w:lang w:val="en-US" w:eastAsia="zh-CN"/>
              </w:rPr>
              <w:t>10、与</w:t>
            </w:r>
            <w:r>
              <w:rPr>
                <w:rFonts w:hint="eastAsia"/>
                <w:b/>
                <w:bCs/>
                <w:szCs w:val="21"/>
              </w:rPr>
              <w:t>区委办公室区政府办公室关于印发《通州区减污降碳协同推进重点行业绿色发展实施方案》的通知（通办〔2024〕</w:t>
            </w:r>
            <w:r>
              <w:rPr>
                <w:rFonts w:hint="eastAsia"/>
                <w:b/>
                <w:bCs/>
                <w:szCs w:val="21"/>
                <w:lang w:val="en-US" w:eastAsia="zh-CN"/>
              </w:rPr>
              <w:t>44</w:t>
            </w:r>
            <w:r>
              <w:rPr>
                <w:rFonts w:hint="eastAsia"/>
                <w:b/>
                <w:bCs/>
                <w:szCs w:val="21"/>
              </w:rPr>
              <w:t>号）的</w:t>
            </w:r>
            <w:r>
              <w:rPr>
                <w:b/>
                <w:bCs/>
                <w:szCs w:val="21"/>
              </w:rPr>
              <w:t>相符性分析</w:t>
            </w:r>
          </w:p>
          <w:p w14:paraId="5831DD24">
            <w:pPr>
              <w:spacing w:line="500" w:lineRule="exact"/>
              <w:ind w:firstLine="422" w:firstLineChars="200"/>
              <w:jc w:val="center"/>
              <w:rPr>
                <w:b/>
                <w:szCs w:val="21"/>
              </w:rPr>
            </w:pPr>
            <w:r>
              <w:rPr>
                <w:b/>
                <w:szCs w:val="21"/>
              </w:rPr>
              <w:t>表1-</w:t>
            </w:r>
            <w:r>
              <w:rPr>
                <w:rFonts w:hint="eastAsia"/>
                <w:b/>
                <w:szCs w:val="21"/>
                <w:lang w:val="en-US" w:eastAsia="zh-CN"/>
              </w:rPr>
              <w:t>6</w:t>
            </w:r>
            <w:r>
              <w:rPr>
                <w:b/>
                <w:szCs w:val="21"/>
              </w:rPr>
              <w:t xml:space="preserve"> 与（通办</w:t>
            </w:r>
            <w:r>
              <w:rPr>
                <w:rFonts w:hint="eastAsia"/>
                <w:b/>
                <w:szCs w:val="21"/>
              </w:rPr>
              <w:t>〔</w:t>
            </w:r>
            <w:r>
              <w:rPr>
                <w:b/>
                <w:szCs w:val="21"/>
              </w:rPr>
              <w:t>202</w:t>
            </w:r>
            <w:r>
              <w:rPr>
                <w:rFonts w:hint="eastAsia"/>
                <w:b/>
                <w:szCs w:val="21"/>
                <w:lang w:val="en-US" w:eastAsia="zh-CN"/>
              </w:rPr>
              <w:t>4</w:t>
            </w:r>
            <w:r>
              <w:rPr>
                <w:rFonts w:hint="eastAsia"/>
                <w:b/>
                <w:szCs w:val="21"/>
              </w:rPr>
              <w:t>〕</w:t>
            </w:r>
            <w:r>
              <w:rPr>
                <w:rFonts w:hint="eastAsia"/>
                <w:b/>
                <w:szCs w:val="21"/>
                <w:lang w:val="en-US" w:eastAsia="zh-CN"/>
              </w:rPr>
              <w:t>44</w:t>
            </w:r>
            <w:r>
              <w:rPr>
                <w:b/>
                <w:szCs w:val="21"/>
              </w:rPr>
              <w:t>号）的相符性分析</w:t>
            </w:r>
          </w:p>
          <w:tbl>
            <w:tblPr>
              <w:tblStyle w:val="16"/>
              <w:tblW w:w="69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7"/>
              <w:gridCol w:w="698"/>
              <w:gridCol w:w="3628"/>
              <w:gridCol w:w="1392"/>
              <w:gridCol w:w="723"/>
            </w:tblGrid>
            <w:tr w14:paraId="5ABF7F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37" w:type="dxa"/>
                  <w:noWrap/>
                  <w:vAlign w:val="center"/>
                </w:tcPr>
                <w:p w14:paraId="6E187A1A">
                  <w:pPr>
                    <w:tabs>
                      <w:tab w:val="left" w:pos="6379"/>
                    </w:tabs>
                    <w:overflowPunct w:val="0"/>
                    <w:adjustRightInd w:val="0"/>
                    <w:snapToGrid w:val="0"/>
                    <w:jc w:val="center"/>
                    <w:rPr>
                      <w:bCs/>
                      <w:sz w:val="18"/>
                      <w:szCs w:val="21"/>
                    </w:rPr>
                  </w:pPr>
                  <w:r>
                    <w:rPr>
                      <w:bCs/>
                      <w:sz w:val="18"/>
                      <w:szCs w:val="21"/>
                    </w:rPr>
                    <w:t>序号</w:t>
                  </w:r>
                </w:p>
              </w:tc>
              <w:tc>
                <w:tcPr>
                  <w:tcW w:w="698" w:type="dxa"/>
                  <w:noWrap/>
                  <w:vAlign w:val="center"/>
                </w:tcPr>
                <w:p w14:paraId="48B8EB41">
                  <w:pPr>
                    <w:tabs>
                      <w:tab w:val="left" w:pos="6379"/>
                    </w:tabs>
                    <w:overflowPunct w:val="0"/>
                    <w:adjustRightInd w:val="0"/>
                    <w:snapToGrid w:val="0"/>
                    <w:jc w:val="center"/>
                    <w:rPr>
                      <w:bCs/>
                      <w:sz w:val="18"/>
                      <w:szCs w:val="21"/>
                    </w:rPr>
                  </w:pPr>
                  <w:r>
                    <w:rPr>
                      <w:bCs/>
                      <w:sz w:val="18"/>
                      <w:szCs w:val="21"/>
                    </w:rPr>
                    <w:t>类别</w:t>
                  </w:r>
                </w:p>
              </w:tc>
              <w:tc>
                <w:tcPr>
                  <w:tcW w:w="3628" w:type="dxa"/>
                  <w:noWrap/>
                  <w:vAlign w:val="center"/>
                </w:tcPr>
                <w:p w14:paraId="2C578FC8">
                  <w:pPr>
                    <w:tabs>
                      <w:tab w:val="left" w:pos="6379"/>
                    </w:tabs>
                    <w:overflowPunct w:val="0"/>
                    <w:adjustRightInd w:val="0"/>
                    <w:snapToGrid w:val="0"/>
                    <w:jc w:val="center"/>
                    <w:rPr>
                      <w:bCs/>
                      <w:sz w:val="18"/>
                      <w:szCs w:val="21"/>
                    </w:rPr>
                  </w:pPr>
                  <w:r>
                    <w:rPr>
                      <w:bCs/>
                      <w:sz w:val="18"/>
                      <w:szCs w:val="21"/>
                    </w:rPr>
                    <w:t>方案相关内容</w:t>
                  </w:r>
                </w:p>
              </w:tc>
              <w:tc>
                <w:tcPr>
                  <w:tcW w:w="1392" w:type="dxa"/>
                  <w:noWrap/>
                  <w:vAlign w:val="center"/>
                </w:tcPr>
                <w:p w14:paraId="4BC8AAD5">
                  <w:pPr>
                    <w:tabs>
                      <w:tab w:val="left" w:pos="6379"/>
                    </w:tabs>
                    <w:overflowPunct w:val="0"/>
                    <w:adjustRightInd w:val="0"/>
                    <w:snapToGrid w:val="0"/>
                    <w:jc w:val="center"/>
                    <w:rPr>
                      <w:bCs/>
                      <w:sz w:val="18"/>
                      <w:szCs w:val="21"/>
                    </w:rPr>
                  </w:pPr>
                  <w:r>
                    <w:rPr>
                      <w:bCs/>
                      <w:sz w:val="18"/>
                      <w:szCs w:val="21"/>
                    </w:rPr>
                    <w:t>本项目情况</w:t>
                  </w:r>
                </w:p>
              </w:tc>
              <w:tc>
                <w:tcPr>
                  <w:tcW w:w="723" w:type="dxa"/>
                  <w:noWrap/>
                  <w:vAlign w:val="center"/>
                </w:tcPr>
                <w:p w14:paraId="52E241F5">
                  <w:pPr>
                    <w:tabs>
                      <w:tab w:val="left" w:pos="6379"/>
                    </w:tabs>
                    <w:overflowPunct w:val="0"/>
                    <w:adjustRightInd w:val="0"/>
                    <w:snapToGrid w:val="0"/>
                    <w:jc w:val="center"/>
                    <w:rPr>
                      <w:bCs/>
                      <w:sz w:val="18"/>
                      <w:szCs w:val="21"/>
                    </w:rPr>
                  </w:pPr>
                  <w:r>
                    <w:rPr>
                      <w:bCs/>
                      <w:sz w:val="18"/>
                      <w:szCs w:val="21"/>
                    </w:rPr>
                    <w:t>相符性分析</w:t>
                  </w:r>
                </w:p>
              </w:tc>
            </w:tr>
            <w:tr w14:paraId="603C21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537" w:type="dxa"/>
                  <w:noWrap/>
                  <w:vAlign w:val="center"/>
                </w:tcPr>
                <w:p w14:paraId="29E24AA5">
                  <w:pPr>
                    <w:tabs>
                      <w:tab w:val="left" w:pos="6379"/>
                    </w:tabs>
                    <w:overflowPunct w:val="0"/>
                    <w:adjustRightInd w:val="0"/>
                    <w:snapToGrid w:val="0"/>
                    <w:jc w:val="center"/>
                    <w:rPr>
                      <w:rFonts w:hint="eastAsia" w:eastAsia="宋体"/>
                      <w:bCs/>
                      <w:sz w:val="18"/>
                      <w:szCs w:val="21"/>
                      <w:lang w:val="en-US" w:eastAsia="zh-CN"/>
                    </w:rPr>
                  </w:pPr>
                  <w:r>
                    <w:rPr>
                      <w:rFonts w:hint="eastAsia"/>
                      <w:bCs/>
                      <w:sz w:val="18"/>
                      <w:szCs w:val="21"/>
                      <w:lang w:val="en-US" w:eastAsia="zh-CN"/>
                    </w:rPr>
                    <w:t>1</w:t>
                  </w:r>
                </w:p>
              </w:tc>
              <w:tc>
                <w:tcPr>
                  <w:tcW w:w="698" w:type="dxa"/>
                  <w:noWrap/>
                  <w:vAlign w:val="center"/>
                </w:tcPr>
                <w:p w14:paraId="0114C549">
                  <w:pPr>
                    <w:tabs>
                      <w:tab w:val="left" w:pos="6379"/>
                    </w:tabs>
                    <w:overflowPunct w:val="0"/>
                    <w:adjustRightInd w:val="0"/>
                    <w:snapToGrid w:val="0"/>
                    <w:jc w:val="center"/>
                    <w:rPr>
                      <w:rFonts w:hint="eastAsia" w:eastAsia="宋体"/>
                      <w:bCs/>
                      <w:sz w:val="18"/>
                      <w:szCs w:val="21"/>
                      <w:lang w:eastAsia="zh-CN"/>
                    </w:rPr>
                  </w:pPr>
                  <w:r>
                    <w:rPr>
                      <w:rFonts w:hint="eastAsia"/>
                      <w:bCs/>
                      <w:sz w:val="18"/>
                      <w:szCs w:val="21"/>
                      <w:lang w:eastAsia="zh-CN"/>
                    </w:rPr>
                    <w:t>优化空间布局</w:t>
                  </w:r>
                </w:p>
              </w:tc>
              <w:tc>
                <w:tcPr>
                  <w:tcW w:w="3628" w:type="dxa"/>
                  <w:noWrap/>
                  <w:vAlign w:val="center"/>
                </w:tcPr>
                <w:p w14:paraId="7A4EB565">
                  <w:pPr>
                    <w:tabs>
                      <w:tab w:val="left" w:pos="6379"/>
                    </w:tabs>
                    <w:overflowPunct w:val="0"/>
                    <w:adjustRightInd w:val="0"/>
                    <w:snapToGrid w:val="0"/>
                    <w:jc w:val="center"/>
                    <w:rPr>
                      <w:rFonts w:hint="eastAsia"/>
                      <w:bCs/>
                      <w:sz w:val="18"/>
                      <w:szCs w:val="21"/>
                    </w:rPr>
                  </w:pPr>
                  <w:r>
                    <w:rPr>
                      <w:rFonts w:hint="eastAsia"/>
                      <w:bCs/>
                      <w:sz w:val="18"/>
                      <w:szCs w:val="21"/>
                    </w:rPr>
                    <w:t>严格落实长江经济带“共抓大保护、不搞大开发”要求，坚持生态优先、绿色发展，突出区外分散向园区集聚的总体方向，结合国土空间规划，优化重点产业空间格局；加大沿江生态保护力度，腾退沿江落后低效企业。加强与《区政府关于印发南通市通州区国民经济和社会发展第十四个五年规划和二〇三五年远景目标纲要的通知》的衔接，落实经济、社会、产业等发展目标和指标，为国家发展规划落地实施提供空间保障，促进经济社会发展格局、城镇空间布局、产业结构调整与资源环境承载能力相</w:t>
                  </w:r>
                </w:p>
                <w:p w14:paraId="2E59CF44">
                  <w:pPr>
                    <w:tabs>
                      <w:tab w:val="left" w:pos="6379"/>
                    </w:tabs>
                    <w:overflowPunct w:val="0"/>
                    <w:adjustRightInd w:val="0"/>
                    <w:snapToGrid w:val="0"/>
                    <w:jc w:val="center"/>
                    <w:rPr>
                      <w:bCs/>
                      <w:sz w:val="18"/>
                      <w:szCs w:val="21"/>
                    </w:rPr>
                  </w:pPr>
                  <w:r>
                    <w:rPr>
                      <w:rFonts w:hint="eastAsia"/>
                      <w:bCs/>
                      <w:sz w:val="18"/>
                      <w:szCs w:val="21"/>
                    </w:rPr>
                    <w:t>适应。</w:t>
                  </w:r>
                </w:p>
              </w:tc>
              <w:tc>
                <w:tcPr>
                  <w:tcW w:w="1392" w:type="dxa"/>
                  <w:noWrap/>
                  <w:vAlign w:val="center"/>
                </w:tcPr>
                <w:p w14:paraId="5CF04563">
                  <w:pPr>
                    <w:tabs>
                      <w:tab w:val="left" w:pos="6379"/>
                    </w:tabs>
                    <w:overflowPunct w:val="0"/>
                    <w:adjustRightInd w:val="0"/>
                    <w:snapToGrid w:val="0"/>
                    <w:jc w:val="center"/>
                    <w:rPr>
                      <w:bCs/>
                      <w:sz w:val="18"/>
                      <w:szCs w:val="21"/>
                    </w:rPr>
                  </w:pPr>
                  <w:r>
                    <w:rPr>
                      <w:sz w:val="18"/>
                      <w:szCs w:val="21"/>
                    </w:rPr>
                    <w:t>本项目位于</w:t>
                  </w:r>
                  <w:r>
                    <w:rPr>
                      <w:rFonts w:hint="eastAsia"/>
                      <w:sz w:val="18"/>
                      <w:szCs w:val="21"/>
                    </w:rPr>
                    <w:t>南通市通州区刘桥镇蒋一村十五组</w:t>
                  </w:r>
                  <w:r>
                    <w:rPr>
                      <w:rFonts w:hint="eastAsia"/>
                      <w:sz w:val="18"/>
                      <w:szCs w:val="21"/>
                      <w:lang w:eastAsia="zh-CN"/>
                    </w:rPr>
                    <w:t>，不涉及生态红线，符合国土空间规划</w:t>
                  </w:r>
                  <w:r>
                    <w:rPr>
                      <w:sz w:val="18"/>
                      <w:szCs w:val="21"/>
                    </w:rPr>
                    <w:t>。</w:t>
                  </w:r>
                </w:p>
              </w:tc>
              <w:tc>
                <w:tcPr>
                  <w:tcW w:w="723" w:type="dxa"/>
                  <w:noWrap/>
                  <w:vAlign w:val="center"/>
                </w:tcPr>
                <w:p w14:paraId="0CD3A45A">
                  <w:pPr>
                    <w:tabs>
                      <w:tab w:val="left" w:pos="6379"/>
                    </w:tabs>
                    <w:overflowPunct w:val="0"/>
                    <w:adjustRightInd w:val="0"/>
                    <w:snapToGrid w:val="0"/>
                    <w:jc w:val="center"/>
                    <w:rPr>
                      <w:rFonts w:hint="eastAsia" w:eastAsia="宋体"/>
                      <w:bCs/>
                      <w:sz w:val="18"/>
                      <w:szCs w:val="21"/>
                      <w:lang w:eastAsia="zh-CN"/>
                    </w:rPr>
                  </w:pPr>
                  <w:r>
                    <w:rPr>
                      <w:rFonts w:hint="eastAsia"/>
                      <w:bCs/>
                      <w:sz w:val="18"/>
                      <w:szCs w:val="21"/>
                      <w:lang w:eastAsia="zh-CN"/>
                    </w:rPr>
                    <w:t>符合</w:t>
                  </w:r>
                </w:p>
              </w:tc>
            </w:tr>
            <w:tr w14:paraId="0ABDA5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37" w:type="dxa"/>
                  <w:noWrap/>
                  <w:vAlign w:val="center"/>
                </w:tcPr>
                <w:p w14:paraId="52A287F5">
                  <w:pPr>
                    <w:tabs>
                      <w:tab w:val="left" w:pos="6379"/>
                    </w:tabs>
                    <w:overflowPunct w:val="0"/>
                    <w:adjustRightInd w:val="0"/>
                    <w:snapToGrid w:val="0"/>
                    <w:jc w:val="center"/>
                    <w:rPr>
                      <w:rFonts w:hint="default"/>
                      <w:bCs/>
                      <w:sz w:val="18"/>
                      <w:szCs w:val="21"/>
                      <w:lang w:val="en-US" w:eastAsia="zh-CN"/>
                    </w:rPr>
                  </w:pPr>
                  <w:r>
                    <w:rPr>
                      <w:rFonts w:hint="eastAsia"/>
                      <w:bCs/>
                      <w:sz w:val="18"/>
                      <w:szCs w:val="21"/>
                      <w:lang w:val="en-US" w:eastAsia="zh-CN"/>
                    </w:rPr>
                    <w:t>2</w:t>
                  </w:r>
                </w:p>
              </w:tc>
              <w:tc>
                <w:tcPr>
                  <w:tcW w:w="698" w:type="dxa"/>
                  <w:noWrap/>
                  <w:vAlign w:val="center"/>
                </w:tcPr>
                <w:p w14:paraId="7FC7CB57">
                  <w:pPr>
                    <w:tabs>
                      <w:tab w:val="left" w:pos="6379"/>
                    </w:tabs>
                    <w:overflowPunct w:val="0"/>
                    <w:adjustRightInd w:val="0"/>
                    <w:snapToGrid w:val="0"/>
                    <w:jc w:val="center"/>
                    <w:rPr>
                      <w:rFonts w:hint="eastAsia"/>
                      <w:bCs/>
                      <w:sz w:val="18"/>
                      <w:szCs w:val="21"/>
                      <w:lang w:eastAsia="zh-CN"/>
                    </w:rPr>
                  </w:pPr>
                  <w:r>
                    <w:rPr>
                      <w:rFonts w:hint="eastAsia"/>
                      <w:bCs/>
                      <w:sz w:val="18"/>
                      <w:szCs w:val="21"/>
                      <w:lang w:eastAsia="zh-CN"/>
                    </w:rPr>
                    <w:t>打造绿色产业</w:t>
                  </w:r>
                </w:p>
              </w:tc>
              <w:tc>
                <w:tcPr>
                  <w:tcW w:w="3628" w:type="dxa"/>
                  <w:noWrap/>
                  <w:vAlign w:val="center"/>
                </w:tcPr>
                <w:p w14:paraId="5488862E">
                  <w:pPr>
                    <w:tabs>
                      <w:tab w:val="left" w:pos="6379"/>
                    </w:tabs>
                    <w:overflowPunct w:val="0"/>
                    <w:adjustRightInd w:val="0"/>
                    <w:snapToGrid w:val="0"/>
                    <w:jc w:val="center"/>
                    <w:rPr>
                      <w:rFonts w:hint="eastAsia"/>
                      <w:bCs/>
                      <w:sz w:val="18"/>
                      <w:szCs w:val="21"/>
                    </w:rPr>
                  </w:pPr>
                  <w:r>
                    <w:rPr>
                      <w:rFonts w:hint="eastAsia"/>
                      <w:bCs/>
                      <w:sz w:val="18"/>
                      <w:szCs w:val="21"/>
                    </w:rPr>
                    <w:t>依托南通高新区、石港科技产业园等园区，以现有企业为基础，推动各个园区项目、资源、政策、技术交流，促进新兴产业聚集、壮大。提高绿色新兴产业项目在年度考核中所占的比重，引导南通高新区、各镇（街道）提升绿色新兴产业招引比重，按照绿色产业准入标准要求严格产业项目的招引。推动制造业绿色化发展，推动传统产业转型升级，推动重点领域企业积极采用绿色工艺技术装备实施节能降碳改造升级，建立健全碳排放管理机制和产品碳足迹管理体系。以打造环境友好型、资源节约型现代化企业为目标，实施重点产业改造提升，深度推进传统制造业节能减排、两化融合、产品结构调整和工艺技术创新。推行高效能、低能耗、可循环、少排放的绿色生产模式</w:t>
                  </w:r>
                </w:p>
              </w:tc>
              <w:tc>
                <w:tcPr>
                  <w:tcW w:w="1392" w:type="dxa"/>
                  <w:noWrap/>
                  <w:vAlign w:val="center"/>
                </w:tcPr>
                <w:p w14:paraId="7410E40D">
                  <w:pPr>
                    <w:tabs>
                      <w:tab w:val="left" w:pos="6379"/>
                    </w:tabs>
                    <w:overflowPunct w:val="0"/>
                    <w:adjustRightInd w:val="0"/>
                    <w:snapToGrid w:val="0"/>
                    <w:jc w:val="center"/>
                    <w:rPr>
                      <w:bCs/>
                      <w:sz w:val="18"/>
                      <w:szCs w:val="21"/>
                    </w:rPr>
                  </w:pPr>
                  <w:r>
                    <w:rPr>
                      <w:rFonts w:hint="eastAsia"/>
                      <w:sz w:val="18"/>
                      <w:szCs w:val="21"/>
                      <w:lang w:eastAsia="zh-CN"/>
                    </w:rPr>
                    <w:t>本项目不属于钢铁、化工。建材、煤电、纺织、造纸行业，项目使用清洁能源，不使用煤炭等，低能耗。</w:t>
                  </w:r>
                </w:p>
              </w:tc>
              <w:tc>
                <w:tcPr>
                  <w:tcW w:w="723" w:type="dxa"/>
                  <w:noWrap/>
                  <w:vAlign w:val="center"/>
                </w:tcPr>
                <w:p w14:paraId="1ABBA897">
                  <w:pPr>
                    <w:tabs>
                      <w:tab w:val="left" w:pos="6379"/>
                    </w:tabs>
                    <w:overflowPunct w:val="0"/>
                    <w:adjustRightInd w:val="0"/>
                    <w:snapToGrid w:val="0"/>
                    <w:jc w:val="center"/>
                    <w:rPr>
                      <w:rFonts w:hint="eastAsia" w:eastAsia="宋体"/>
                      <w:bCs/>
                      <w:sz w:val="18"/>
                      <w:szCs w:val="21"/>
                      <w:lang w:eastAsia="zh-CN"/>
                    </w:rPr>
                  </w:pPr>
                  <w:r>
                    <w:rPr>
                      <w:rFonts w:hint="eastAsia"/>
                      <w:bCs/>
                      <w:sz w:val="18"/>
                      <w:szCs w:val="21"/>
                      <w:lang w:eastAsia="zh-CN"/>
                    </w:rPr>
                    <w:t>符合</w:t>
                  </w:r>
                </w:p>
              </w:tc>
            </w:tr>
            <w:tr w14:paraId="05B92F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537" w:type="dxa"/>
                  <w:noWrap/>
                  <w:vAlign w:val="center"/>
                </w:tcPr>
                <w:p w14:paraId="0AB7776B">
                  <w:pPr>
                    <w:tabs>
                      <w:tab w:val="left" w:pos="6379"/>
                    </w:tabs>
                    <w:overflowPunct w:val="0"/>
                    <w:adjustRightInd w:val="0"/>
                    <w:snapToGrid w:val="0"/>
                    <w:jc w:val="center"/>
                    <w:rPr>
                      <w:rFonts w:hint="default"/>
                      <w:bCs/>
                      <w:sz w:val="18"/>
                      <w:szCs w:val="21"/>
                      <w:lang w:val="en-US" w:eastAsia="zh-CN"/>
                    </w:rPr>
                  </w:pPr>
                  <w:r>
                    <w:rPr>
                      <w:rFonts w:hint="eastAsia"/>
                      <w:bCs/>
                      <w:sz w:val="18"/>
                      <w:szCs w:val="21"/>
                      <w:lang w:val="en-US" w:eastAsia="zh-CN"/>
                    </w:rPr>
                    <w:t>3</w:t>
                  </w:r>
                </w:p>
              </w:tc>
              <w:tc>
                <w:tcPr>
                  <w:tcW w:w="698" w:type="dxa"/>
                  <w:noWrap/>
                  <w:vAlign w:val="center"/>
                </w:tcPr>
                <w:p w14:paraId="09235880">
                  <w:pPr>
                    <w:tabs>
                      <w:tab w:val="left" w:pos="6379"/>
                    </w:tabs>
                    <w:overflowPunct w:val="0"/>
                    <w:adjustRightInd w:val="0"/>
                    <w:snapToGrid w:val="0"/>
                    <w:jc w:val="center"/>
                    <w:rPr>
                      <w:rFonts w:hint="eastAsia"/>
                      <w:bCs/>
                      <w:sz w:val="18"/>
                      <w:szCs w:val="21"/>
                      <w:lang w:eastAsia="zh-CN"/>
                    </w:rPr>
                  </w:pPr>
                  <w:r>
                    <w:rPr>
                      <w:rFonts w:hint="eastAsia"/>
                      <w:bCs/>
                      <w:sz w:val="18"/>
                      <w:szCs w:val="21"/>
                      <w:lang w:eastAsia="zh-CN"/>
                    </w:rPr>
                    <w:t>建设生态园区</w:t>
                  </w:r>
                </w:p>
              </w:tc>
              <w:tc>
                <w:tcPr>
                  <w:tcW w:w="3628" w:type="dxa"/>
                  <w:noWrap/>
                  <w:vAlign w:val="center"/>
                </w:tcPr>
                <w:p w14:paraId="0F74B99C">
                  <w:pPr>
                    <w:tabs>
                      <w:tab w:val="left" w:pos="6379"/>
                    </w:tabs>
                    <w:overflowPunct w:val="0"/>
                    <w:adjustRightInd w:val="0"/>
                    <w:snapToGrid w:val="0"/>
                    <w:jc w:val="center"/>
                    <w:rPr>
                      <w:rFonts w:hint="eastAsia"/>
                      <w:bCs/>
                      <w:sz w:val="18"/>
                      <w:szCs w:val="21"/>
                    </w:rPr>
                  </w:pPr>
                  <w:r>
                    <w:rPr>
                      <w:rFonts w:hint="eastAsia"/>
                      <w:bCs/>
                      <w:sz w:val="18"/>
                      <w:szCs w:val="21"/>
                    </w:rPr>
                    <w:t>鼓励引导南通高新技术产业开发区重点打造“一主一新一智”三大产业。实施能效赶超行动，推动企业实施节能改造。引导企业加强技术改造和创新，大力发展智能制造，不断增强核心竞争力，2024年争创3家省级智能工厂（车间）。推动园区基础公共设施共建共享、能源梯级利用、资源循环利用和污染物集中安全处置等。因地制宜布局污水资源化利用设施，提高水重复利用率。强化工业园区用能管理，鼓励优先利用可再生能源，支持园区探索开展环境管家、绿色联盟、产业共生等创新发展模式，推广绿色整体服务和全过程服务。</w:t>
                  </w:r>
                </w:p>
              </w:tc>
              <w:tc>
                <w:tcPr>
                  <w:tcW w:w="1392" w:type="dxa"/>
                  <w:noWrap/>
                  <w:vAlign w:val="center"/>
                </w:tcPr>
                <w:p w14:paraId="3D6CF62F">
                  <w:pPr>
                    <w:tabs>
                      <w:tab w:val="left" w:pos="6379"/>
                    </w:tabs>
                    <w:overflowPunct w:val="0"/>
                    <w:adjustRightInd w:val="0"/>
                    <w:snapToGrid w:val="0"/>
                    <w:jc w:val="center"/>
                    <w:rPr>
                      <w:bCs/>
                      <w:sz w:val="18"/>
                      <w:szCs w:val="21"/>
                    </w:rPr>
                  </w:pPr>
                  <w:r>
                    <w:rPr>
                      <w:sz w:val="18"/>
                      <w:szCs w:val="21"/>
                    </w:rPr>
                    <w:t>/</w:t>
                  </w:r>
                </w:p>
              </w:tc>
              <w:tc>
                <w:tcPr>
                  <w:tcW w:w="723" w:type="dxa"/>
                  <w:noWrap/>
                  <w:vAlign w:val="center"/>
                </w:tcPr>
                <w:p w14:paraId="7062E13F">
                  <w:pPr>
                    <w:tabs>
                      <w:tab w:val="left" w:pos="6379"/>
                    </w:tabs>
                    <w:overflowPunct w:val="0"/>
                    <w:adjustRightInd w:val="0"/>
                    <w:snapToGrid w:val="0"/>
                    <w:jc w:val="center"/>
                    <w:rPr>
                      <w:rFonts w:hint="eastAsia" w:eastAsia="宋体"/>
                      <w:bCs/>
                      <w:sz w:val="18"/>
                      <w:szCs w:val="21"/>
                      <w:lang w:val="en-US" w:eastAsia="zh-CN"/>
                    </w:rPr>
                  </w:pPr>
                  <w:r>
                    <w:rPr>
                      <w:rFonts w:hint="eastAsia"/>
                      <w:bCs/>
                      <w:sz w:val="18"/>
                      <w:szCs w:val="21"/>
                      <w:lang w:val="en-US" w:eastAsia="zh-CN"/>
                    </w:rPr>
                    <w:t>/</w:t>
                  </w:r>
                </w:p>
              </w:tc>
            </w:tr>
            <w:tr w14:paraId="0DA38D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537" w:type="dxa"/>
                  <w:noWrap/>
                  <w:vAlign w:val="center"/>
                </w:tcPr>
                <w:p w14:paraId="25AE874F">
                  <w:pPr>
                    <w:tabs>
                      <w:tab w:val="left" w:pos="6379"/>
                    </w:tabs>
                    <w:overflowPunct w:val="0"/>
                    <w:adjustRightInd w:val="0"/>
                    <w:snapToGrid w:val="0"/>
                    <w:jc w:val="center"/>
                    <w:rPr>
                      <w:rFonts w:hint="default"/>
                      <w:bCs/>
                      <w:sz w:val="18"/>
                      <w:szCs w:val="21"/>
                      <w:lang w:val="en-US" w:eastAsia="zh-CN"/>
                    </w:rPr>
                  </w:pPr>
                  <w:r>
                    <w:rPr>
                      <w:rFonts w:hint="eastAsia"/>
                      <w:bCs/>
                      <w:sz w:val="18"/>
                      <w:szCs w:val="21"/>
                      <w:lang w:val="en-US" w:eastAsia="zh-CN"/>
                    </w:rPr>
                    <w:t>4</w:t>
                  </w:r>
                </w:p>
              </w:tc>
              <w:tc>
                <w:tcPr>
                  <w:tcW w:w="698" w:type="dxa"/>
                  <w:noWrap/>
                  <w:vAlign w:val="center"/>
                </w:tcPr>
                <w:p w14:paraId="58A626B3">
                  <w:pPr>
                    <w:tabs>
                      <w:tab w:val="left" w:pos="6379"/>
                    </w:tabs>
                    <w:overflowPunct w:val="0"/>
                    <w:adjustRightInd w:val="0"/>
                    <w:snapToGrid w:val="0"/>
                    <w:jc w:val="center"/>
                    <w:rPr>
                      <w:rFonts w:hint="eastAsia"/>
                      <w:bCs/>
                      <w:sz w:val="18"/>
                      <w:szCs w:val="21"/>
                      <w:lang w:eastAsia="zh-CN"/>
                    </w:rPr>
                  </w:pPr>
                  <w:r>
                    <w:rPr>
                      <w:rFonts w:hint="eastAsia"/>
                      <w:bCs/>
                      <w:sz w:val="18"/>
                      <w:szCs w:val="21"/>
                      <w:lang w:eastAsia="zh-CN"/>
                    </w:rPr>
                    <w:t>推行清洁生产</w:t>
                  </w:r>
                </w:p>
              </w:tc>
              <w:tc>
                <w:tcPr>
                  <w:tcW w:w="3628" w:type="dxa"/>
                  <w:noWrap/>
                  <w:vAlign w:val="center"/>
                </w:tcPr>
                <w:p w14:paraId="0B2EACA0">
                  <w:pPr>
                    <w:tabs>
                      <w:tab w:val="left" w:pos="6379"/>
                    </w:tabs>
                    <w:overflowPunct w:val="0"/>
                    <w:adjustRightInd w:val="0"/>
                    <w:snapToGrid w:val="0"/>
                    <w:jc w:val="center"/>
                    <w:rPr>
                      <w:rFonts w:hint="eastAsia"/>
                      <w:bCs/>
                      <w:sz w:val="18"/>
                      <w:szCs w:val="21"/>
                    </w:rPr>
                  </w:pPr>
                  <w:r>
                    <w:rPr>
                      <w:rFonts w:hint="eastAsia"/>
                      <w:bCs/>
                      <w:sz w:val="18"/>
                      <w:szCs w:val="21"/>
                    </w:rPr>
                    <w:t>在全区特色重点行业中开展新一轮强制性清洁生产审核工作，提高精细化管理水平，推广节水技术，改进生产工艺，降低能耗、减少污染排放。鼓励企业大力实施节能技改项目。鼓励集成电路封装、电子专用材料制造等重点排放企业开展中水回用示范工程，力争将非金属传统行业环境绩效提升至清洁生产Ⅰ级标准。将国际国内清洁生产一流标准作为新项目招引、落户的关键因素。</w:t>
                  </w:r>
                </w:p>
              </w:tc>
              <w:tc>
                <w:tcPr>
                  <w:tcW w:w="1392" w:type="dxa"/>
                  <w:noWrap/>
                  <w:vAlign w:val="center"/>
                </w:tcPr>
                <w:p w14:paraId="541E73C3">
                  <w:pPr>
                    <w:tabs>
                      <w:tab w:val="left" w:pos="6379"/>
                    </w:tabs>
                    <w:overflowPunct w:val="0"/>
                    <w:adjustRightInd w:val="0"/>
                    <w:snapToGrid w:val="0"/>
                    <w:jc w:val="center"/>
                    <w:rPr>
                      <w:bCs/>
                      <w:sz w:val="18"/>
                      <w:szCs w:val="21"/>
                    </w:rPr>
                  </w:pPr>
                  <w:r>
                    <w:rPr>
                      <w:sz w:val="18"/>
                      <w:szCs w:val="21"/>
                    </w:rPr>
                    <w:t>项目产生“三废”均有效治理；不涉及“散乱污”问题。</w:t>
                  </w:r>
                </w:p>
              </w:tc>
              <w:tc>
                <w:tcPr>
                  <w:tcW w:w="723" w:type="dxa"/>
                  <w:noWrap/>
                  <w:vAlign w:val="center"/>
                </w:tcPr>
                <w:p w14:paraId="033012B3">
                  <w:pPr>
                    <w:tabs>
                      <w:tab w:val="left" w:pos="6379"/>
                    </w:tabs>
                    <w:overflowPunct w:val="0"/>
                    <w:adjustRightInd w:val="0"/>
                    <w:snapToGrid w:val="0"/>
                    <w:jc w:val="center"/>
                    <w:rPr>
                      <w:rFonts w:hint="eastAsia" w:eastAsia="宋体"/>
                      <w:bCs/>
                      <w:sz w:val="18"/>
                      <w:szCs w:val="21"/>
                      <w:lang w:eastAsia="zh-CN"/>
                    </w:rPr>
                  </w:pPr>
                  <w:r>
                    <w:rPr>
                      <w:rFonts w:hint="eastAsia"/>
                      <w:bCs/>
                      <w:sz w:val="18"/>
                      <w:szCs w:val="21"/>
                      <w:lang w:eastAsia="zh-CN"/>
                    </w:rPr>
                    <w:t>符合</w:t>
                  </w:r>
                </w:p>
              </w:tc>
            </w:tr>
            <w:tr w14:paraId="66D810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537" w:type="dxa"/>
                  <w:noWrap/>
                  <w:vAlign w:val="center"/>
                </w:tcPr>
                <w:p w14:paraId="4FEB4A9C">
                  <w:pPr>
                    <w:tabs>
                      <w:tab w:val="left" w:pos="6379"/>
                    </w:tabs>
                    <w:overflowPunct w:val="0"/>
                    <w:adjustRightInd w:val="0"/>
                    <w:snapToGrid w:val="0"/>
                    <w:jc w:val="center"/>
                    <w:rPr>
                      <w:rFonts w:hint="default"/>
                      <w:bCs/>
                      <w:sz w:val="18"/>
                      <w:szCs w:val="21"/>
                      <w:lang w:val="en-US" w:eastAsia="zh-CN"/>
                    </w:rPr>
                  </w:pPr>
                  <w:r>
                    <w:rPr>
                      <w:rFonts w:hint="eastAsia"/>
                      <w:bCs/>
                      <w:sz w:val="18"/>
                      <w:szCs w:val="21"/>
                      <w:lang w:val="en-US" w:eastAsia="zh-CN"/>
                    </w:rPr>
                    <w:t>5</w:t>
                  </w:r>
                </w:p>
              </w:tc>
              <w:tc>
                <w:tcPr>
                  <w:tcW w:w="698" w:type="dxa"/>
                  <w:noWrap/>
                  <w:vAlign w:val="center"/>
                </w:tcPr>
                <w:p w14:paraId="0BF10E3F">
                  <w:pPr>
                    <w:tabs>
                      <w:tab w:val="left" w:pos="6379"/>
                    </w:tabs>
                    <w:overflowPunct w:val="0"/>
                    <w:adjustRightInd w:val="0"/>
                    <w:snapToGrid w:val="0"/>
                    <w:jc w:val="center"/>
                    <w:rPr>
                      <w:rFonts w:hint="eastAsia"/>
                      <w:bCs/>
                      <w:sz w:val="18"/>
                      <w:szCs w:val="21"/>
                      <w:lang w:eastAsia="zh-CN"/>
                    </w:rPr>
                  </w:pPr>
                  <w:r>
                    <w:rPr>
                      <w:rFonts w:hint="eastAsia"/>
                      <w:bCs/>
                      <w:sz w:val="18"/>
                      <w:szCs w:val="21"/>
                      <w:lang w:eastAsia="zh-CN"/>
                    </w:rPr>
                    <w:t>严守准入门槛</w:t>
                  </w:r>
                </w:p>
              </w:tc>
              <w:tc>
                <w:tcPr>
                  <w:tcW w:w="3628" w:type="dxa"/>
                  <w:noWrap/>
                  <w:vAlign w:val="center"/>
                </w:tcPr>
                <w:p w14:paraId="232794E1">
                  <w:pPr>
                    <w:tabs>
                      <w:tab w:val="left" w:pos="6379"/>
                    </w:tabs>
                    <w:overflowPunct w:val="0"/>
                    <w:adjustRightInd w:val="0"/>
                    <w:snapToGrid w:val="0"/>
                    <w:jc w:val="center"/>
                    <w:rPr>
                      <w:rFonts w:hint="eastAsia"/>
                      <w:bCs/>
                      <w:sz w:val="18"/>
                      <w:szCs w:val="21"/>
                    </w:rPr>
                  </w:pPr>
                  <w:r>
                    <w:rPr>
                      <w:rFonts w:hint="eastAsia"/>
                      <w:bCs/>
                      <w:sz w:val="18"/>
                      <w:szCs w:val="21"/>
                    </w:rPr>
                    <w:t>落实国家、省、市产业政策，严格按照准入条件要求，促进产业结构优化和升级。严格执行《长江经济带发展负面清单指南（试行，2022年版）》及江苏省实施细则，严守国家生态保护红线及江苏省生态空间管控区域。着力提升项目招引质效，以南通高新技术产业开发区为主阵地，以大项目、好项目、新项目为切入点，注重项目的含金量、含新量、含绿量，招新引特、招大引强，带动行业提质增效。强化项目可研、环评、安评、能评、稳评等许可（备案）联动，严控高能耗高排放项目建设、严禁高污染不安全项目落地，坚决杜绝未批先建违法行为。</w:t>
                  </w:r>
                </w:p>
              </w:tc>
              <w:tc>
                <w:tcPr>
                  <w:tcW w:w="1392" w:type="dxa"/>
                  <w:noWrap/>
                  <w:vAlign w:val="center"/>
                </w:tcPr>
                <w:p w14:paraId="588F7244">
                  <w:pPr>
                    <w:tabs>
                      <w:tab w:val="left" w:pos="6379"/>
                    </w:tabs>
                    <w:overflowPunct w:val="0"/>
                    <w:adjustRightInd w:val="0"/>
                    <w:snapToGrid w:val="0"/>
                    <w:rPr>
                      <w:bCs/>
                      <w:sz w:val="18"/>
                      <w:szCs w:val="21"/>
                    </w:rPr>
                  </w:pPr>
                  <w:r>
                    <w:rPr>
                      <w:sz w:val="18"/>
                      <w:szCs w:val="21"/>
                    </w:rPr>
                    <w:t>本项目符合“三线一单”管控要求；与《长江经济带发展负面清单指南（试行）》及江苏省实施细则、国家生态保护红线及江苏省生态空间管控区域规划相符。</w:t>
                  </w:r>
                </w:p>
              </w:tc>
              <w:tc>
                <w:tcPr>
                  <w:tcW w:w="723" w:type="dxa"/>
                  <w:noWrap/>
                  <w:vAlign w:val="center"/>
                </w:tcPr>
                <w:p w14:paraId="56468D5A">
                  <w:pPr>
                    <w:tabs>
                      <w:tab w:val="left" w:pos="6379"/>
                    </w:tabs>
                    <w:overflowPunct w:val="0"/>
                    <w:adjustRightInd w:val="0"/>
                    <w:snapToGrid w:val="0"/>
                    <w:jc w:val="center"/>
                    <w:rPr>
                      <w:rFonts w:hint="eastAsia" w:eastAsia="宋体"/>
                      <w:bCs/>
                      <w:sz w:val="18"/>
                      <w:szCs w:val="21"/>
                      <w:lang w:eastAsia="zh-CN"/>
                    </w:rPr>
                  </w:pPr>
                  <w:r>
                    <w:rPr>
                      <w:rFonts w:hint="eastAsia"/>
                      <w:bCs/>
                      <w:sz w:val="18"/>
                      <w:szCs w:val="21"/>
                      <w:lang w:eastAsia="zh-CN"/>
                    </w:rPr>
                    <w:t>符合</w:t>
                  </w:r>
                </w:p>
              </w:tc>
            </w:tr>
            <w:tr w14:paraId="118112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537" w:type="dxa"/>
                  <w:noWrap/>
                  <w:vAlign w:val="center"/>
                </w:tcPr>
                <w:p w14:paraId="1797BBF2">
                  <w:pPr>
                    <w:tabs>
                      <w:tab w:val="left" w:pos="6379"/>
                    </w:tabs>
                    <w:overflowPunct w:val="0"/>
                    <w:adjustRightInd w:val="0"/>
                    <w:snapToGrid w:val="0"/>
                    <w:jc w:val="center"/>
                    <w:rPr>
                      <w:rFonts w:hint="default"/>
                      <w:bCs/>
                      <w:sz w:val="18"/>
                      <w:szCs w:val="21"/>
                      <w:lang w:val="en-US" w:eastAsia="zh-CN"/>
                    </w:rPr>
                  </w:pPr>
                  <w:r>
                    <w:rPr>
                      <w:rFonts w:hint="eastAsia"/>
                      <w:bCs/>
                      <w:sz w:val="18"/>
                      <w:szCs w:val="21"/>
                      <w:lang w:val="en-US" w:eastAsia="zh-CN"/>
                    </w:rPr>
                    <w:t>6</w:t>
                  </w:r>
                </w:p>
              </w:tc>
              <w:tc>
                <w:tcPr>
                  <w:tcW w:w="698" w:type="dxa"/>
                  <w:noWrap/>
                  <w:vAlign w:val="center"/>
                </w:tcPr>
                <w:p w14:paraId="30291489">
                  <w:pPr>
                    <w:tabs>
                      <w:tab w:val="left" w:pos="6379"/>
                    </w:tabs>
                    <w:overflowPunct w:val="0"/>
                    <w:adjustRightInd w:val="0"/>
                    <w:snapToGrid w:val="0"/>
                    <w:jc w:val="center"/>
                    <w:rPr>
                      <w:rFonts w:hint="eastAsia"/>
                      <w:bCs/>
                      <w:sz w:val="18"/>
                      <w:szCs w:val="21"/>
                      <w:lang w:eastAsia="zh-CN"/>
                    </w:rPr>
                  </w:pPr>
                  <w:r>
                    <w:rPr>
                      <w:rFonts w:hint="eastAsia"/>
                      <w:bCs/>
                      <w:sz w:val="18"/>
                      <w:szCs w:val="21"/>
                      <w:lang w:eastAsia="zh-CN"/>
                    </w:rPr>
                    <w:t>鼓励科技创新</w:t>
                  </w:r>
                </w:p>
              </w:tc>
              <w:tc>
                <w:tcPr>
                  <w:tcW w:w="3628" w:type="dxa"/>
                  <w:noWrap/>
                  <w:vAlign w:val="center"/>
                </w:tcPr>
                <w:p w14:paraId="212FFF91">
                  <w:pPr>
                    <w:tabs>
                      <w:tab w:val="left" w:pos="6379"/>
                    </w:tabs>
                    <w:overflowPunct w:val="0"/>
                    <w:adjustRightInd w:val="0"/>
                    <w:snapToGrid w:val="0"/>
                    <w:jc w:val="center"/>
                    <w:rPr>
                      <w:rFonts w:hint="eastAsia"/>
                      <w:bCs/>
                      <w:sz w:val="18"/>
                      <w:szCs w:val="21"/>
                    </w:rPr>
                  </w:pPr>
                  <w:r>
                    <w:rPr>
                      <w:rFonts w:hint="eastAsia"/>
                      <w:bCs/>
                      <w:sz w:val="18"/>
                      <w:szCs w:val="21"/>
                    </w:rPr>
                    <w:t>健全以企业为主体的产学研用协同创新体系，推动“揭榜挂帅”攻坚计划项目，支持联合攻关。培育科技创新企业，强化平台载体建设，深化开发合作创新，广聚创新创业人才，加强知识产权保护。加强节能降耗、清洁生产、污染治理、循环利用等领域的技术创新和成果转化，大力推进原始创新和集成创新。增强创新储备，提升创新全链条支撑能力，为实现重大创新突破、培育高端产业奠定重要基础。鼓励科研机构、高等院校和企业等单位开展重点行业节能减排领域应用基础研究，提高科学研究支撑能力。每年新增产学研项目不少于120项，区级以上企业工程技</w:t>
                  </w:r>
                </w:p>
                <w:p w14:paraId="3CF236FA">
                  <w:pPr>
                    <w:tabs>
                      <w:tab w:val="left" w:pos="6379"/>
                    </w:tabs>
                    <w:overflowPunct w:val="0"/>
                    <w:adjustRightInd w:val="0"/>
                    <w:snapToGrid w:val="0"/>
                    <w:jc w:val="center"/>
                    <w:rPr>
                      <w:rFonts w:hint="eastAsia"/>
                      <w:bCs/>
                      <w:sz w:val="18"/>
                      <w:szCs w:val="21"/>
                    </w:rPr>
                  </w:pPr>
                  <w:r>
                    <w:rPr>
                      <w:rFonts w:hint="eastAsia"/>
                      <w:bCs/>
                      <w:sz w:val="18"/>
                      <w:szCs w:val="21"/>
                    </w:rPr>
                    <w:t>术研究中心不少于15家。每年指导相关企业申报省、市重点研发计划、成果转化资金项目不少于10项。</w:t>
                  </w:r>
                </w:p>
              </w:tc>
              <w:tc>
                <w:tcPr>
                  <w:tcW w:w="1392" w:type="dxa"/>
                  <w:noWrap/>
                  <w:vAlign w:val="center"/>
                </w:tcPr>
                <w:p w14:paraId="763B3AE8">
                  <w:pPr>
                    <w:tabs>
                      <w:tab w:val="left" w:pos="6379"/>
                    </w:tabs>
                    <w:overflowPunct w:val="0"/>
                    <w:adjustRightInd w:val="0"/>
                    <w:snapToGrid w:val="0"/>
                    <w:jc w:val="center"/>
                    <w:rPr>
                      <w:bCs/>
                      <w:sz w:val="18"/>
                      <w:szCs w:val="21"/>
                    </w:rPr>
                  </w:pPr>
                  <w:r>
                    <w:rPr>
                      <w:rFonts w:hint="eastAsia"/>
                      <w:sz w:val="18"/>
                      <w:szCs w:val="21"/>
                      <w:lang w:val="en-US" w:eastAsia="zh-CN"/>
                    </w:rPr>
                    <w:t>/</w:t>
                  </w:r>
                </w:p>
              </w:tc>
              <w:tc>
                <w:tcPr>
                  <w:tcW w:w="723" w:type="dxa"/>
                  <w:noWrap/>
                  <w:vAlign w:val="center"/>
                </w:tcPr>
                <w:p w14:paraId="08DCAEAC">
                  <w:pPr>
                    <w:tabs>
                      <w:tab w:val="left" w:pos="6379"/>
                    </w:tabs>
                    <w:overflowPunct w:val="0"/>
                    <w:adjustRightInd w:val="0"/>
                    <w:snapToGrid w:val="0"/>
                    <w:jc w:val="center"/>
                    <w:rPr>
                      <w:rFonts w:hint="eastAsia" w:eastAsia="宋体"/>
                      <w:bCs/>
                      <w:sz w:val="18"/>
                      <w:szCs w:val="21"/>
                      <w:lang w:val="en-US" w:eastAsia="zh-CN"/>
                    </w:rPr>
                  </w:pPr>
                  <w:r>
                    <w:rPr>
                      <w:rFonts w:hint="eastAsia"/>
                      <w:bCs/>
                      <w:sz w:val="18"/>
                      <w:szCs w:val="21"/>
                      <w:lang w:val="en-US" w:eastAsia="zh-CN"/>
                    </w:rPr>
                    <w:t>/</w:t>
                  </w:r>
                </w:p>
              </w:tc>
            </w:tr>
            <w:tr w14:paraId="783A5E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537" w:type="dxa"/>
                  <w:noWrap/>
                  <w:vAlign w:val="center"/>
                </w:tcPr>
                <w:p w14:paraId="2BA9B45A">
                  <w:pPr>
                    <w:tabs>
                      <w:tab w:val="left" w:pos="6379"/>
                    </w:tabs>
                    <w:overflowPunct w:val="0"/>
                    <w:adjustRightInd w:val="0"/>
                    <w:snapToGrid w:val="0"/>
                    <w:jc w:val="center"/>
                    <w:rPr>
                      <w:rFonts w:hint="default"/>
                      <w:bCs/>
                      <w:sz w:val="18"/>
                      <w:szCs w:val="21"/>
                      <w:lang w:val="en-US" w:eastAsia="zh-CN"/>
                    </w:rPr>
                  </w:pPr>
                  <w:r>
                    <w:rPr>
                      <w:rFonts w:hint="eastAsia"/>
                      <w:bCs/>
                      <w:sz w:val="18"/>
                      <w:szCs w:val="21"/>
                      <w:lang w:val="en-US" w:eastAsia="zh-CN"/>
                    </w:rPr>
                    <w:t>7</w:t>
                  </w:r>
                </w:p>
              </w:tc>
              <w:tc>
                <w:tcPr>
                  <w:tcW w:w="698" w:type="dxa"/>
                  <w:noWrap/>
                  <w:vAlign w:val="center"/>
                </w:tcPr>
                <w:p w14:paraId="43E5B7C6">
                  <w:pPr>
                    <w:tabs>
                      <w:tab w:val="left" w:pos="6379"/>
                    </w:tabs>
                    <w:overflowPunct w:val="0"/>
                    <w:adjustRightInd w:val="0"/>
                    <w:snapToGrid w:val="0"/>
                    <w:jc w:val="center"/>
                    <w:rPr>
                      <w:rFonts w:hint="eastAsia"/>
                      <w:bCs/>
                      <w:sz w:val="18"/>
                      <w:szCs w:val="21"/>
                      <w:lang w:eastAsia="zh-CN"/>
                    </w:rPr>
                  </w:pPr>
                  <w:r>
                    <w:rPr>
                      <w:rFonts w:hint="eastAsia"/>
                      <w:bCs/>
                      <w:sz w:val="18"/>
                      <w:szCs w:val="21"/>
                      <w:lang w:eastAsia="zh-CN"/>
                    </w:rPr>
                    <w:t>构建绿色供应链</w:t>
                  </w:r>
                </w:p>
              </w:tc>
              <w:tc>
                <w:tcPr>
                  <w:tcW w:w="3628" w:type="dxa"/>
                  <w:noWrap/>
                  <w:vAlign w:val="center"/>
                </w:tcPr>
                <w:p w14:paraId="0D5B7AC8">
                  <w:pPr>
                    <w:tabs>
                      <w:tab w:val="left" w:pos="6379"/>
                    </w:tabs>
                    <w:overflowPunct w:val="0"/>
                    <w:adjustRightInd w:val="0"/>
                    <w:snapToGrid w:val="0"/>
                    <w:jc w:val="center"/>
                    <w:rPr>
                      <w:rFonts w:hint="eastAsia"/>
                      <w:bCs/>
                      <w:sz w:val="18"/>
                      <w:szCs w:val="21"/>
                    </w:rPr>
                  </w:pPr>
                  <w:r>
                    <w:rPr>
                      <w:rFonts w:hint="eastAsia"/>
                      <w:bCs/>
                      <w:sz w:val="18"/>
                      <w:szCs w:val="21"/>
                    </w:rPr>
                    <w:t>树立一批绿色标杆，每年力争建设1~2家绿色工厂。鼓励企业开展绿色设计、选择绿色材料、实施绿色采购、打造绿色制造工艺、推行绿色包装、开展绿色运输、做好废弃产品回收处理，实现产品全周期的绿色环保。推广绿色电力（绿证）交易。全面推进电力需求侧管理。推广合同能源管理、环境污染第三方治理和生态环境导向的开发、环境托管服务等模式，促进节能服务向咨询、诊断、设计、融资、改造、托管等多领域、全周期的综合服务延伸拓展。鼓励行业协会通过制定规范、咨询服务、行业自律等方式提高行业供应链绿色化水平。</w:t>
                  </w:r>
                </w:p>
              </w:tc>
              <w:tc>
                <w:tcPr>
                  <w:tcW w:w="1392" w:type="dxa"/>
                  <w:noWrap/>
                  <w:vAlign w:val="center"/>
                </w:tcPr>
                <w:p w14:paraId="42CB7420">
                  <w:pPr>
                    <w:tabs>
                      <w:tab w:val="left" w:pos="6379"/>
                    </w:tabs>
                    <w:overflowPunct w:val="0"/>
                    <w:adjustRightInd w:val="0"/>
                    <w:snapToGrid w:val="0"/>
                    <w:jc w:val="center"/>
                    <w:rPr>
                      <w:bCs/>
                      <w:sz w:val="18"/>
                      <w:szCs w:val="21"/>
                    </w:rPr>
                  </w:pPr>
                  <w:r>
                    <w:rPr>
                      <w:rFonts w:hint="eastAsia"/>
                      <w:sz w:val="18"/>
                      <w:szCs w:val="21"/>
                    </w:rPr>
                    <w:t>项目</w:t>
                  </w:r>
                  <w:r>
                    <w:rPr>
                      <w:rFonts w:hint="eastAsia"/>
                      <w:color w:val="auto"/>
                      <w:sz w:val="18"/>
                      <w:szCs w:val="21"/>
                    </w:rPr>
                    <w:t>废气</w:t>
                  </w:r>
                  <w:r>
                    <w:rPr>
                      <w:rFonts w:hint="eastAsia"/>
                      <w:color w:val="auto"/>
                      <w:sz w:val="18"/>
                      <w:szCs w:val="21"/>
                      <w:lang w:eastAsia="zh-CN"/>
                    </w:rPr>
                    <w:t>经处理后排放</w:t>
                  </w:r>
                  <w:r>
                    <w:rPr>
                      <w:rFonts w:hint="eastAsia"/>
                      <w:sz w:val="18"/>
                      <w:szCs w:val="21"/>
                    </w:rPr>
                    <w:t>；危废均密闭存放于危废暂存库，委托有资质单位进行处置。</w:t>
                  </w:r>
                </w:p>
              </w:tc>
              <w:tc>
                <w:tcPr>
                  <w:tcW w:w="723" w:type="dxa"/>
                  <w:noWrap/>
                  <w:vAlign w:val="center"/>
                </w:tcPr>
                <w:p w14:paraId="2257204F">
                  <w:pPr>
                    <w:tabs>
                      <w:tab w:val="left" w:pos="6379"/>
                    </w:tabs>
                    <w:overflowPunct w:val="0"/>
                    <w:adjustRightInd w:val="0"/>
                    <w:snapToGrid w:val="0"/>
                    <w:jc w:val="center"/>
                    <w:rPr>
                      <w:rFonts w:hint="eastAsia" w:eastAsia="宋体"/>
                      <w:bCs/>
                      <w:sz w:val="18"/>
                      <w:szCs w:val="21"/>
                      <w:lang w:eastAsia="zh-CN"/>
                    </w:rPr>
                  </w:pPr>
                  <w:r>
                    <w:rPr>
                      <w:rFonts w:hint="eastAsia"/>
                      <w:bCs/>
                      <w:sz w:val="18"/>
                      <w:szCs w:val="21"/>
                      <w:lang w:eastAsia="zh-CN"/>
                    </w:rPr>
                    <w:t>符合</w:t>
                  </w:r>
                </w:p>
              </w:tc>
            </w:tr>
            <w:tr w14:paraId="65C6DE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37" w:type="dxa"/>
                  <w:noWrap/>
                  <w:vAlign w:val="center"/>
                </w:tcPr>
                <w:p w14:paraId="40DAB65D">
                  <w:pPr>
                    <w:tabs>
                      <w:tab w:val="left" w:pos="6379"/>
                    </w:tabs>
                    <w:overflowPunct w:val="0"/>
                    <w:adjustRightInd w:val="0"/>
                    <w:snapToGrid w:val="0"/>
                    <w:jc w:val="center"/>
                    <w:rPr>
                      <w:rFonts w:hint="default"/>
                      <w:bCs/>
                      <w:sz w:val="18"/>
                      <w:szCs w:val="21"/>
                      <w:lang w:val="en-US" w:eastAsia="zh-CN"/>
                    </w:rPr>
                  </w:pPr>
                  <w:r>
                    <w:rPr>
                      <w:rFonts w:hint="eastAsia"/>
                      <w:bCs/>
                      <w:sz w:val="18"/>
                      <w:szCs w:val="21"/>
                      <w:lang w:val="en-US" w:eastAsia="zh-CN"/>
                    </w:rPr>
                    <w:t>8</w:t>
                  </w:r>
                </w:p>
              </w:tc>
              <w:tc>
                <w:tcPr>
                  <w:tcW w:w="698" w:type="dxa"/>
                  <w:noWrap/>
                  <w:vAlign w:val="center"/>
                </w:tcPr>
                <w:p w14:paraId="2EE4A2F7">
                  <w:pPr>
                    <w:tabs>
                      <w:tab w:val="left" w:pos="6379"/>
                    </w:tabs>
                    <w:overflowPunct w:val="0"/>
                    <w:adjustRightInd w:val="0"/>
                    <w:snapToGrid w:val="0"/>
                    <w:jc w:val="center"/>
                    <w:rPr>
                      <w:rFonts w:hint="eastAsia"/>
                      <w:bCs/>
                      <w:sz w:val="18"/>
                      <w:szCs w:val="21"/>
                      <w:lang w:eastAsia="zh-CN"/>
                    </w:rPr>
                  </w:pPr>
                  <w:r>
                    <w:rPr>
                      <w:rFonts w:hint="eastAsia"/>
                      <w:bCs/>
                      <w:sz w:val="18"/>
                      <w:szCs w:val="21"/>
                      <w:lang w:eastAsia="zh-CN"/>
                    </w:rPr>
                    <w:t>提高能源利用效率</w:t>
                  </w:r>
                </w:p>
              </w:tc>
              <w:tc>
                <w:tcPr>
                  <w:tcW w:w="3628" w:type="dxa"/>
                  <w:noWrap/>
                  <w:vAlign w:val="center"/>
                </w:tcPr>
                <w:p w14:paraId="39AB1F25">
                  <w:pPr>
                    <w:tabs>
                      <w:tab w:val="left" w:pos="6379"/>
                    </w:tabs>
                    <w:overflowPunct w:val="0"/>
                    <w:adjustRightInd w:val="0"/>
                    <w:snapToGrid w:val="0"/>
                    <w:jc w:val="center"/>
                    <w:rPr>
                      <w:rFonts w:hint="eastAsia"/>
                      <w:bCs/>
                      <w:sz w:val="18"/>
                      <w:szCs w:val="21"/>
                    </w:rPr>
                  </w:pPr>
                  <w:r>
                    <w:rPr>
                      <w:rFonts w:hint="eastAsia"/>
                      <w:bCs/>
                      <w:sz w:val="18"/>
                      <w:szCs w:val="21"/>
                    </w:rPr>
                    <w:t>对标高耗能行业重点领域能效标杆水平和基准水平，开展全区重点领域项目能效摸底调查，建立重点企业、重点项目能效清单目录和能效台账，有序推进纺织、建材等行业开展节能降碳改造，提升能源利用效率。加强新型基础设施绿色技术耦合，推动既有设施绿色升级改造。深入挖掘存量项目节能潜力，强化用能管理，优化用能结构，规范用能行为，提高设施能效水平。强化高耗能企业绿电（绿证）消费责任，按要求提升绿电（绿证）消费水平。支持重点企业、园区高比例消费绿色电力，打造绿色电力企业、绿色电力园区。强化执法监管，建立完善跨部门联动的跟踪节能监察机制，组织开展专项节能监察行动。</w:t>
                  </w:r>
                </w:p>
              </w:tc>
              <w:tc>
                <w:tcPr>
                  <w:tcW w:w="1392" w:type="dxa"/>
                  <w:noWrap/>
                  <w:vAlign w:val="center"/>
                </w:tcPr>
                <w:p w14:paraId="7E3086F0">
                  <w:pPr>
                    <w:tabs>
                      <w:tab w:val="left" w:pos="6379"/>
                    </w:tabs>
                    <w:overflowPunct w:val="0"/>
                    <w:adjustRightInd w:val="0"/>
                    <w:snapToGrid w:val="0"/>
                    <w:jc w:val="center"/>
                    <w:rPr>
                      <w:bCs/>
                      <w:sz w:val="18"/>
                      <w:szCs w:val="21"/>
                    </w:rPr>
                  </w:pPr>
                  <w:r>
                    <w:rPr>
                      <w:rFonts w:hint="eastAsia"/>
                      <w:sz w:val="18"/>
                      <w:szCs w:val="21"/>
                      <w:lang w:eastAsia="zh-CN"/>
                    </w:rPr>
                    <w:t>项目不属于高能耗项目。</w:t>
                  </w:r>
                </w:p>
              </w:tc>
              <w:tc>
                <w:tcPr>
                  <w:tcW w:w="723" w:type="dxa"/>
                  <w:noWrap/>
                  <w:vAlign w:val="center"/>
                </w:tcPr>
                <w:p w14:paraId="3792FADC">
                  <w:pPr>
                    <w:tabs>
                      <w:tab w:val="left" w:pos="6379"/>
                    </w:tabs>
                    <w:overflowPunct w:val="0"/>
                    <w:adjustRightInd w:val="0"/>
                    <w:snapToGrid w:val="0"/>
                    <w:jc w:val="center"/>
                    <w:rPr>
                      <w:rFonts w:hint="eastAsia" w:eastAsia="宋体"/>
                      <w:bCs/>
                      <w:sz w:val="18"/>
                      <w:szCs w:val="21"/>
                      <w:lang w:eastAsia="zh-CN"/>
                    </w:rPr>
                  </w:pPr>
                  <w:r>
                    <w:rPr>
                      <w:rFonts w:hint="eastAsia"/>
                      <w:bCs/>
                      <w:sz w:val="18"/>
                      <w:szCs w:val="21"/>
                      <w:lang w:eastAsia="zh-CN"/>
                    </w:rPr>
                    <w:t>符合</w:t>
                  </w:r>
                </w:p>
              </w:tc>
            </w:tr>
            <w:tr w14:paraId="684CD3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537" w:type="dxa"/>
                  <w:noWrap/>
                  <w:vAlign w:val="center"/>
                </w:tcPr>
                <w:p w14:paraId="3930272F">
                  <w:pPr>
                    <w:tabs>
                      <w:tab w:val="left" w:pos="6379"/>
                    </w:tabs>
                    <w:overflowPunct w:val="0"/>
                    <w:adjustRightInd w:val="0"/>
                    <w:snapToGrid w:val="0"/>
                    <w:jc w:val="center"/>
                    <w:rPr>
                      <w:rFonts w:hint="default"/>
                      <w:bCs/>
                      <w:sz w:val="18"/>
                      <w:szCs w:val="21"/>
                      <w:lang w:val="en-US" w:eastAsia="zh-CN"/>
                    </w:rPr>
                  </w:pPr>
                  <w:r>
                    <w:rPr>
                      <w:rFonts w:hint="eastAsia"/>
                      <w:bCs/>
                      <w:sz w:val="18"/>
                      <w:szCs w:val="21"/>
                      <w:lang w:val="en-US" w:eastAsia="zh-CN"/>
                    </w:rPr>
                    <w:t>9</w:t>
                  </w:r>
                </w:p>
              </w:tc>
              <w:tc>
                <w:tcPr>
                  <w:tcW w:w="698" w:type="dxa"/>
                  <w:noWrap/>
                  <w:vAlign w:val="center"/>
                </w:tcPr>
                <w:p w14:paraId="39B36D58">
                  <w:pPr>
                    <w:tabs>
                      <w:tab w:val="left" w:pos="6379"/>
                    </w:tabs>
                    <w:overflowPunct w:val="0"/>
                    <w:adjustRightInd w:val="0"/>
                    <w:snapToGrid w:val="0"/>
                    <w:jc w:val="center"/>
                    <w:rPr>
                      <w:rFonts w:hint="eastAsia"/>
                      <w:bCs/>
                      <w:sz w:val="18"/>
                      <w:szCs w:val="21"/>
                      <w:lang w:eastAsia="zh-CN"/>
                    </w:rPr>
                  </w:pPr>
                  <w:r>
                    <w:rPr>
                      <w:rFonts w:hint="eastAsia"/>
                      <w:bCs/>
                      <w:sz w:val="18"/>
                      <w:szCs w:val="21"/>
                      <w:lang w:eastAsia="zh-CN"/>
                    </w:rPr>
                    <w:t>加强统计监测能力</w:t>
                  </w:r>
                </w:p>
              </w:tc>
              <w:tc>
                <w:tcPr>
                  <w:tcW w:w="3628" w:type="dxa"/>
                  <w:noWrap/>
                  <w:vAlign w:val="center"/>
                </w:tcPr>
                <w:p w14:paraId="5BF86C19">
                  <w:pPr>
                    <w:tabs>
                      <w:tab w:val="left" w:pos="6379"/>
                    </w:tabs>
                    <w:overflowPunct w:val="0"/>
                    <w:adjustRightInd w:val="0"/>
                    <w:snapToGrid w:val="0"/>
                    <w:jc w:val="center"/>
                    <w:rPr>
                      <w:rFonts w:hint="eastAsia"/>
                      <w:bCs/>
                      <w:sz w:val="18"/>
                      <w:szCs w:val="21"/>
                    </w:rPr>
                  </w:pPr>
                  <w:r>
                    <w:rPr>
                      <w:rFonts w:hint="eastAsia"/>
                      <w:bCs/>
                      <w:sz w:val="18"/>
                      <w:szCs w:val="21"/>
                    </w:rPr>
                    <w:t>落实重点用能单位能源利用状况报告制度，健全能源计量体系。推进重点耗能企业能耗在线监测系统建设和应用。健全固定污染源监测监控体系，推进排污单位自动监测监控联网全覆盖。开展农业面源污染试点监测评估。加强船舶和港口污染物排放调查监测。加强统计队伍建设，提升统计数据质量。在年综合能源消费1万吨标准煤以上的重点污染源企业开展碳排放协同监测。</w:t>
                  </w:r>
                </w:p>
              </w:tc>
              <w:tc>
                <w:tcPr>
                  <w:tcW w:w="1392" w:type="dxa"/>
                  <w:noWrap/>
                  <w:vAlign w:val="center"/>
                </w:tcPr>
                <w:p w14:paraId="1C6DFCD3">
                  <w:pPr>
                    <w:tabs>
                      <w:tab w:val="left" w:pos="6379"/>
                    </w:tabs>
                    <w:overflowPunct w:val="0"/>
                    <w:adjustRightInd w:val="0"/>
                    <w:snapToGrid w:val="0"/>
                    <w:jc w:val="center"/>
                    <w:rPr>
                      <w:bCs/>
                      <w:sz w:val="18"/>
                      <w:szCs w:val="21"/>
                    </w:rPr>
                  </w:pPr>
                  <w:r>
                    <w:rPr>
                      <w:rFonts w:hint="eastAsia"/>
                      <w:sz w:val="18"/>
                      <w:szCs w:val="18"/>
                    </w:rPr>
                    <w:t>项目已制定自行监测计划，后期项目运营后，按计划进行监测</w:t>
                  </w:r>
                </w:p>
              </w:tc>
              <w:tc>
                <w:tcPr>
                  <w:tcW w:w="723" w:type="dxa"/>
                  <w:noWrap/>
                  <w:vAlign w:val="center"/>
                </w:tcPr>
                <w:p w14:paraId="5FA8A66D">
                  <w:pPr>
                    <w:tabs>
                      <w:tab w:val="left" w:pos="6379"/>
                    </w:tabs>
                    <w:overflowPunct w:val="0"/>
                    <w:adjustRightInd w:val="0"/>
                    <w:snapToGrid w:val="0"/>
                    <w:jc w:val="center"/>
                    <w:rPr>
                      <w:rFonts w:hint="eastAsia" w:eastAsia="宋体"/>
                      <w:bCs/>
                      <w:sz w:val="18"/>
                      <w:szCs w:val="21"/>
                      <w:lang w:eastAsia="zh-CN"/>
                    </w:rPr>
                  </w:pPr>
                  <w:r>
                    <w:rPr>
                      <w:rFonts w:hint="eastAsia"/>
                      <w:bCs/>
                      <w:sz w:val="18"/>
                      <w:szCs w:val="21"/>
                      <w:lang w:eastAsia="zh-CN"/>
                    </w:rPr>
                    <w:t>符合</w:t>
                  </w:r>
                </w:p>
              </w:tc>
            </w:tr>
            <w:tr w14:paraId="21A044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537" w:type="dxa"/>
                  <w:noWrap/>
                  <w:vAlign w:val="center"/>
                </w:tcPr>
                <w:p w14:paraId="137AA5A8">
                  <w:pPr>
                    <w:tabs>
                      <w:tab w:val="left" w:pos="6379"/>
                    </w:tabs>
                    <w:overflowPunct w:val="0"/>
                    <w:adjustRightInd w:val="0"/>
                    <w:snapToGrid w:val="0"/>
                    <w:jc w:val="center"/>
                    <w:rPr>
                      <w:rFonts w:hint="default"/>
                      <w:bCs/>
                      <w:sz w:val="18"/>
                      <w:szCs w:val="21"/>
                      <w:lang w:val="en-US" w:eastAsia="zh-CN"/>
                    </w:rPr>
                  </w:pPr>
                  <w:r>
                    <w:rPr>
                      <w:rFonts w:hint="eastAsia"/>
                      <w:bCs/>
                      <w:sz w:val="18"/>
                      <w:szCs w:val="21"/>
                      <w:lang w:val="en-US" w:eastAsia="zh-CN"/>
                    </w:rPr>
                    <w:t>10</w:t>
                  </w:r>
                </w:p>
              </w:tc>
              <w:tc>
                <w:tcPr>
                  <w:tcW w:w="698" w:type="dxa"/>
                  <w:noWrap/>
                  <w:vAlign w:val="center"/>
                </w:tcPr>
                <w:p w14:paraId="61D7C088">
                  <w:pPr>
                    <w:tabs>
                      <w:tab w:val="left" w:pos="249"/>
                      <w:tab w:val="left" w:pos="6379"/>
                    </w:tabs>
                    <w:overflowPunct w:val="0"/>
                    <w:adjustRightInd w:val="0"/>
                    <w:snapToGrid w:val="0"/>
                    <w:jc w:val="center"/>
                    <w:rPr>
                      <w:rFonts w:hint="eastAsia"/>
                      <w:bCs/>
                      <w:sz w:val="18"/>
                      <w:szCs w:val="21"/>
                      <w:lang w:eastAsia="zh-CN"/>
                    </w:rPr>
                  </w:pPr>
                  <w:r>
                    <w:rPr>
                      <w:rFonts w:hint="eastAsia"/>
                      <w:bCs/>
                      <w:sz w:val="18"/>
                      <w:szCs w:val="21"/>
                      <w:lang w:eastAsia="zh-CN"/>
                    </w:rPr>
                    <w:t>加快智改数转</w:t>
                  </w:r>
                </w:p>
              </w:tc>
              <w:tc>
                <w:tcPr>
                  <w:tcW w:w="3628" w:type="dxa"/>
                  <w:noWrap/>
                  <w:vAlign w:val="center"/>
                </w:tcPr>
                <w:p w14:paraId="5541BFD1">
                  <w:pPr>
                    <w:tabs>
                      <w:tab w:val="left" w:pos="6379"/>
                    </w:tabs>
                    <w:overflowPunct w:val="0"/>
                    <w:adjustRightInd w:val="0"/>
                    <w:snapToGrid w:val="0"/>
                    <w:jc w:val="center"/>
                    <w:rPr>
                      <w:rFonts w:hint="eastAsia"/>
                      <w:bCs/>
                      <w:sz w:val="18"/>
                      <w:szCs w:val="21"/>
                    </w:rPr>
                  </w:pPr>
                  <w:r>
                    <w:rPr>
                      <w:rFonts w:hint="eastAsia"/>
                      <w:bCs/>
                      <w:sz w:val="18"/>
                      <w:szCs w:val="21"/>
                    </w:rPr>
                    <w:t>全面提升园区监督管理信息化、分析决策智能化、应急救援一体化支撑能力。支持园区“链主”企业利用5G、大数据、人工智能等新一代信息技术进行全链条改造，加大核心装备、关键工序智能化改造和载体平台数字化提升等领域的投入，培育智能制造示范车间、示范工厂和工业互联网标杆工厂，带动产业链上下游企业数字化转型，推动化工产业转型升级、高质量发展。</w:t>
                  </w:r>
                </w:p>
              </w:tc>
              <w:tc>
                <w:tcPr>
                  <w:tcW w:w="1392" w:type="dxa"/>
                  <w:noWrap/>
                  <w:vAlign w:val="center"/>
                </w:tcPr>
                <w:p w14:paraId="705147F3">
                  <w:pPr>
                    <w:tabs>
                      <w:tab w:val="left" w:pos="6379"/>
                    </w:tabs>
                    <w:overflowPunct w:val="0"/>
                    <w:adjustRightInd w:val="0"/>
                    <w:snapToGrid w:val="0"/>
                    <w:jc w:val="center"/>
                    <w:rPr>
                      <w:bCs/>
                      <w:sz w:val="18"/>
                      <w:szCs w:val="21"/>
                    </w:rPr>
                  </w:pPr>
                  <w:r>
                    <w:rPr>
                      <w:rFonts w:hint="eastAsia"/>
                      <w:sz w:val="18"/>
                      <w:szCs w:val="21"/>
                      <w:lang w:val="en-US" w:eastAsia="zh-CN"/>
                    </w:rPr>
                    <w:t>/</w:t>
                  </w:r>
                </w:p>
              </w:tc>
              <w:tc>
                <w:tcPr>
                  <w:tcW w:w="723" w:type="dxa"/>
                  <w:noWrap/>
                  <w:vAlign w:val="center"/>
                </w:tcPr>
                <w:p w14:paraId="4FA29B92">
                  <w:pPr>
                    <w:tabs>
                      <w:tab w:val="left" w:pos="6379"/>
                    </w:tabs>
                    <w:overflowPunct w:val="0"/>
                    <w:adjustRightInd w:val="0"/>
                    <w:snapToGrid w:val="0"/>
                    <w:jc w:val="center"/>
                    <w:rPr>
                      <w:rFonts w:hint="eastAsia" w:eastAsia="宋体"/>
                      <w:bCs/>
                      <w:sz w:val="18"/>
                      <w:szCs w:val="21"/>
                      <w:lang w:val="en-US" w:eastAsia="zh-CN"/>
                    </w:rPr>
                  </w:pPr>
                  <w:r>
                    <w:rPr>
                      <w:rFonts w:hint="eastAsia"/>
                      <w:bCs/>
                      <w:sz w:val="18"/>
                      <w:szCs w:val="21"/>
                      <w:lang w:val="en-US" w:eastAsia="zh-CN"/>
                    </w:rPr>
                    <w:t>/</w:t>
                  </w:r>
                </w:p>
              </w:tc>
            </w:tr>
          </w:tbl>
          <w:p w14:paraId="1BAEC1A8">
            <w:pPr>
              <w:spacing w:line="500" w:lineRule="exact"/>
              <w:ind w:firstLine="422" w:firstLineChars="200"/>
              <w:rPr>
                <w:b/>
                <w:bCs/>
                <w:szCs w:val="21"/>
              </w:rPr>
            </w:pPr>
            <w:r>
              <w:rPr>
                <w:b/>
                <w:bCs/>
              </w:rPr>
              <w:t>1</w:t>
            </w:r>
            <w:r>
              <w:rPr>
                <w:rFonts w:hint="eastAsia"/>
                <w:b/>
                <w:bCs/>
                <w:lang w:val="en-US" w:eastAsia="zh-CN"/>
              </w:rPr>
              <w:t>1</w:t>
            </w:r>
            <w:r>
              <w:rPr>
                <w:b/>
                <w:bCs/>
              </w:rPr>
              <w:t>、与《关于进一步促进全市乡镇工业集聚区高质量发展的实施意见》（通政办发〔2022〕70号）及通州区绿色发展方案相符性分析</w:t>
            </w:r>
          </w:p>
          <w:p w14:paraId="37D4E9DF">
            <w:pPr>
              <w:spacing w:line="500" w:lineRule="exact"/>
              <w:jc w:val="center"/>
              <w:rPr>
                <w:b/>
                <w:bCs/>
                <w:szCs w:val="21"/>
              </w:rPr>
            </w:pPr>
            <w:r>
              <w:rPr>
                <w:b/>
                <w:bCs/>
                <w:szCs w:val="21"/>
              </w:rPr>
              <w:t>表1-</w:t>
            </w:r>
            <w:r>
              <w:rPr>
                <w:rFonts w:hint="eastAsia"/>
                <w:b/>
                <w:bCs/>
                <w:szCs w:val="21"/>
                <w:lang w:val="en-US" w:eastAsia="zh-CN"/>
              </w:rPr>
              <w:t>7</w:t>
            </w:r>
            <w:r>
              <w:rPr>
                <w:b/>
                <w:bCs/>
                <w:szCs w:val="21"/>
              </w:rPr>
              <w:t xml:space="preserve"> 与通政办发〔2022〕70号文相符性分析</w:t>
            </w:r>
          </w:p>
          <w:tbl>
            <w:tblPr>
              <w:tblStyle w:val="16"/>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43"/>
              <w:gridCol w:w="2022"/>
              <w:gridCol w:w="822"/>
            </w:tblGrid>
            <w:tr w14:paraId="3DA3C2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2964" w:type="pct"/>
                  <w:vAlign w:val="center"/>
                </w:tcPr>
                <w:p w14:paraId="3DB2C786">
                  <w:pPr>
                    <w:jc w:val="center"/>
                    <w:rPr>
                      <w:sz w:val="18"/>
                      <w:szCs w:val="18"/>
                    </w:rPr>
                  </w:pPr>
                  <w:r>
                    <w:rPr>
                      <w:sz w:val="18"/>
                      <w:szCs w:val="18"/>
                    </w:rPr>
                    <w:t>相关条款</w:t>
                  </w:r>
                </w:p>
              </w:tc>
              <w:tc>
                <w:tcPr>
                  <w:tcW w:w="1446" w:type="pct"/>
                  <w:vAlign w:val="center"/>
                </w:tcPr>
                <w:p w14:paraId="1173A7DB">
                  <w:pPr>
                    <w:jc w:val="center"/>
                    <w:rPr>
                      <w:sz w:val="18"/>
                      <w:szCs w:val="18"/>
                    </w:rPr>
                  </w:pPr>
                  <w:r>
                    <w:rPr>
                      <w:sz w:val="18"/>
                      <w:szCs w:val="18"/>
                    </w:rPr>
                    <w:t>本项目情况</w:t>
                  </w:r>
                </w:p>
              </w:tc>
              <w:tc>
                <w:tcPr>
                  <w:tcW w:w="588" w:type="pct"/>
                  <w:vAlign w:val="center"/>
                </w:tcPr>
                <w:p w14:paraId="6D6885E7">
                  <w:pPr>
                    <w:jc w:val="center"/>
                    <w:rPr>
                      <w:sz w:val="18"/>
                      <w:szCs w:val="18"/>
                    </w:rPr>
                  </w:pPr>
                  <w:r>
                    <w:rPr>
                      <w:sz w:val="18"/>
                      <w:szCs w:val="18"/>
                    </w:rPr>
                    <w:t>相符性</w:t>
                  </w:r>
                </w:p>
              </w:tc>
            </w:tr>
            <w:tr w14:paraId="039816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964" w:type="pct"/>
                  <w:vAlign w:val="center"/>
                </w:tcPr>
                <w:p w14:paraId="1E57E14A">
                  <w:pPr>
                    <w:jc w:val="center"/>
                    <w:rPr>
                      <w:sz w:val="18"/>
                      <w:szCs w:val="18"/>
                    </w:rPr>
                  </w:pPr>
                  <w:r>
                    <w:rPr>
                      <w:sz w:val="18"/>
                      <w:szCs w:val="18"/>
                    </w:rPr>
                    <w:t>1.规划。各地应按照国土空间规划和用途管制要求，合理确定项目选址和用地规模，严格履行审批程序。除保障农村</w:t>
                  </w:r>
                  <w:r>
                    <w:rPr>
                      <w:rFonts w:hint="eastAsia"/>
                      <w:sz w:val="18"/>
                      <w:szCs w:val="18"/>
                      <w:lang w:eastAsia="zh-CN"/>
                    </w:rPr>
                    <w:t>一、二、三产业</w:t>
                  </w:r>
                  <w:r>
                    <w:rPr>
                      <w:sz w:val="18"/>
                      <w:szCs w:val="18"/>
                    </w:rPr>
                    <w:t>融合发展所需项目外，对招商中不符合规划的项目实行一票否决，各地不得为项目随意调整规划。</w:t>
                  </w:r>
                </w:p>
              </w:tc>
              <w:tc>
                <w:tcPr>
                  <w:tcW w:w="1446" w:type="pct"/>
                  <w:vAlign w:val="center"/>
                </w:tcPr>
                <w:p w14:paraId="1D9AA7C8">
                  <w:pPr>
                    <w:jc w:val="center"/>
                    <w:rPr>
                      <w:sz w:val="18"/>
                      <w:szCs w:val="18"/>
                    </w:rPr>
                  </w:pPr>
                  <w:r>
                    <w:rPr>
                      <w:sz w:val="18"/>
                      <w:szCs w:val="18"/>
                    </w:rPr>
                    <w:t>本项目位于</w:t>
                  </w:r>
                  <w:r>
                    <w:rPr>
                      <w:rFonts w:hint="eastAsia"/>
                      <w:sz w:val="18"/>
                      <w:szCs w:val="18"/>
                    </w:rPr>
                    <w:t>南通市通州区刘桥镇蒋一村十五组</w:t>
                  </w:r>
                  <w:r>
                    <w:rPr>
                      <w:sz w:val="18"/>
                      <w:szCs w:val="18"/>
                    </w:rPr>
                    <w:t>，为工业用地。</w:t>
                  </w:r>
                </w:p>
              </w:tc>
              <w:tc>
                <w:tcPr>
                  <w:tcW w:w="588" w:type="pct"/>
                  <w:vAlign w:val="center"/>
                </w:tcPr>
                <w:p w14:paraId="54DF1A1B">
                  <w:pPr>
                    <w:jc w:val="center"/>
                    <w:rPr>
                      <w:sz w:val="18"/>
                      <w:szCs w:val="18"/>
                    </w:rPr>
                  </w:pPr>
                  <w:r>
                    <w:rPr>
                      <w:sz w:val="18"/>
                      <w:szCs w:val="18"/>
                    </w:rPr>
                    <w:t>符合</w:t>
                  </w:r>
                </w:p>
              </w:tc>
            </w:tr>
            <w:tr w14:paraId="40698A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964" w:type="pct"/>
                  <w:vAlign w:val="center"/>
                </w:tcPr>
                <w:p w14:paraId="01B72E01">
                  <w:pPr>
                    <w:jc w:val="center"/>
                    <w:rPr>
                      <w:sz w:val="18"/>
                      <w:szCs w:val="18"/>
                    </w:rPr>
                  </w:pPr>
                  <w:r>
                    <w:rPr>
                      <w:sz w:val="18"/>
                      <w:szCs w:val="18"/>
                    </w:rPr>
                    <w:t>2.备案。项目开工前，建设单位应依法办理项目立项手续。实行备案管理的项目，建设单位通过“江苏省投资项目在线审批监管平台”向相应的项目备案机关申请备案。</w:t>
                  </w:r>
                </w:p>
              </w:tc>
              <w:tc>
                <w:tcPr>
                  <w:tcW w:w="1446" w:type="pct"/>
                  <w:vAlign w:val="center"/>
                </w:tcPr>
                <w:p w14:paraId="6F43B8BB">
                  <w:pPr>
                    <w:jc w:val="center"/>
                    <w:rPr>
                      <w:sz w:val="18"/>
                      <w:szCs w:val="18"/>
                    </w:rPr>
                  </w:pPr>
                  <w:r>
                    <w:rPr>
                      <w:color w:val="auto"/>
                      <w:sz w:val="18"/>
                      <w:szCs w:val="18"/>
                    </w:rPr>
                    <w:t>本项目已备案，备案文号为：</w:t>
                  </w:r>
                  <w:r>
                    <w:rPr>
                      <w:rFonts w:hint="eastAsia"/>
                      <w:color w:val="auto"/>
                      <w:sz w:val="18"/>
                      <w:szCs w:val="18"/>
                    </w:rPr>
                    <w:t>通数据投备〔2024〕141号</w:t>
                  </w:r>
                  <w:r>
                    <w:rPr>
                      <w:color w:val="auto"/>
                      <w:sz w:val="18"/>
                      <w:szCs w:val="18"/>
                    </w:rPr>
                    <w:t>，备案部门为南通市通州区</w:t>
                  </w:r>
                  <w:r>
                    <w:rPr>
                      <w:rFonts w:hint="eastAsia"/>
                      <w:color w:val="auto"/>
                      <w:sz w:val="18"/>
                      <w:szCs w:val="18"/>
                      <w:lang w:eastAsia="zh-CN"/>
                    </w:rPr>
                    <w:t>数据</w:t>
                  </w:r>
                  <w:r>
                    <w:rPr>
                      <w:color w:val="auto"/>
                      <w:sz w:val="18"/>
                      <w:szCs w:val="18"/>
                    </w:rPr>
                    <w:t>局。</w:t>
                  </w:r>
                </w:p>
              </w:tc>
              <w:tc>
                <w:tcPr>
                  <w:tcW w:w="588" w:type="pct"/>
                  <w:vAlign w:val="center"/>
                </w:tcPr>
                <w:p w14:paraId="16EA6195">
                  <w:pPr>
                    <w:jc w:val="center"/>
                    <w:rPr>
                      <w:sz w:val="18"/>
                      <w:szCs w:val="18"/>
                    </w:rPr>
                  </w:pPr>
                  <w:r>
                    <w:rPr>
                      <w:sz w:val="18"/>
                      <w:szCs w:val="18"/>
                    </w:rPr>
                    <w:t>符合</w:t>
                  </w:r>
                </w:p>
              </w:tc>
            </w:tr>
            <w:tr w14:paraId="204E22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964" w:type="pct"/>
                  <w:vAlign w:val="center"/>
                </w:tcPr>
                <w:p w14:paraId="4BDE13DF">
                  <w:pPr>
                    <w:jc w:val="center"/>
                    <w:rPr>
                      <w:sz w:val="18"/>
                      <w:szCs w:val="18"/>
                    </w:rPr>
                  </w:pPr>
                  <w:r>
                    <w:rPr>
                      <w:sz w:val="18"/>
                      <w:szCs w:val="18"/>
                    </w:rPr>
                    <w:t>3.用地。建设单位应依法办理项目用地手续，取得不动产权证书方可实施项目建设。</w:t>
                  </w:r>
                </w:p>
              </w:tc>
              <w:tc>
                <w:tcPr>
                  <w:tcW w:w="1446" w:type="pct"/>
                  <w:vAlign w:val="center"/>
                </w:tcPr>
                <w:p w14:paraId="1882A05C">
                  <w:pPr>
                    <w:jc w:val="center"/>
                    <w:rPr>
                      <w:sz w:val="18"/>
                      <w:szCs w:val="18"/>
                    </w:rPr>
                  </w:pPr>
                  <w:r>
                    <w:rPr>
                      <w:sz w:val="18"/>
                      <w:szCs w:val="18"/>
                    </w:rPr>
                    <w:t>本项目已依法办理用地手续。</w:t>
                  </w:r>
                </w:p>
              </w:tc>
              <w:tc>
                <w:tcPr>
                  <w:tcW w:w="588" w:type="pct"/>
                  <w:vAlign w:val="center"/>
                </w:tcPr>
                <w:p w14:paraId="05B57E6F">
                  <w:pPr>
                    <w:jc w:val="center"/>
                    <w:rPr>
                      <w:sz w:val="18"/>
                      <w:szCs w:val="18"/>
                    </w:rPr>
                  </w:pPr>
                  <w:r>
                    <w:rPr>
                      <w:sz w:val="18"/>
                      <w:szCs w:val="18"/>
                    </w:rPr>
                    <w:t>符合</w:t>
                  </w:r>
                </w:p>
              </w:tc>
            </w:tr>
            <w:tr w14:paraId="3CFC6A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964" w:type="pct"/>
                  <w:vAlign w:val="center"/>
                </w:tcPr>
                <w:p w14:paraId="4F08E9A2">
                  <w:pPr>
                    <w:jc w:val="center"/>
                    <w:rPr>
                      <w:sz w:val="18"/>
                      <w:szCs w:val="18"/>
                    </w:rPr>
                  </w:pPr>
                  <w:r>
                    <w:rPr>
                      <w:sz w:val="18"/>
                      <w:szCs w:val="18"/>
                    </w:rPr>
                    <w:t>4.环评。项目开工前，建设单位应组织编制建设项目环境影响报告书、环境影响报告表报相关审查部门审批，或填报环境影响登记表。</w:t>
                  </w:r>
                </w:p>
              </w:tc>
              <w:tc>
                <w:tcPr>
                  <w:tcW w:w="1446" w:type="pct"/>
                  <w:vAlign w:val="center"/>
                </w:tcPr>
                <w:p w14:paraId="7178FEC2">
                  <w:pPr>
                    <w:jc w:val="center"/>
                    <w:rPr>
                      <w:sz w:val="18"/>
                      <w:szCs w:val="18"/>
                    </w:rPr>
                  </w:pPr>
                  <w:r>
                    <w:rPr>
                      <w:sz w:val="18"/>
                      <w:szCs w:val="18"/>
                    </w:rPr>
                    <w:t>本项目环评目前编制中。</w:t>
                  </w:r>
                </w:p>
              </w:tc>
              <w:tc>
                <w:tcPr>
                  <w:tcW w:w="588" w:type="pct"/>
                  <w:vAlign w:val="center"/>
                </w:tcPr>
                <w:p w14:paraId="11E14B21">
                  <w:pPr>
                    <w:jc w:val="center"/>
                    <w:rPr>
                      <w:sz w:val="18"/>
                      <w:szCs w:val="18"/>
                    </w:rPr>
                  </w:pPr>
                  <w:r>
                    <w:rPr>
                      <w:sz w:val="18"/>
                      <w:szCs w:val="18"/>
                    </w:rPr>
                    <w:t>符合</w:t>
                  </w:r>
                </w:p>
              </w:tc>
            </w:tr>
          </w:tbl>
          <w:p w14:paraId="39528811">
            <w:pPr>
              <w:spacing w:line="500" w:lineRule="exact"/>
              <w:ind w:firstLine="422" w:firstLineChars="200"/>
              <w:rPr>
                <w:b/>
                <w:bCs/>
              </w:rPr>
            </w:pPr>
            <w:r>
              <w:rPr>
                <w:b/>
                <w:bCs/>
              </w:rPr>
              <w:t>1</w:t>
            </w:r>
            <w:r>
              <w:rPr>
                <w:rFonts w:hint="eastAsia"/>
                <w:b/>
                <w:bCs/>
                <w:lang w:val="en-US" w:eastAsia="zh-CN"/>
              </w:rPr>
              <w:t>2</w:t>
            </w:r>
            <w:r>
              <w:rPr>
                <w:b/>
                <w:bCs/>
              </w:rPr>
              <w:t>、与《关于做好生态环境和应急管理部门联动的工作的意见》（苏环办</w:t>
            </w:r>
            <w:r>
              <w:rPr>
                <w:rFonts w:hint="eastAsia"/>
                <w:b/>
                <w:bCs/>
                <w:lang w:eastAsia="zh-CN"/>
              </w:rPr>
              <w:t>〔</w:t>
            </w:r>
            <w:r>
              <w:rPr>
                <w:b/>
                <w:bCs/>
              </w:rPr>
              <w:t>2020</w:t>
            </w:r>
            <w:r>
              <w:rPr>
                <w:rFonts w:hint="eastAsia"/>
                <w:b/>
                <w:bCs/>
                <w:lang w:eastAsia="zh-CN"/>
              </w:rPr>
              <w:t>〕</w:t>
            </w:r>
            <w:r>
              <w:rPr>
                <w:b/>
                <w:bCs/>
              </w:rPr>
              <w:t>101号）相符性分析</w:t>
            </w:r>
          </w:p>
          <w:p w14:paraId="1B20E3BD">
            <w:pPr>
              <w:spacing w:line="360" w:lineRule="auto"/>
              <w:jc w:val="center"/>
              <w:rPr>
                <w:b/>
                <w:bCs/>
              </w:rPr>
            </w:pPr>
            <w:r>
              <w:rPr>
                <w:b/>
                <w:bCs/>
              </w:rPr>
              <w:t>表1-</w:t>
            </w:r>
            <w:r>
              <w:rPr>
                <w:rFonts w:hint="eastAsia"/>
                <w:b/>
                <w:bCs/>
                <w:lang w:val="en-US" w:eastAsia="zh-CN"/>
              </w:rPr>
              <w:t>8</w:t>
            </w:r>
            <w:r>
              <w:rPr>
                <w:b/>
                <w:bCs/>
              </w:rPr>
              <w:t xml:space="preserve"> 与苏环办</w:t>
            </w:r>
            <w:r>
              <w:rPr>
                <w:rFonts w:hint="eastAsia"/>
                <w:b/>
                <w:bCs/>
                <w:lang w:eastAsia="zh-CN"/>
              </w:rPr>
              <w:t>〔</w:t>
            </w:r>
            <w:r>
              <w:rPr>
                <w:b/>
                <w:bCs/>
              </w:rPr>
              <w:t>2020</w:t>
            </w:r>
            <w:r>
              <w:rPr>
                <w:rFonts w:hint="eastAsia"/>
                <w:b/>
                <w:bCs/>
                <w:lang w:eastAsia="zh-CN"/>
              </w:rPr>
              <w:t>〕</w:t>
            </w:r>
            <w:r>
              <w:rPr>
                <w:b/>
                <w:bCs/>
              </w:rPr>
              <w:t>101号）相符性分析</w:t>
            </w:r>
          </w:p>
          <w:tbl>
            <w:tblPr>
              <w:tblStyle w:val="16"/>
              <w:tblW w:w="7031"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52"/>
              <w:gridCol w:w="2647"/>
              <w:gridCol w:w="832"/>
            </w:tblGrid>
            <w:tr w14:paraId="2C54EB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52" w:type="dxa"/>
                  <w:vAlign w:val="center"/>
                </w:tcPr>
                <w:p w14:paraId="3099D411">
                  <w:pPr>
                    <w:jc w:val="center"/>
                    <w:rPr>
                      <w:sz w:val="18"/>
                      <w:szCs w:val="18"/>
                    </w:rPr>
                  </w:pPr>
                  <w:r>
                    <w:rPr>
                      <w:sz w:val="18"/>
                      <w:szCs w:val="18"/>
                    </w:rPr>
                    <w:t>相关内容</w:t>
                  </w:r>
                </w:p>
              </w:tc>
              <w:tc>
                <w:tcPr>
                  <w:tcW w:w="2647" w:type="dxa"/>
                  <w:vAlign w:val="center"/>
                </w:tcPr>
                <w:p w14:paraId="748AE215">
                  <w:pPr>
                    <w:jc w:val="center"/>
                    <w:rPr>
                      <w:sz w:val="18"/>
                      <w:szCs w:val="18"/>
                    </w:rPr>
                  </w:pPr>
                  <w:r>
                    <w:rPr>
                      <w:sz w:val="18"/>
                      <w:szCs w:val="18"/>
                    </w:rPr>
                    <w:t>本项目</w:t>
                  </w:r>
                </w:p>
              </w:tc>
              <w:tc>
                <w:tcPr>
                  <w:tcW w:w="832" w:type="dxa"/>
                  <w:vAlign w:val="center"/>
                </w:tcPr>
                <w:p w14:paraId="1D74A72E">
                  <w:pPr>
                    <w:jc w:val="center"/>
                    <w:rPr>
                      <w:sz w:val="18"/>
                      <w:szCs w:val="18"/>
                    </w:rPr>
                  </w:pPr>
                  <w:r>
                    <w:rPr>
                      <w:sz w:val="18"/>
                      <w:szCs w:val="18"/>
                    </w:rPr>
                    <w:t>符合性</w:t>
                  </w:r>
                </w:p>
              </w:tc>
            </w:tr>
            <w:tr w14:paraId="52FC5E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52" w:type="dxa"/>
                  <w:vAlign w:val="center"/>
                </w:tcPr>
                <w:p w14:paraId="26B88D98">
                  <w:pPr>
                    <w:jc w:val="center"/>
                    <w:rPr>
                      <w:sz w:val="18"/>
                      <w:szCs w:val="18"/>
                    </w:rPr>
                  </w:pPr>
                  <w:r>
                    <w:rPr>
                      <w:sz w:val="18"/>
                      <w:szCs w:val="18"/>
                    </w:rPr>
                    <w:t>二、建立危险废物监管联动机制：企业要切实履行好从危险废物产生、收集、贮存、运输、利用、处置等环节各项环保和安全职责；要制定危险废物管理计划并报属地生态环境部门备案</w:t>
                  </w:r>
                </w:p>
              </w:tc>
              <w:tc>
                <w:tcPr>
                  <w:tcW w:w="2647" w:type="dxa"/>
                  <w:vAlign w:val="center"/>
                </w:tcPr>
                <w:p w14:paraId="31A3AD0B">
                  <w:pPr>
                    <w:jc w:val="center"/>
                    <w:rPr>
                      <w:sz w:val="18"/>
                      <w:szCs w:val="18"/>
                    </w:rPr>
                  </w:pPr>
                  <w:r>
                    <w:rPr>
                      <w:sz w:val="18"/>
                      <w:szCs w:val="18"/>
                    </w:rPr>
                    <w:t>项目产生的危险废物经收集后暂存危废库，定期交由有资质单位处置，在产生、收集、贮存、运输过程中各项环保措施均已落实，同时投产后，每年制定危险废物管理计划并报属地生态环境部门备案</w:t>
                  </w:r>
                </w:p>
              </w:tc>
              <w:tc>
                <w:tcPr>
                  <w:tcW w:w="832" w:type="dxa"/>
                  <w:vAlign w:val="center"/>
                </w:tcPr>
                <w:p w14:paraId="624C4B74">
                  <w:pPr>
                    <w:jc w:val="center"/>
                    <w:rPr>
                      <w:sz w:val="18"/>
                      <w:szCs w:val="18"/>
                    </w:rPr>
                  </w:pPr>
                  <w:r>
                    <w:rPr>
                      <w:sz w:val="18"/>
                      <w:szCs w:val="18"/>
                    </w:rPr>
                    <w:t>符合</w:t>
                  </w:r>
                </w:p>
              </w:tc>
            </w:tr>
            <w:tr w14:paraId="7217CE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52" w:type="dxa"/>
                  <w:vAlign w:val="center"/>
                </w:tcPr>
                <w:p w14:paraId="1C740073">
                  <w:pPr>
                    <w:jc w:val="center"/>
                    <w:rPr>
                      <w:sz w:val="18"/>
                      <w:szCs w:val="18"/>
                    </w:rPr>
                  </w:pPr>
                  <w:r>
                    <w:rPr>
                      <w:sz w:val="18"/>
                      <w:szCs w:val="18"/>
                    </w:rPr>
                    <w:t>三、建立环境治理设施监管联动机制：企业要对脱硫脱硝、煤改气、挥发性有机物回收、污水处理、粉尘治理、RTO焚烧炉等六类环境治理设施开展安全风险辨识管控，要健全内部污染防治设施稳定运行和管理责任制度</w:t>
                  </w:r>
                  <w:r>
                    <w:rPr>
                      <w:rFonts w:hint="eastAsia"/>
                      <w:sz w:val="18"/>
                      <w:szCs w:val="18"/>
                      <w:lang w:eastAsia="zh-CN"/>
                    </w:rPr>
                    <w:t>，</w:t>
                  </w:r>
                  <w:r>
                    <w:rPr>
                      <w:sz w:val="18"/>
                      <w:szCs w:val="18"/>
                    </w:rPr>
                    <w:t>严格依据标准规范建设环境治理设施</w:t>
                  </w:r>
                  <w:r>
                    <w:rPr>
                      <w:rFonts w:hint="eastAsia"/>
                      <w:sz w:val="18"/>
                      <w:szCs w:val="18"/>
                      <w:lang w:eastAsia="zh-CN"/>
                    </w:rPr>
                    <w:t>，</w:t>
                  </w:r>
                  <w:r>
                    <w:rPr>
                      <w:sz w:val="18"/>
                      <w:szCs w:val="18"/>
                    </w:rPr>
                    <w:t>确保环境治理设施安全、稳定、有效运行。</w:t>
                  </w:r>
                </w:p>
              </w:tc>
              <w:tc>
                <w:tcPr>
                  <w:tcW w:w="2647" w:type="dxa"/>
                  <w:vAlign w:val="center"/>
                </w:tcPr>
                <w:p w14:paraId="2D35B4F2">
                  <w:pPr>
                    <w:jc w:val="center"/>
                    <w:rPr>
                      <w:sz w:val="18"/>
                      <w:szCs w:val="18"/>
                    </w:rPr>
                  </w:pPr>
                  <w:r>
                    <w:rPr>
                      <w:sz w:val="18"/>
                      <w:szCs w:val="18"/>
                    </w:rPr>
                    <w:t>项目不涉及脱硫脱硝、煤改气、RTO焚烧炉，挥发性有机物采用</w:t>
                  </w:r>
                  <w:r>
                    <w:rPr>
                      <w:rFonts w:hint="eastAsia"/>
                      <w:sz w:val="18"/>
                      <w:szCs w:val="18"/>
                    </w:rPr>
                    <w:t>水喷淋+除雾除湿设施+</w:t>
                  </w:r>
                  <w:r>
                    <w:rPr>
                      <w:sz w:val="18"/>
                      <w:szCs w:val="18"/>
                    </w:rPr>
                    <w:t>二级活性炭吸附装置，废活性炭</w:t>
                  </w:r>
                  <w:r>
                    <w:rPr>
                      <w:rFonts w:hint="eastAsia"/>
                      <w:sz w:val="18"/>
                      <w:szCs w:val="18"/>
                      <w:lang w:eastAsia="zh-CN"/>
                    </w:rPr>
                    <w:t>等</w:t>
                  </w:r>
                  <w:r>
                    <w:rPr>
                      <w:sz w:val="18"/>
                      <w:szCs w:val="18"/>
                    </w:rPr>
                    <w:t>存放在危废库内，定期交由有资质单位处置</w:t>
                  </w:r>
                  <w:r>
                    <w:rPr>
                      <w:rFonts w:hint="eastAsia"/>
                      <w:sz w:val="18"/>
                      <w:szCs w:val="18"/>
                    </w:rPr>
                    <w:t>。</w:t>
                  </w:r>
                </w:p>
              </w:tc>
              <w:tc>
                <w:tcPr>
                  <w:tcW w:w="832" w:type="dxa"/>
                  <w:vAlign w:val="center"/>
                </w:tcPr>
                <w:p w14:paraId="3F1F36D3">
                  <w:pPr>
                    <w:jc w:val="center"/>
                    <w:rPr>
                      <w:sz w:val="18"/>
                      <w:szCs w:val="18"/>
                    </w:rPr>
                  </w:pPr>
                  <w:r>
                    <w:rPr>
                      <w:sz w:val="18"/>
                      <w:szCs w:val="18"/>
                    </w:rPr>
                    <w:t>符合</w:t>
                  </w:r>
                </w:p>
              </w:tc>
            </w:tr>
          </w:tbl>
          <w:p w14:paraId="0E958459">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default"/>
                <w:b/>
                <w:bCs/>
                <w:lang w:val="en-US" w:eastAsia="zh-CN"/>
              </w:rPr>
            </w:pPr>
            <w:r>
              <w:rPr>
                <w:rFonts w:hint="eastAsia"/>
                <w:b/>
                <w:bCs/>
                <w:lang w:val="en-US" w:eastAsia="zh-CN"/>
              </w:rPr>
              <w:t>13、与南通市通州区“三区三线”划定成果的协调性分析</w:t>
            </w:r>
          </w:p>
          <w:p w14:paraId="1AE2BF4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sz w:val="21"/>
                <w:szCs w:val="21"/>
              </w:rPr>
            </w:pPr>
            <w:r>
              <w:rPr>
                <w:rFonts w:hint="eastAsia"/>
                <w:sz w:val="21"/>
                <w:szCs w:val="21"/>
              </w:rPr>
              <w:t>2022 年，自然资源部办公厅印发《关于北京等省（区、市）启用“三区三线”划定成果作为报批建设项目用地用海依据的函》（自然资办函〔2022〕2207 号），“三区三线”划定成果从2022年10月14日起正式启用，作为建设项目用地用海组卷报批的依据。</w:t>
            </w:r>
          </w:p>
          <w:p w14:paraId="28A1199F">
            <w:pPr>
              <w:pStyle w:val="2"/>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ascii="Times New Roman" w:hAnsi="Times New Roman"/>
                <w:bCs/>
                <w:szCs w:val="21"/>
              </w:rPr>
            </w:pPr>
            <w:r>
              <w:rPr>
                <w:rFonts w:hint="eastAsia"/>
                <w:sz w:val="21"/>
                <w:szCs w:val="21"/>
                <w:lang w:eastAsia="zh-CN"/>
              </w:rPr>
              <w:t>项目位</w:t>
            </w:r>
            <w:r>
              <w:rPr>
                <w:rFonts w:hint="default" w:ascii="Times New Roman" w:hAnsi="Times New Roman" w:cs="Times New Roman"/>
                <w:sz w:val="21"/>
                <w:szCs w:val="21"/>
                <w:lang w:eastAsia="zh-CN"/>
              </w:rPr>
              <w:t>于南通市通州区刘桥镇蒋一村十五组，现状用地为工业用地，本项目不涉及永久基本农田，不占用国家级生态红线</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周</w:t>
            </w:r>
            <w:r>
              <w:rPr>
                <w:rFonts w:hint="eastAsia"/>
                <w:sz w:val="21"/>
                <w:szCs w:val="21"/>
                <w:lang w:eastAsia="zh-CN"/>
              </w:rPr>
              <w:t>边距离最近的生态空间管控区域保护目标九圩港（通州区）清水通道维护区，</w:t>
            </w:r>
            <w:r>
              <w:rPr>
                <w:rFonts w:hint="default" w:ascii="Times New Roman" w:hAnsi="Times New Roman" w:cs="Times New Roman"/>
                <w:sz w:val="21"/>
                <w:szCs w:val="21"/>
                <w:lang w:eastAsia="zh-CN"/>
              </w:rPr>
              <w:t>距离约</w:t>
            </w:r>
            <w:r>
              <w:rPr>
                <w:rFonts w:hint="default" w:ascii="Times New Roman" w:hAnsi="Times New Roman" w:cs="Times New Roman"/>
                <w:sz w:val="21"/>
                <w:szCs w:val="21"/>
                <w:lang w:val="en-US" w:eastAsia="zh-CN"/>
              </w:rPr>
              <w:t>92.34</w:t>
            </w:r>
            <w:r>
              <w:rPr>
                <w:rFonts w:hint="default" w:ascii="Times New Roman" w:hAnsi="Times New Roman" w:cs="Times New Roman"/>
                <w:sz w:val="21"/>
                <w:szCs w:val="21"/>
                <w:lang w:eastAsia="zh-CN"/>
              </w:rPr>
              <w:t>m</w:t>
            </w:r>
            <w:r>
              <w:rPr>
                <w:rFonts w:hint="eastAsia"/>
                <w:sz w:val="21"/>
                <w:szCs w:val="21"/>
                <w:lang w:eastAsia="zh-CN"/>
              </w:rPr>
              <w:t>。因此，项目建设符合南通市通州区“三区三线”。</w:t>
            </w:r>
          </w:p>
        </w:tc>
      </w:tr>
    </w:tbl>
    <w:p w14:paraId="27B9DE32">
      <w:pPr>
        <w:spacing w:before="156" w:beforeLines="50" w:after="156" w:afterLines="50"/>
        <w:jc w:val="center"/>
        <w:outlineLvl w:val="0"/>
        <w:rPr>
          <w:rFonts w:eastAsia="黑体"/>
          <w:sz w:val="30"/>
          <w:szCs w:val="30"/>
        </w:rPr>
      </w:pPr>
    </w:p>
    <w:p w14:paraId="23285FE6">
      <w:pPr>
        <w:numPr>
          <w:ilvl w:val="0"/>
          <w:numId w:val="1"/>
        </w:numPr>
        <w:spacing w:before="156" w:beforeLines="50" w:after="156" w:afterLines="50"/>
        <w:jc w:val="center"/>
        <w:outlineLvl w:val="0"/>
        <w:rPr>
          <w:rFonts w:eastAsia="黑体"/>
          <w:sz w:val="30"/>
          <w:szCs w:val="30"/>
        </w:rPr>
      </w:pPr>
      <w:r>
        <w:rPr>
          <w:rFonts w:eastAsia="黑体"/>
          <w:sz w:val="30"/>
          <w:szCs w:val="30"/>
        </w:rPr>
        <w:t>建设项目工程分析</w:t>
      </w:r>
    </w:p>
    <w:tbl>
      <w:tblPr>
        <w:tblStyle w:val="17"/>
        <w:tblW w:w="975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
        <w:gridCol w:w="433"/>
        <w:gridCol w:w="302"/>
        <w:gridCol w:w="8788"/>
      </w:tblGrid>
      <w:tr w14:paraId="7D24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7" w:type="dxa"/>
        </w:trPr>
        <w:tc>
          <w:tcPr>
            <w:tcW w:w="735" w:type="dxa"/>
            <w:gridSpan w:val="2"/>
            <w:vAlign w:val="center"/>
          </w:tcPr>
          <w:p w14:paraId="1B64D474">
            <w:pPr>
              <w:numPr>
                <w:ilvl w:val="0"/>
                <w:numId w:val="0"/>
              </w:numPr>
              <w:spacing w:before="156" w:beforeLines="50" w:after="156" w:afterLines="50"/>
              <w:jc w:val="center"/>
              <w:outlineLvl w:val="0"/>
              <w:rPr>
                <w:rFonts w:eastAsia="黑体"/>
                <w:sz w:val="30"/>
                <w:szCs w:val="30"/>
                <w:vertAlign w:val="baseline"/>
              </w:rPr>
            </w:pPr>
            <w:r>
              <w:rPr>
                <w:rFonts w:ascii="Times New Roman" w:hAnsi="Times New Roman"/>
                <w:color w:val="auto"/>
                <w:sz w:val="21"/>
                <w:szCs w:val="21"/>
              </w:rPr>
              <w:t>建设内容</w:t>
            </w:r>
          </w:p>
        </w:tc>
        <w:tc>
          <w:tcPr>
            <w:tcW w:w="8788" w:type="dxa"/>
          </w:tcPr>
          <w:p w14:paraId="0E63D641">
            <w:pPr>
              <w:numPr>
                <w:ilvl w:val="0"/>
                <w:numId w:val="2"/>
              </w:numPr>
              <w:spacing w:line="500" w:lineRule="exact"/>
              <w:rPr>
                <w:b/>
                <w:bCs/>
                <w:color w:val="auto"/>
                <w:szCs w:val="21"/>
              </w:rPr>
            </w:pPr>
            <w:r>
              <w:rPr>
                <w:b/>
                <w:bCs/>
                <w:color w:val="auto"/>
                <w:szCs w:val="21"/>
              </w:rPr>
              <w:t>项目由来</w:t>
            </w:r>
          </w:p>
          <w:p w14:paraId="57F53E70">
            <w:pPr>
              <w:adjustRightInd w:val="0"/>
              <w:snapToGrid w:val="0"/>
              <w:spacing w:line="500" w:lineRule="exact"/>
              <w:ind w:firstLine="420" w:firstLineChars="200"/>
              <w:rPr>
                <w:rFonts w:hint="eastAsia"/>
                <w:color w:val="auto"/>
                <w:szCs w:val="21"/>
                <w:lang w:eastAsia="zh-CN"/>
              </w:rPr>
            </w:pPr>
            <w:r>
              <w:rPr>
                <w:rFonts w:hint="eastAsia"/>
                <w:color w:val="auto"/>
                <w:szCs w:val="21"/>
                <w:lang w:eastAsia="zh-CN"/>
              </w:rPr>
              <w:t>南通华略高新材料科技有限公司成立于2020年05月09日，主要经营范围为一般项目：新材料技术推广服务；技术服务、技术开发、技术咨询、技术交流、技术转让、技术推广；玻璃纤维增强塑料制品制造；塑料制品制造；塑料制品销售；玻璃纤维增强塑料制品销售；工程塑料及合成树脂销售；橡胶制品销售；专用化学产品销售（不含危险化学品）（除依法须经批准的项目外，凭营业执照依法自主开展经营活动）。</w:t>
            </w:r>
          </w:p>
          <w:p w14:paraId="49C07884">
            <w:pPr>
              <w:adjustRightInd w:val="0"/>
              <w:snapToGrid w:val="0"/>
              <w:spacing w:line="500" w:lineRule="exact"/>
              <w:ind w:firstLine="420" w:firstLineChars="200"/>
              <w:rPr>
                <w:rFonts w:hint="eastAsia" w:eastAsia="宋体"/>
                <w:bCs/>
                <w:color w:val="auto"/>
                <w:szCs w:val="21"/>
                <w:lang w:eastAsia="zh-CN"/>
              </w:rPr>
            </w:pPr>
            <w:r>
              <w:rPr>
                <w:rFonts w:hint="eastAsia"/>
                <w:color w:val="auto"/>
                <w:szCs w:val="21"/>
                <w:lang w:eastAsia="zh-CN"/>
              </w:rPr>
              <w:t>南通华略高新材料科技有限公司位于南通市通州区刘桥镇蒋一村十五组（九圩港（通州区）清水通道维护区外），拟投资</w:t>
            </w:r>
            <w:r>
              <w:rPr>
                <w:rFonts w:hint="eastAsia"/>
                <w:color w:val="auto"/>
                <w:szCs w:val="21"/>
                <w:lang w:val="en-US" w:eastAsia="zh-CN"/>
              </w:rPr>
              <w:t>10</w:t>
            </w:r>
            <w:r>
              <w:rPr>
                <w:rFonts w:hint="eastAsia"/>
                <w:color w:val="auto"/>
                <w:szCs w:val="21"/>
                <w:lang w:eastAsia="zh-CN"/>
              </w:rPr>
              <w:t>00万元新建年产</w:t>
            </w:r>
            <w:r>
              <w:rPr>
                <w:rFonts w:hint="eastAsia"/>
                <w:color w:val="auto"/>
                <w:szCs w:val="21"/>
                <w:lang w:val="en-US" w:eastAsia="zh-CN"/>
              </w:rPr>
              <w:t>100</w:t>
            </w:r>
            <w:r>
              <w:rPr>
                <w:rFonts w:hint="eastAsia"/>
                <w:color w:val="auto"/>
                <w:szCs w:val="21"/>
                <w:lang w:eastAsia="zh-CN"/>
              </w:rPr>
              <w:t>0吨色母粒项目，租赁江苏鼎中钢业有限公司厂房进行建设，占地面积约</w:t>
            </w:r>
            <w:r>
              <w:rPr>
                <w:rFonts w:hint="eastAsia"/>
                <w:color w:val="auto"/>
                <w:szCs w:val="21"/>
                <w:lang w:val="en-US" w:eastAsia="zh-CN"/>
              </w:rPr>
              <w:t>2</w:t>
            </w:r>
            <w:r>
              <w:rPr>
                <w:rFonts w:hint="eastAsia"/>
                <w:color w:val="auto"/>
                <w:szCs w:val="21"/>
                <w:lang w:eastAsia="zh-CN"/>
              </w:rPr>
              <w:t>700平方米，拟购置双螺杆挤出机、高速混料机、切粒机、均化料仓、磨粉机、粉碎机等设备，项目建成后，可形成年产</w:t>
            </w:r>
            <w:r>
              <w:rPr>
                <w:rFonts w:hint="eastAsia"/>
                <w:color w:val="auto"/>
                <w:szCs w:val="21"/>
                <w:lang w:val="en-US" w:eastAsia="zh-CN"/>
              </w:rPr>
              <w:t>100</w:t>
            </w:r>
            <w:r>
              <w:rPr>
                <w:rFonts w:hint="eastAsia"/>
                <w:color w:val="auto"/>
                <w:szCs w:val="21"/>
                <w:lang w:eastAsia="zh-CN"/>
              </w:rPr>
              <w:t>0吨色母粒的能力。</w:t>
            </w:r>
          </w:p>
          <w:p w14:paraId="2659CAFC">
            <w:pPr>
              <w:adjustRightInd w:val="0"/>
              <w:snapToGrid w:val="0"/>
              <w:spacing w:line="500" w:lineRule="exact"/>
              <w:ind w:firstLine="420" w:firstLineChars="200"/>
              <w:rPr>
                <w:bCs/>
                <w:color w:val="auto"/>
                <w:szCs w:val="21"/>
              </w:rPr>
            </w:pPr>
            <w:r>
              <w:rPr>
                <w:rFonts w:hint="eastAsia"/>
                <w:bCs/>
                <w:color w:val="auto"/>
                <w:szCs w:val="21"/>
              </w:rPr>
              <w:t>南通华略高新材料科技有限公司</w:t>
            </w:r>
            <w:r>
              <w:rPr>
                <w:bCs/>
                <w:color w:val="auto"/>
                <w:szCs w:val="21"/>
              </w:rPr>
              <w:t>已于202</w:t>
            </w:r>
            <w:r>
              <w:rPr>
                <w:rFonts w:hint="eastAsia"/>
                <w:bCs/>
                <w:color w:val="auto"/>
                <w:szCs w:val="21"/>
                <w:lang w:val="en-US" w:eastAsia="zh-CN"/>
              </w:rPr>
              <w:t>4</w:t>
            </w:r>
            <w:r>
              <w:rPr>
                <w:bCs/>
                <w:color w:val="auto"/>
                <w:szCs w:val="21"/>
              </w:rPr>
              <w:t>年</w:t>
            </w:r>
            <w:r>
              <w:rPr>
                <w:rFonts w:hint="eastAsia"/>
                <w:bCs/>
                <w:color w:val="auto"/>
                <w:szCs w:val="21"/>
                <w:lang w:val="en-US" w:eastAsia="zh-CN"/>
              </w:rPr>
              <w:t>9</w:t>
            </w:r>
            <w:r>
              <w:rPr>
                <w:bCs/>
                <w:color w:val="auto"/>
                <w:szCs w:val="21"/>
              </w:rPr>
              <w:t>月</w:t>
            </w:r>
            <w:r>
              <w:rPr>
                <w:rFonts w:hint="eastAsia"/>
                <w:bCs/>
                <w:color w:val="auto"/>
                <w:szCs w:val="21"/>
                <w:lang w:val="en-US" w:eastAsia="zh-CN"/>
              </w:rPr>
              <w:t>06</w:t>
            </w:r>
            <w:r>
              <w:rPr>
                <w:bCs/>
                <w:color w:val="auto"/>
                <w:szCs w:val="21"/>
              </w:rPr>
              <w:t>日取得</w:t>
            </w:r>
            <w:r>
              <w:rPr>
                <w:rFonts w:hint="eastAsia"/>
                <w:bCs/>
                <w:color w:val="auto"/>
                <w:szCs w:val="21"/>
              </w:rPr>
              <w:t>南通市通州区数据局</w:t>
            </w:r>
            <w:r>
              <w:rPr>
                <w:bCs/>
                <w:color w:val="auto"/>
                <w:szCs w:val="21"/>
              </w:rPr>
              <w:t>出具的备案证（备案证号：</w:t>
            </w:r>
            <w:r>
              <w:rPr>
                <w:rFonts w:hint="eastAsia"/>
                <w:bCs/>
                <w:color w:val="auto"/>
                <w:szCs w:val="21"/>
              </w:rPr>
              <w:t>通数据投备〔2024〕141号</w:t>
            </w:r>
            <w:r>
              <w:rPr>
                <w:bCs/>
                <w:color w:val="auto"/>
                <w:szCs w:val="21"/>
              </w:rPr>
              <w:t>）。</w:t>
            </w:r>
          </w:p>
          <w:p w14:paraId="4E44473E">
            <w:pPr>
              <w:adjustRightInd w:val="0"/>
              <w:snapToGrid w:val="0"/>
              <w:spacing w:line="500" w:lineRule="exact"/>
              <w:ind w:firstLine="420" w:firstLineChars="200"/>
              <w:rPr>
                <w:bCs/>
                <w:color w:val="auto"/>
                <w:szCs w:val="21"/>
              </w:rPr>
            </w:pPr>
            <w:r>
              <w:rPr>
                <w:bCs/>
                <w:color w:val="auto"/>
                <w:szCs w:val="21"/>
              </w:rPr>
              <w:t>根据《中华人民共和国环境保护法</w:t>
            </w:r>
            <w:r>
              <w:rPr>
                <w:rFonts w:hint="eastAsia"/>
                <w:bCs/>
                <w:color w:val="auto"/>
                <w:szCs w:val="21"/>
                <w:lang w:eastAsia="zh-CN"/>
              </w:rPr>
              <w:t>》《</w:t>
            </w:r>
            <w:r>
              <w:rPr>
                <w:bCs/>
                <w:color w:val="auto"/>
                <w:szCs w:val="21"/>
              </w:rPr>
              <w:t>中华人民共和国环境影响评价法</w:t>
            </w:r>
            <w:r>
              <w:rPr>
                <w:rFonts w:hint="eastAsia"/>
                <w:bCs/>
                <w:color w:val="auto"/>
                <w:szCs w:val="21"/>
                <w:lang w:eastAsia="zh-CN"/>
              </w:rPr>
              <w:t>》《</w:t>
            </w:r>
            <w:r>
              <w:rPr>
                <w:bCs/>
                <w:color w:val="auto"/>
                <w:szCs w:val="21"/>
              </w:rPr>
              <w:t>建设项目环境保护管理条例》等法律法规的有关规定，本项目须进行环境影响评价工作。</w:t>
            </w:r>
          </w:p>
          <w:p w14:paraId="65905FBB">
            <w:pPr>
              <w:adjustRightInd w:val="0"/>
              <w:snapToGrid w:val="0"/>
              <w:spacing w:line="500" w:lineRule="exact"/>
              <w:ind w:firstLine="420" w:firstLineChars="200"/>
              <w:rPr>
                <w:bCs/>
                <w:color w:val="auto"/>
                <w:szCs w:val="21"/>
              </w:rPr>
            </w:pPr>
            <w:r>
              <w:rPr>
                <w:bCs/>
                <w:color w:val="auto"/>
                <w:szCs w:val="21"/>
              </w:rPr>
              <w:t>对照《建设项目环境影响评价分类管理名录》（2021年版），</w:t>
            </w:r>
            <w:r>
              <w:rPr>
                <w:rFonts w:hint="eastAsia"/>
                <w:bCs/>
                <w:color w:val="auto"/>
                <w:szCs w:val="21"/>
                <w:lang w:eastAsia="zh-CN"/>
              </w:rPr>
              <w:t>南通华略高新材料科技有限公司</w:t>
            </w:r>
            <w:r>
              <w:rPr>
                <w:rFonts w:hint="eastAsia"/>
                <w:bCs/>
                <w:color w:val="auto"/>
                <w:szCs w:val="21"/>
              </w:rPr>
              <w:t>年产</w:t>
            </w:r>
            <w:r>
              <w:rPr>
                <w:rFonts w:hint="eastAsia"/>
                <w:bCs/>
                <w:color w:val="auto"/>
                <w:szCs w:val="21"/>
                <w:lang w:val="en-US" w:eastAsia="zh-CN"/>
              </w:rPr>
              <w:t>1000</w:t>
            </w:r>
            <w:r>
              <w:rPr>
                <w:rFonts w:hint="eastAsia"/>
                <w:bCs/>
                <w:color w:val="auto"/>
                <w:szCs w:val="21"/>
              </w:rPr>
              <w:t>吨色母粒项目</w:t>
            </w:r>
            <w:r>
              <w:rPr>
                <w:bCs/>
                <w:color w:val="auto"/>
                <w:szCs w:val="21"/>
              </w:rPr>
              <w:t>属于环评分类管理目录中</w:t>
            </w:r>
            <w:r>
              <w:rPr>
                <w:rFonts w:hint="eastAsia"/>
                <w:bCs/>
                <w:color w:val="auto"/>
                <w:szCs w:val="21"/>
              </w:rPr>
              <w:t>“二十六、橡胶和塑料制品业53-塑料制品业 292-其他（年用非溶剂型低VOCs含量涂料10吨以下的除外）”</w:t>
            </w:r>
            <w:r>
              <w:rPr>
                <w:bCs/>
                <w:color w:val="auto"/>
                <w:szCs w:val="21"/>
              </w:rPr>
              <w:t>，应该编制环境影响报告表，为此，</w:t>
            </w:r>
            <w:r>
              <w:rPr>
                <w:rFonts w:hint="eastAsia"/>
                <w:bCs/>
                <w:color w:val="auto"/>
                <w:szCs w:val="21"/>
                <w:lang w:eastAsia="zh-CN"/>
              </w:rPr>
              <w:t>南通华略高新材料科技有限公司</w:t>
            </w:r>
            <w:r>
              <w:rPr>
                <w:bCs/>
                <w:color w:val="auto"/>
                <w:szCs w:val="21"/>
              </w:rPr>
              <w:t>委托</w:t>
            </w:r>
            <w:r>
              <w:rPr>
                <w:rFonts w:hint="eastAsia"/>
                <w:bCs/>
                <w:color w:val="auto"/>
                <w:szCs w:val="21"/>
              </w:rPr>
              <w:t>布鲁环境技术（南通）有限公司</w:t>
            </w:r>
            <w:r>
              <w:rPr>
                <w:bCs/>
                <w:color w:val="auto"/>
                <w:szCs w:val="21"/>
              </w:rPr>
              <w:t>承担该项目环境影响评价工作。</w:t>
            </w:r>
            <w:r>
              <w:rPr>
                <w:rFonts w:hint="eastAsia"/>
                <w:bCs/>
                <w:color w:val="auto"/>
                <w:szCs w:val="21"/>
              </w:rPr>
              <w:t>我</w:t>
            </w:r>
            <w:r>
              <w:rPr>
                <w:bCs/>
                <w:color w:val="auto"/>
                <w:szCs w:val="21"/>
              </w:rPr>
              <w:t>公司接受委托后，项目环评工作组进行了实地踏勘和资料收集，在工程分析的基础上，编制了该项目的环境影响报告表。通过环境影响评价，阐明建设项目对周围环境影响的程度和范围，并提出环境污染控制措施，为建设项目的工程设计和环境管理提供科学依据，现报请审批主管部门审批。</w:t>
            </w:r>
          </w:p>
          <w:p w14:paraId="5597A113">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b/>
                <w:bCs/>
                <w:color w:val="auto"/>
                <w:szCs w:val="21"/>
              </w:rPr>
            </w:pPr>
            <w:r>
              <w:rPr>
                <w:b/>
                <w:bCs/>
                <w:color w:val="auto"/>
                <w:szCs w:val="21"/>
              </w:rPr>
              <w:t xml:space="preserve">2、主要产品及产能情况 </w:t>
            </w:r>
          </w:p>
          <w:p w14:paraId="03AE8AF1">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center"/>
              <w:textAlignment w:val="auto"/>
              <w:rPr>
                <w:b/>
                <w:bCs/>
                <w:color w:val="auto"/>
                <w:szCs w:val="21"/>
              </w:rPr>
            </w:pPr>
            <w:r>
              <w:rPr>
                <w:b/>
                <w:bCs/>
                <w:color w:val="auto"/>
                <w:szCs w:val="21"/>
              </w:rPr>
              <w:t>表 2-1 建设项目主要产品及产能情况</w:t>
            </w:r>
          </w:p>
          <w:tbl>
            <w:tblPr>
              <w:tblStyle w:val="17"/>
              <w:tblW w:w="855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350"/>
              <w:gridCol w:w="2108"/>
              <w:gridCol w:w="1852"/>
              <w:gridCol w:w="1530"/>
            </w:tblGrid>
            <w:tr w14:paraId="297F92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717" w:type="dxa"/>
                  <w:tcBorders>
                    <w:tl2br w:val="nil"/>
                    <w:tr2bl w:val="nil"/>
                  </w:tcBorders>
                  <w:vAlign w:val="center"/>
                </w:tcPr>
                <w:p w14:paraId="2A29A2E1">
                  <w:pPr>
                    <w:jc w:val="center"/>
                    <w:rPr>
                      <w:color w:val="auto"/>
                      <w:sz w:val="18"/>
                      <w:szCs w:val="18"/>
                    </w:rPr>
                  </w:pPr>
                  <w:r>
                    <w:rPr>
                      <w:color w:val="auto"/>
                      <w:sz w:val="18"/>
                      <w:szCs w:val="18"/>
                    </w:rPr>
                    <w:t>生产线名称</w:t>
                  </w:r>
                </w:p>
              </w:tc>
              <w:tc>
                <w:tcPr>
                  <w:tcW w:w="1350" w:type="dxa"/>
                  <w:tcBorders>
                    <w:tl2br w:val="nil"/>
                    <w:tr2bl w:val="nil"/>
                  </w:tcBorders>
                  <w:vAlign w:val="center"/>
                </w:tcPr>
                <w:p w14:paraId="422B17E2">
                  <w:pPr>
                    <w:jc w:val="center"/>
                    <w:rPr>
                      <w:color w:val="auto"/>
                      <w:sz w:val="18"/>
                      <w:szCs w:val="18"/>
                    </w:rPr>
                  </w:pPr>
                  <w:r>
                    <w:rPr>
                      <w:color w:val="auto"/>
                      <w:sz w:val="18"/>
                      <w:szCs w:val="18"/>
                    </w:rPr>
                    <w:t>产品名称</w:t>
                  </w:r>
                </w:p>
              </w:tc>
              <w:tc>
                <w:tcPr>
                  <w:tcW w:w="2108" w:type="dxa"/>
                  <w:tcBorders>
                    <w:tl2br w:val="nil"/>
                    <w:tr2bl w:val="nil"/>
                  </w:tcBorders>
                  <w:vAlign w:val="center"/>
                </w:tcPr>
                <w:p w14:paraId="0FCDE725">
                  <w:pPr>
                    <w:jc w:val="center"/>
                    <w:rPr>
                      <w:rFonts w:hint="eastAsia" w:eastAsia="宋体"/>
                      <w:color w:val="auto"/>
                      <w:sz w:val="18"/>
                      <w:szCs w:val="18"/>
                      <w:lang w:eastAsia="zh-CN"/>
                    </w:rPr>
                  </w:pPr>
                  <w:r>
                    <w:rPr>
                      <w:color w:val="auto"/>
                      <w:sz w:val="18"/>
                      <w:szCs w:val="18"/>
                    </w:rPr>
                    <w:t>产品规格</w:t>
                  </w:r>
                </w:p>
              </w:tc>
              <w:tc>
                <w:tcPr>
                  <w:tcW w:w="1852" w:type="dxa"/>
                  <w:tcBorders>
                    <w:tl2br w:val="nil"/>
                    <w:tr2bl w:val="nil"/>
                  </w:tcBorders>
                  <w:vAlign w:val="center"/>
                </w:tcPr>
                <w:p w14:paraId="6CCF61C9">
                  <w:pPr>
                    <w:jc w:val="center"/>
                    <w:rPr>
                      <w:color w:val="auto"/>
                      <w:sz w:val="18"/>
                      <w:szCs w:val="18"/>
                    </w:rPr>
                  </w:pPr>
                  <w:r>
                    <w:rPr>
                      <w:color w:val="auto"/>
                      <w:sz w:val="18"/>
                      <w:szCs w:val="18"/>
                    </w:rPr>
                    <w:t>设计生产能力</w:t>
                  </w:r>
                </w:p>
              </w:tc>
              <w:tc>
                <w:tcPr>
                  <w:tcW w:w="1530" w:type="dxa"/>
                  <w:tcBorders>
                    <w:tl2br w:val="nil"/>
                    <w:tr2bl w:val="nil"/>
                  </w:tcBorders>
                  <w:vAlign w:val="center"/>
                </w:tcPr>
                <w:p w14:paraId="6EF6C2EF">
                  <w:pPr>
                    <w:jc w:val="center"/>
                    <w:rPr>
                      <w:color w:val="auto"/>
                      <w:sz w:val="18"/>
                      <w:szCs w:val="18"/>
                    </w:rPr>
                  </w:pPr>
                  <w:r>
                    <w:rPr>
                      <w:color w:val="auto"/>
                      <w:sz w:val="18"/>
                      <w:szCs w:val="18"/>
                    </w:rPr>
                    <w:t>年生产时间</w:t>
                  </w:r>
                </w:p>
              </w:tc>
            </w:tr>
            <w:tr w14:paraId="3AEC9C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717" w:type="dxa"/>
                  <w:tcBorders>
                    <w:tl2br w:val="nil"/>
                    <w:tr2bl w:val="nil"/>
                  </w:tcBorders>
                  <w:vAlign w:val="center"/>
                </w:tcPr>
                <w:p w14:paraId="3C46D914">
                  <w:pPr>
                    <w:jc w:val="center"/>
                    <w:rPr>
                      <w:color w:val="auto"/>
                      <w:sz w:val="18"/>
                      <w:szCs w:val="18"/>
                    </w:rPr>
                  </w:pPr>
                  <w:r>
                    <w:rPr>
                      <w:rFonts w:hint="eastAsia" w:cs="Times New Roman"/>
                      <w:color w:val="auto"/>
                      <w:sz w:val="18"/>
                      <w:szCs w:val="18"/>
                      <w:lang w:val="en-US" w:eastAsia="zh-CN"/>
                    </w:rPr>
                    <w:t>色母粒</w:t>
                  </w:r>
                  <w:r>
                    <w:rPr>
                      <w:rFonts w:hint="eastAsia" w:ascii="Times New Roman" w:hAnsi="Times New Roman" w:cs="Times New Roman"/>
                      <w:color w:val="auto"/>
                      <w:sz w:val="18"/>
                      <w:szCs w:val="18"/>
                      <w:lang w:val="en-US" w:eastAsia="zh-CN"/>
                    </w:rPr>
                    <w:t>生产线</w:t>
                  </w:r>
                </w:p>
              </w:tc>
              <w:tc>
                <w:tcPr>
                  <w:tcW w:w="1350" w:type="dxa"/>
                  <w:tcBorders>
                    <w:tl2br w:val="nil"/>
                    <w:tr2bl w:val="nil"/>
                  </w:tcBorders>
                  <w:vAlign w:val="center"/>
                </w:tcPr>
                <w:p w14:paraId="6F0B138C">
                  <w:pPr>
                    <w:snapToGrid w:val="0"/>
                    <w:jc w:val="center"/>
                    <w:rPr>
                      <w:color w:val="auto"/>
                      <w:sz w:val="18"/>
                      <w:szCs w:val="18"/>
                    </w:rPr>
                  </w:pPr>
                  <w:r>
                    <w:rPr>
                      <w:rFonts w:hint="eastAsia" w:ascii="Times New Roman" w:hAnsi="Times New Roman" w:cs="Times New Roman"/>
                      <w:color w:val="auto"/>
                      <w:sz w:val="18"/>
                      <w:szCs w:val="18"/>
                      <w:lang w:val="en-US" w:eastAsia="zh-CN"/>
                    </w:rPr>
                    <w:t>色母粒</w:t>
                  </w:r>
                </w:p>
              </w:tc>
              <w:tc>
                <w:tcPr>
                  <w:tcW w:w="2108" w:type="dxa"/>
                  <w:tcBorders>
                    <w:tl2br w:val="nil"/>
                    <w:tr2bl w:val="nil"/>
                  </w:tcBorders>
                  <w:vAlign w:val="center"/>
                </w:tcPr>
                <w:p w14:paraId="019B0F4B">
                  <w:pPr>
                    <w:jc w:val="center"/>
                    <w:rPr>
                      <w:rFonts w:hint="default" w:eastAsia="宋体"/>
                      <w:color w:val="auto"/>
                      <w:sz w:val="18"/>
                      <w:szCs w:val="18"/>
                      <w:lang w:val="en-US" w:eastAsia="zh-CN"/>
                    </w:rPr>
                  </w:pPr>
                  <w:r>
                    <w:rPr>
                      <w:rFonts w:hint="eastAsia"/>
                      <w:color w:val="auto"/>
                      <w:sz w:val="18"/>
                      <w:szCs w:val="18"/>
                      <w:lang w:val="en-US" w:eastAsia="zh-CN"/>
                    </w:rPr>
                    <w:t>3mm颗粒</w:t>
                  </w:r>
                </w:p>
              </w:tc>
              <w:tc>
                <w:tcPr>
                  <w:tcW w:w="1852" w:type="dxa"/>
                  <w:tcBorders>
                    <w:tl2br w:val="nil"/>
                    <w:tr2bl w:val="nil"/>
                  </w:tcBorders>
                  <w:vAlign w:val="center"/>
                </w:tcPr>
                <w:p w14:paraId="335FC752">
                  <w:pPr>
                    <w:jc w:val="center"/>
                    <w:rPr>
                      <w:rFonts w:hint="default"/>
                      <w:color w:val="auto"/>
                      <w:sz w:val="18"/>
                      <w:szCs w:val="18"/>
                      <w:lang w:val="en-US"/>
                    </w:rPr>
                  </w:pPr>
                  <w:r>
                    <w:rPr>
                      <w:rFonts w:hint="eastAsia"/>
                      <w:color w:val="auto"/>
                      <w:sz w:val="18"/>
                      <w:szCs w:val="18"/>
                      <w:lang w:val="en-US" w:eastAsia="zh-CN"/>
                    </w:rPr>
                    <w:t>1000吨/年</w:t>
                  </w:r>
                </w:p>
              </w:tc>
              <w:tc>
                <w:tcPr>
                  <w:tcW w:w="1530" w:type="dxa"/>
                  <w:tcBorders>
                    <w:tl2br w:val="nil"/>
                    <w:tr2bl w:val="nil"/>
                  </w:tcBorders>
                  <w:vAlign w:val="center"/>
                </w:tcPr>
                <w:p w14:paraId="7CD9D43B">
                  <w:pPr>
                    <w:jc w:val="center"/>
                    <w:rPr>
                      <w:rFonts w:hint="default" w:eastAsia="宋体"/>
                      <w:color w:val="auto"/>
                      <w:sz w:val="18"/>
                      <w:szCs w:val="18"/>
                      <w:lang w:val="en-US" w:eastAsia="zh-CN"/>
                    </w:rPr>
                  </w:pPr>
                  <w:r>
                    <w:rPr>
                      <w:rFonts w:hint="eastAsia"/>
                      <w:color w:val="auto"/>
                      <w:sz w:val="18"/>
                      <w:szCs w:val="18"/>
                      <w:lang w:val="en-US" w:eastAsia="zh-CN"/>
                    </w:rPr>
                    <w:t>8*300=2400h</w:t>
                  </w:r>
                </w:p>
              </w:tc>
            </w:tr>
          </w:tbl>
          <w:p w14:paraId="60AF8DC6">
            <w:pPr>
              <w:spacing w:line="360" w:lineRule="auto"/>
              <w:ind w:firstLine="422" w:firstLineChars="200"/>
              <w:rPr>
                <w:b/>
                <w:bCs/>
                <w:color w:val="auto"/>
              </w:rPr>
            </w:pPr>
            <w:r>
              <w:rPr>
                <w:rFonts w:hint="eastAsia"/>
                <w:b/>
                <w:bCs/>
                <w:color w:val="auto"/>
              </w:rPr>
              <w:t>3、</w:t>
            </w:r>
            <w:r>
              <w:rPr>
                <w:b/>
                <w:bCs/>
                <w:color w:val="auto"/>
              </w:rPr>
              <w:t>建设项目原辅材料消耗表</w:t>
            </w:r>
          </w:p>
          <w:p w14:paraId="21B82437">
            <w:pPr>
              <w:spacing w:line="360" w:lineRule="auto"/>
              <w:jc w:val="center"/>
              <w:rPr>
                <w:color w:val="auto"/>
              </w:rPr>
            </w:pPr>
            <w:r>
              <w:rPr>
                <w:b/>
                <w:bCs/>
                <w:color w:val="auto"/>
                <w:kern w:val="0"/>
                <w:szCs w:val="21"/>
                <w:lang w:bidi="ar"/>
              </w:rPr>
              <w:t>表 2-</w:t>
            </w:r>
            <w:r>
              <w:rPr>
                <w:rFonts w:hint="eastAsia"/>
                <w:b/>
                <w:bCs/>
                <w:color w:val="auto"/>
                <w:kern w:val="0"/>
                <w:szCs w:val="21"/>
                <w:lang w:bidi="ar"/>
              </w:rPr>
              <w:t>2</w:t>
            </w:r>
            <w:r>
              <w:rPr>
                <w:b/>
                <w:bCs/>
                <w:color w:val="auto"/>
                <w:kern w:val="0"/>
                <w:szCs w:val="21"/>
                <w:lang w:bidi="ar"/>
              </w:rPr>
              <w:t xml:space="preserve"> </w:t>
            </w:r>
            <w:r>
              <w:rPr>
                <w:b/>
                <w:bCs/>
                <w:color w:val="auto"/>
                <w:szCs w:val="21"/>
              </w:rPr>
              <w:t>主要原辅材料一览表</w:t>
            </w:r>
          </w:p>
          <w:tbl>
            <w:tblPr>
              <w:tblStyle w:val="16"/>
              <w:tblW w:w="861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808"/>
              <w:gridCol w:w="1859"/>
              <w:gridCol w:w="1200"/>
              <w:gridCol w:w="1532"/>
              <w:gridCol w:w="1380"/>
            </w:tblGrid>
            <w:tr w14:paraId="2ECF5E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5" w:type="pct"/>
                  <w:vAlign w:val="center"/>
                </w:tcPr>
                <w:p w14:paraId="0B38E0F0">
                  <w:pPr>
                    <w:adjustRightInd w:val="0"/>
                    <w:snapToGrid w:val="0"/>
                    <w:jc w:val="center"/>
                    <w:rPr>
                      <w:color w:val="auto"/>
                      <w:sz w:val="18"/>
                      <w:szCs w:val="18"/>
                    </w:rPr>
                  </w:pPr>
                  <w:r>
                    <w:rPr>
                      <w:color w:val="auto"/>
                      <w:sz w:val="18"/>
                      <w:szCs w:val="18"/>
                    </w:rPr>
                    <w:t>序号</w:t>
                  </w:r>
                </w:p>
              </w:tc>
              <w:tc>
                <w:tcPr>
                  <w:tcW w:w="1049" w:type="pct"/>
                  <w:vAlign w:val="center"/>
                </w:tcPr>
                <w:p w14:paraId="41F342E3">
                  <w:pPr>
                    <w:adjustRightInd w:val="0"/>
                    <w:snapToGrid w:val="0"/>
                    <w:jc w:val="center"/>
                    <w:rPr>
                      <w:color w:val="auto"/>
                      <w:sz w:val="18"/>
                      <w:szCs w:val="18"/>
                    </w:rPr>
                  </w:pPr>
                  <w:r>
                    <w:rPr>
                      <w:color w:val="auto"/>
                      <w:sz w:val="18"/>
                      <w:szCs w:val="18"/>
                    </w:rPr>
                    <w:t>名称</w:t>
                  </w:r>
                </w:p>
              </w:tc>
              <w:tc>
                <w:tcPr>
                  <w:tcW w:w="1078" w:type="pct"/>
                  <w:vAlign w:val="center"/>
                </w:tcPr>
                <w:p w14:paraId="139EED2E">
                  <w:pPr>
                    <w:adjustRightInd w:val="0"/>
                    <w:snapToGrid w:val="0"/>
                    <w:jc w:val="center"/>
                    <w:rPr>
                      <w:color w:val="auto"/>
                      <w:sz w:val="18"/>
                      <w:szCs w:val="18"/>
                    </w:rPr>
                  </w:pPr>
                  <w:r>
                    <w:rPr>
                      <w:color w:val="auto"/>
                      <w:sz w:val="18"/>
                      <w:szCs w:val="18"/>
                    </w:rPr>
                    <w:t>组分/规格</w:t>
                  </w:r>
                  <w:r>
                    <w:rPr>
                      <w:rFonts w:hint="eastAsia" w:ascii="Times New Roman" w:hAnsi="Times New Roman" w:eastAsia="宋体" w:cs="Times New Roman"/>
                      <w:color w:val="auto"/>
                      <w:sz w:val="18"/>
                      <w:szCs w:val="18"/>
                      <w:lang w:eastAsia="zh-CN"/>
                    </w:rPr>
                    <w:t>（宽度）</w:t>
                  </w:r>
                </w:p>
              </w:tc>
              <w:tc>
                <w:tcPr>
                  <w:tcW w:w="696" w:type="pct"/>
                  <w:vAlign w:val="center"/>
                </w:tcPr>
                <w:p w14:paraId="50E3DCED">
                  <w:pPr>
                    <w:adjustRightInd w:val="0"/>
                    <w:snapToGrid w:val="0"/>
                    <w:jc w:val="center"/>
                    <w:rPr>
                      <w:color w:val="auto"/>
                      <w:sz w:val="18"/>
                      <w:szCs w:val="18"/>
                    </w:rPr>
                  </w:pPr>
                  <w:r>
                    <w:rPr>
                      <w:color w:val="auto"/>
                      <w:sz w:val="18"/>
                      <w:szCs w:val="18"/>
                    </w:rPr>
                    <w:t>年耗量</w:t>
                  </w:r>
                </w:p>
              </w:tc>
              <w:tc>
                <w:tcPr>
                  <w:tcW w:w="889" w:type="pct"/>
                  <w:vAlign w:val="center"/>
                </w:tcPr>
                <w:p w14:paraId="77FCE8F9">
                  <w:pPr>
                    <w:adjustRightInd w:val="0"/>
                    <w:snapToGrid w:val="0"/>
                    <w:jc w:val="center"/>
                    <w:rPr>
                      <w:color w:val="auto"/>
                      <w:sz w:val="18"/>
                      <w:szCs w:val="18"/>
                    </w:rPr>
                  </w:pPr>
                  <w:r>
                    <w:rPr>
                      <w:color w:val="auto"/>
                      <w:sz w:val="18"/>
                      <w:szCs w:val="18"/>
                    </w:rPr>
                    <w:t>包装储存方式</w:t>
                  </w:r>
                </w:p>
              </w:tc>
              <w:tc>
                <w:tcPr>
                  <w:tcW w:w="800" w:type="pct"/>
                  <w:vAlign w:val="center"/>
                </w:tcPr>
                <w:p w14:paraId="5C080CE2">
                  <w:pPr>
                    <w:adjustRightInd w:val="0"/>
                    <w:snapToGrid w:val="0"/>
                    <w:jc w:val="center"/>
                    <w:rPr>
                      <w:color w:val="auto"/>
                      <w:sz w:val="18"/>
                      <w:szCs w:val="18"/>
                    </w:rPr>
                  </w:pPr>
                  <w:r>
                    <w:rPr>
                      <w:color w:val="auto"/>
                      <w:sz w:val="18"/>
                      <w:szCs w:val="18"/>
                    </w:rPr>
                    <w:t>最大储存量</w:t>
                  </w:r>
                </w:p>
              </w:tc>
            </w:tr>
            <w:tr w14:paraId="05DB07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5" w:type="pct"/>
                  <w:vAlign w:val="center"/>
                </w:tcPr>
                <w:p w14:paraId="46CDFFB0">
                  <w:pPr>
                    <w:adjustRightInd w:val="0"/>
                    <w:snapToGrid w:val="0"/>
                    <w:jc w:val="center"/>
                    <w:rPr>
                      <w:color w:val="auto"/>
                      <w:sz w:val="18"/>
                      <w:szCs w:val="18"/>
                    </w:rPr>
                  </w:pPr>
                  <w:r>
                    <w:rPr>
                      <w:rFonts w:hint="eastAsia"/>
                      <w:color w:val="auto"/>
                      <w:sz w:val="18"/>
                      <w:szCs w:val="18"/>
                    </w:rPr>
                    <w:t>1</w:t>
                  </w:r>
                </w:p>
              </w:tc>
              <w:tc>
                <w:tcPr>
                  <w:tcW w:w="1049" w:type="pct"/>
                  <w:vAlign w:val="center"/>
                </w:tcPr>
                <w:p w14:paraId="7AE455BF">
                  <w:pPr>
                    <w:adjustRightInd w:val="0"/>
                    <w:snapToGrid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PP粒子</w:t>
                  </w:r>
                </w:p>
              </w:tc>
              <w:tc>
                <w:tcPr>
                  <w:tcW w:w="1078" w:type="pct"/>
                  <w:vAlign w:val="center"/>
                </w:tcPr>
                <w:p w14:paraId="51F811D0">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粒径</w:t>
                  </w:r>
                  <w:r>
                    <w:rPr>
                      <w:rFonts w:hint="default" w:eastAsia="宋体"/>
                      <w:color w:val="auto"/>
                      <w:sz w:val="18"/>
                      <w:szCs w:val="18"/>
                      <w:lang w:val="en-US" w:eastAsia="zh-CN"/>
                    </w:rPr>
                    <w:t>3-5mm</w:t>
                  </w:r>
                </w:p>
              </w:tc>
              <w:tc>
                <w:tcPr>
                  <w:tcW w:w="696" w:type="pct"/>
                  <w:vAlign w:val="center"/>
                </w:tcPr>
                <w:p w14:paraId="48F61EBB">
                  <w:pPr>
                    <w:adjustRightInd w:val="0"/>
                    <w:snapToGrid w:val="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960t/a</w:t>
                  </w:r>
                </w:p>
              </w:tc>
              <w:tc>
                <w:tcPr>
                  <w:tcW w:w="889" w:type="pct"/>
                  <w:vAlign w:val="center"/>
                </w:tcPr>
                <w:p w14:paraId="24E4E622">
                  <w:pPr>
                    <w:adjustRightInd w:val="0"/>
                    <w:snapToGrid w:val="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袋装，25kg/袋</w:t>
                  </w:r>
                </w:p>
              </w:tc>
              <w:tc>
                <w:tcPr>
                  <w:tcW w:w="800" w:type="pct"/>
                  <w:vAlign w:val="center"/>
                </w:tcPr>
                <w:p w14:paraId="70A93B2D">
                  <w:pPr>
                    <w:jc w:val="center"/>
                    <w:rPr>
                      <w:color w:val="000000"/>
                      <w:szCs w:val="21"/>
                    </w:rPr>
                  </w:pPr>
                  <w:r>
                    <w:rPr>
                      <w:rFonts w:hint="eastAsia" w:ascii="Times New Roman" w:hAnsi="Times New Roman" w:eastAsia="宋体" w:cs="Times New Roman"/>
                      <w:color w:val="000000"/>
                      <w:szCs w:val="21"/>
                      <w:lang w:val="en-US" w:eastAsia="zh-CN"/>
                    </w:rPr>
                    <w:t>80t</w:t>
                  </w:r>
                </w:p>
              </w:tc>
            </w:tr>
            <w:tr w14:paraId="5B17F4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85" w:type="pct"/>
                  <w:vAlign w:val="center"/>
                </w:tcPr>
                <w:p w14:paraId="5BBF6359">
                  <w:pPr>
                    <w:adjustRightInd w:val="0"/>
                    <w:snapToGrid w:val="0"/>
                    <w:jc w:val="center"/>
                    <w:rPr>
                      <w:color w:val="auto"/>
                      <w:sz w:val="18"/>
                      <w:szCs w:val="18"/>
                    </w:rPr>
                  </w:pPr>
                  <w:r>
                    <w:rPr>
                      <w:rFonts w:hint="eastAsia"/>
                      <w:color w:val="auto"/>
                      <w:sz w:val="18"/>
                      <w:szCs w:val="18"/>
                    </w:rPr>
                    <w:t>2</w:t>
                  </w:r>
                </w:p>
              </w:tc>
              <w:tc>
                <w:tcPr>
                  <w:tcW w:w="1049" w:type="pct"/>
                  <w:vAlign w:val="center"/>
                </w:tcPr>
                <w:p w14:paraId="0A767191">
                  <w:pPr>
                    <w:adjustRightInd w:val="0"/>
                    <w:snapToGrid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颜料</w:t>
                  </w:r>
                </w:p>
              </w:tc>
              <w:tc>
                <w:tcPr>
                  <w:tcW w:w="1078" w:type="pct"/>
                  <w:vAlign w:val="center"/>
                </w:tcPr>
                <w:p w14:paraId="17A9AFF1">
                  <w:pPr>
                    <w:adjustRightInd w:val="0"/>
                    <w:snapToGrid w:val="0"/>
                    <w:jc w:val="center"/>
                    <w:rPr>
                      <w:rFonts w:hint="eastAsia" w:eastAsia="宋体"/>
                      <w:color w:val="auto"/>
                      <w:sz w:val="18"/>
                      <w:szCs w:val="18"/>
                      <w:lang w:val="en-US" w:eastAsia="zh-CN"/>
                    </w:rPr>
                  </w:pPr>
                  <w:r>
                    <w:rPr>
                      <w:rFonts w:hint="eastAsia"/>
                      <w:color w:val="auto"/>
                      <w:sz w:val="18"/>
                      <w:szCs w:val="18"/>
                      <w:lang w:val="en-US" w:eastAsia="zh-CN"/>
                    </w:rPr>
                    <w:t>粉状</w:t>
                  </w:r>
                </w:p>
              </w:tc>
              <w:tc>
                <w:tcPr>
                  <w:tcW w:w="696" w:type="pct"/>
                  <w:vAlign w:val="center"/>
                </w:tcPr>
                <w:p w14:paraId="0E1B09D6">
                  <w:pPr>
                    <w:adjustRightInd w:val="0"/>
                    <w:snapToGrid w:val="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42t/a</w:t>
                  </w:r>
                </w:p>
              </w:tc>
              <w:tc>
                <w:tcPr>
                  <w:tcW w:w="889" w:type="pct"/>
                  <w:vAlign w:val="center"/>
                </w:tcPr>
                <w:p w14:paraId="692AECC7">
                  <w:pPr>
                    <w:adjustRightInd w:val="0"/>
                    <w:snapToGrid w:val="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袋装，25kg/袋</w:t>
                  </w:r>
                </w:p>
              </w:tc>
              <w:tc>
                <w:tcPr>
                  <w:tcW w:w="800" w:type="pct"/>
                  <w:vAlign w:val="center"/>
                </w:tcPr>
                <w:p w14:paraId="1854E27F">
                  <w:pPr>
                    <w:jc w:val="center"/>
                    <w:rPr>
                      <w:color w:val="000000"/>
                      <w:szCs w:val="21"/>
                    </w:rPr>
                  </w:pPr>
                  <w:r>
                    <w:rPr>
                      <w:rFonts w:hint="eastAsia"/>
                      <w:color w:val="000000"/>
                      <w:szCs w:val="21"/>
                      <w:lang w:val="en-US" w:eastAsia="zh-CN"/>
                    </w:rPr>
                    <w:t>4</w:t>
                  </w:r>
                  <w:r>
                    <w:rPr>
                      <w:color w:val="000000"/>
                      <w:szCs w:val="21"/>
                    </w:rPr>
                    <w:t>t</w:t>
                  </w:r>
                </w:p>
              </w:tc>
            </w:tr>
            <w:tr w14:paraId="0B4040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5" w:type="pct"/>
                  <w:vAlign w:val="center"/>
                </w:tcPr>
                <w:p w14:paraId="04976F1A">
                  <w:pPr>
                    <w:adjustRightInd w:val="0"/>
                    <w:snapToGrid w:val="0"/>
                    <w:jc w:val="center"/>
                    <w:rPr>
                      <w:color w:val="auto"/>
                      <w:sz w:val="18"/>
                      <w:szCs w:val="18"/>
                    </w:rPr>
                  </w:pPr>
                  <w:r>
                    <w:rPr>
                      <w:rFonts w:hint="eastAsia"/>
                      <w:color w:val="auto"/>
                      <w:sz w:val="18"/>
                      <w:szCs w:val="18"/>
                    </w:rPr>
                    <w:t>3</w:t>
                  </w:r>
                </w:p>
              </w:tc>
              <w:tc>
                <w:tcPr>
                  <w:tcW w:w="1049" w:type="pct"/>
                  <w:vAlign w:val="center"/>
                </w:tcPr>
                <w:p w14:paraId="0B29E4D6">
                  <w:pPr>
                    <w:adjustRightInd w:val="0"/>
                    <w:snapToGrid w:val="0"/>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EBS</w:t>
                  </w:r>
                </w:p>
              </w:tc>
              <w:tc>
                <w:tcPr>
                  <w:tcW w:w="1078" w:type="pct"/>
                  <w:vAlign w:val="center"/>
                </w:tcPr>
                <w:p w14:paraId="0D6FFB1D">
                  <w:pPr>
                    <w:adjustRightInd w:val="0"/>
                    <w:snapToGrid w:val="0"/>
                    <w:jc w:val="center"/>
                    <w:rPr>
                      <w:rFonts w:hint="eastAsia" w:eastAsia="宋体"/>
                      <w:color w:val="auto"/>
                      <w:sz w:val="18"/>
                      <w:szCs w:val="18"/>
                      <w:lang w:val="en-US" w:eastAsia="zh-CN"/>
                    </w:rPr>
                  </w:pPr>
                  <w:r>
                    <w:rPr>
                      <w:rFonts w:hint="eastAsia"/>
                      <w:color w:val="auto"/>
                      <w:sz w:val="18"/>
                      <w:szCs w:val="18"/>
                      <w:lang w:val="en-US" w:eastAsia="zh-CN"/>
                    </w:rPr>
                    <w:t>粉状</w:t>
                  </w:r>
                </w:p>
              </w:tc>
              <w:tc>
                <w:tcPr>
                  <w:tcW w:w="696" w:type="pct"/>
                  <w:vAlign w:val="center"/>
                </w:tcPr>
                <w:p w14:paraId="0A0DB0E5">
                  <w:pPr>
                    <w:adjustRightInd w:val="0"/>
                    <w:snapToGrid w:val="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8t/a</w:t>
                  </w:r>
                </w:p>
              </w:tc>
              <w:tc>
                <w:tcPr>
                  <w:tcW w:w="889" w:type="pct"/>
                  <w:vAlign w:val="center"/>
                </w:tcPr>
                <w:p w14:paraId="3BA7083D">
                  <w:pPr>
                    <w:adjustRightInd w:val="0"/>
                    <w:snapToGrid w:val="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袋装，25kg/袋</w:t>
                  </w:r>
                </w:p>
              </w:tc>
              <w:tc>
                <w:tcPr>
                  <w:tcW w:w="800" w:type="pct"/>
                  <w:vAlign w:val="center"/>
                </w:tcPr>
                <w:p w14:paraId="13EF67AF">
                  <w:pPr>
                    <w:jc w:val="center"/>
                    <w:rPr>
                      <w:color w:val="000000"/>
                      <w:szCs w:val="21"/>
                    </w:rPr>
                  </w:pPr>
                  <w:r>
                    <w:rPr>
                      <w:color w:val="000000"/>
                      <w:szCs w:val="21"/>
                    </w:rPr>
                    <w:t>1t</w:t>
                  </w:r>
                </w:p>
              </w:tc>
            </w:tr>
            <w:tr w14:paraId="25F914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5" w:type="pct"/>
                  <w:vAlign w:val="center"/>
                </w:tcPr>
                <w:p w14:paraId="495A9D3C">
                  <w:pPr>
                    <w:adjustRightInd w:val="0"/>
                    <w:snapToGrid w:val="0"/>
                    <w:jc w:val="center"/>
                    <w:rPr>
                      <w:rFonts w:hint="eastAsia" w:eastAsia="宋体"/>
                      <w:color w:val="auto"/>
                      <w:sz w:val="18"/>
                      <w:szCs w:val="18"/>
                      <w:lang w:val="en-US" w:eastAsia="zh-CN"/>
                    </w:rPr>
                  </w:pPr>
                  <w:r>
                    <w:rPr>
                      <w:rFonts w:hint="eastAsia"/>
                      <w:color w:val="auto"/>
                      <w:sz w:val="18"/>
                      <w:szCs w:val="18"/>
                      <w:lang w:val="en-US" w:eastAsia="zh-CN"/>
                    </w:rPr>
                    <w:t>4</w:t>
                  </w:r>
                </w:p>
              </w:tc>
              <w:tc>
                <w:tcPr>
                  <w:tcW w:w="1049" w:type="pct"/>
                  <w:vAlign w:val="center"/>
                </w:tcPr>
                <w:p w14:paraId="572CF9E3">
                  <w:pPr>
                    <w:adjustRightInd w:val="0"/>
                    <w:snapToGrid w:val="0"/>
                    <w:jc w:val="center"/>
                    <w:rPr>
                      <w:rFonts w:hint="eastAsia" w:ascii="Times New Roman" w:hAnsi="Times New Roman" w:cs="Times New Roman"/>
                      <w:color w:val="auto"/>
                      <w:sz w:val="18"/>
                      <w:szCs w:val="18"/>
                      <w:lang w:val="en-US" w:eastAsia="zh-CN"/>
                    </w:rPr>
                  </w:pPr>
                  <w:r>
                    <w:rPr>
                      <w:rFonts w:hint="eastAsia" w:cs="Times New Roman"/>
                      <w:color w:val="auto"/>
                      <w:sz w:val="18"/>
                      <w:szCs w:val="18"/>
                      <w:lang w:val="en-US" w:eastAsia="zh-CN"/>
                    </w:rPr>
                    <w:t>润滑油</w:t>
                  </w:r>
                </w:p>
              </w:tc>
              <w:tc>
                <w:tcPr>
                  <w:tcW w:w="1078" w:type="pct"/>
                  <w:vAlign w:val="center"/>
                </w:tcPr>
                <w:p w14:paraId="5B3755AD">
                  <w:pPr>
                    <w:adjustRightInd w:val="0"/>
                    <w:snapToGrid w:val="0"/>
                    <w:jc w:val="center"/>
                    <w:rPr>
                      <w:rFonts w:hint="default"/>
                      <w:color w:val="auto"/>
                      <w:sz w:val="18"/>
                      <w:szCs w:val="18"/>
                      <w:lang w:val="en-US" w:eastAsia="zh-CN"/>
                    </w:rPr>
                  </w:pPr>
                  <w:r>
                    <w:rPr>
                      <w:rFonts w:hint="eastAsia"/>
                      <w:color w:val="auto"/>
                      <w:sz w:val="18"/>
                      <w:szCs w:val="18"/>
                      <w:lang w:val="en-US" w:eastAsia="zh-CN"/>
                    </w:rPr>
                    <w:t>/</w:t>
                  </w:r>
                </w:p>
              </w:tc>
              <w:tc>
                <w:tcPr>
                  <w:tcW w:w="696" w:type="pct"/>
                  <w:vAlign w:val="center"/>
                </w:tcPr>
                <w:p w14:paraId="1BE7D006">
                  <w:pPr>
                    <w:adjustRightInd w:val="0"/>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2t/a</w:t>
                  </w:r>
                </w:p>
              </w:tc>
              <w:tc>
                <w:tcPr>
                  <w:tcW w:w="889" w:type="pct"/>
                  <w:vAlign w:val="center"/>
                </w:tcPr>
                <w:p w14:paraId="6610A814">
                  <w:pPr>
                    <w:adjustRightInd w:val="0"/>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桶装；25kg/桶</w:t>
                  </w:r>
                </w:p>
              </w:tc>
              <w:tc>
                <w:tcPr>
                  <w:tcW w:w="800" w:type="pct"/>
                  <w:vAlign w:val="center"/>
                </w:tcPr>
                <w:p w14:paraId="0B84EFF0">
                  <w:pPr>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1t/a</w:t>
                  </w:r>
                </w:p>
              </w:tc>
            </w:tr>
          </w:tbl>
          <w:p w14:paraId="0157E5C3">
            <w:pPr>
              <w:keepNext w:val="0"/>
              <w:keepLines w:val="0"/>
              <w:pageBreakBefore w:val="0"/>
              <w:kinsoku/>
              <w:wordWrap/>
              <w:topLinePunct w:val="0"/>
              <w:autoSpaceDE/>
              <w:autoSpaceDN/>
              <w:bidi w:val="0"/>
              <w:spacing w:line="500" w:lineRule="exact"/>
              <w:ind w:firstLine="420" w:firstLineChars="200"/>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color w:val="auto"/>
                <w:sz w:val="21"/>
                <w:szCs w:val="21"/>
              </w:rPr>
              <w:t>具体</w:t>
            </w:r>
            <w:r>
              <w:rPr>
                <w:rFonts w:hint="default" w:ascii="Times New Roman" w:hAnsi="Times New Roman" w:eastAsia="宋体" w:cs="Times New Roman"/>
                <w:bCs/>
                <w:color w:val="auto"/>
                <w:sz w:val="21"/>
                <w:szCs w:val="21"/>
              </w:rPr>
              <w:t>主要原辅材料理化性质</w:t>
            </w:r>
            <w:r>
              <w:rPr>
                <w:rFonts w:hint="default" w:ascii="Times New Roman" w:hAnsi="Times New Roman" w:eastAsia="宋体" w:cs="Times New Roman"/>
                <w:bCs/>
                <w:color w:val="auto"/>
                <w:sz w:val="21"/>
                <w:szCs w:val="21"/>
                <w:lang w:eastAsia="zh-CN"/>
              </w:rPr>
              <w:t>如下：</w:t>
            </w:r>
          </w:p>
          <w:p w14:paraId="4FC3BFB4">
            <w:pPr>
              <w:keepNext w:val="0"/>
              <w:keepLines w:val="0"/>
              <w:pageBreakBefore w:val="0"/>
              <w:kinsoku/>
              <w:wordWrap/>
              <w:overflowPunct w:val="0"/>
              <w:topLinePunct w:val="0"/>
              <w:autoSpaceDE/>
              <w:autoSpaceDN/>
              <w:bidi w:val="0"/>
              <w:adjustRightInd w:val="0"/>
              <w:snapToGrid w:val="0"/>
              <w:spacing w:line="500" w:lineRule="exact"/>
              <w:ind w:firstLine="422" w:firstLineChars="200"/>
              <w:jc w:val="left"/>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
                <w:bCs w:val="0"/>
                <w:color w:val="auto"/>
                <w:sz w:val="21"/>
                <w:szCs w:val="21"/>
                <w:lang w:val="en-US" w:eastAsia="zh-CN"/>
              </w:rPr>
              <w:t>PP粒子：</w:t>
            </w:r>
            <w:r>
              <w:rPr>
                <w:rFonts w:hint="default" w:ascii="Times New Roman" w:hAnsi="Times New Roman" w:eastAsia="宋体" w:cs="Times New Roman"/>
                <w:color w:val="auto"/>
                <w:sz w:val="21"/>
                <w:szCs w:val="21"/>
                <w:lang w:eastAsia="zh-CN"/>
              </w:rPr>
              <w:t>聚丙烯，无色、无臭、无毒、半透明固体物质，具有耐化学性、耐热性、电绝缘性、高强度机械性能和良好的高耐磨加工性能，熔点164℃~170℃，热分解温度大于300℃。</w:t>
            </w:r>
          </w:p>
          <w:p w14:paraId="19911179">
            <w:pPr>
              <w:keepNext w:val="0"/>
              <w:keepLines w:val="0"/>
              <w:pageBreakBefore w:val="0"/>
              <w:widowControl/>
              <w:suppressLineNumbers w:val="0"/>
              <w:kinsoku/>
              <w:wordWrap/>
              <w:topLinePunct w:val="0"/>
              <w:autoSpaceDE/>
              <w:autoSpaceDN/>
              <w:bidi w:val="0"/>
              <w:spacing w:line="500" w:lineRule="exact"/>
              <w:ind w:firstLine="422"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颜料：</w:t>
            </w:r>
            <w:r>
              <w:rPr>
                <w:rFonts w:hint="default" w:ascii="Times New Roman" w:hAnsi="Times New Roman" w:eastAsia="宋体" w:cs="Times New Roman"/>
                <w:color w:val="000000"/>
                <w:kern w:val="0"/>
                <w:sz w:val="21"/>
                <w:szCs w:val="21"/>
                <w:lang w:val="en-US" w:eastAsia="zh-CN" w:bidi="ar"/>
              </w:rPr>
              <w:t>颜料（Pigment）用来着色的粉末状物质。在水、油脂、树脂、有机溶剂等介质中不溶解，但能均匀地在这些介质中分散并能使介质着色，而又具有一定的遮盖力。主要应用于涂料、油墨、印染、塑料制品、造纸、橡胶制品和陶瓷等行业。</w:t>
            </w:r>
          </w:p>
          <w:p w14:paraId="02E6810A">
            <w:pPr>
              <w:keepNext w:val="0"/>
              <w:keepLines w:val="0"/>
              <w:pageBreakBefore w:val="0"/>
              <w:widowControl/>
              <w:suppressLineNumbers w:val="0"/>
              <w:kinsoku/>
              <w:wordWrap/>
              <w:topLinePunct w:val="0"/>
              <w:autoSpaceDE/>
              <w:autoSpaceDN/>
              <w:bidi w:val="0"/>
              <w:spacing w:line="500" w:lineRule="exact"/>
              <w:ind w:firstLine="422"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润滑油：</w:t>
            </w:r>
            <w:r>
              <w:rPr>
                <w:rFonts w:hint="default" w:ascii="Times New Roman" w:hAnsi="Times New Roman" w:eastAsia="宋体" w:cs="Times New Roman"/>
                <w:color w:val="000000"/>
                <w:kern w:val="0"/>
                <w:sz w:val="21"/>
                <w:szCs w:val="21"/>
                <w:lang w:val="en-US" w:eastAsia="zh-CN" w:bidi="ar"/>
              </w:rPr>
              <w:t>润滑油是用在各种类型汽车、机械设备上以减少摩擦，保护机械及加工件的液体或半固体润滑剂，主要起润滑、辅助冷却、防锈、清洁、密封和缓冲等作用。一般由基础油和添加剂两部分组成。</w:t>
            </w:r>
          </w:p>
          <w:p w14:paraId="0563F866">
            <w:pPr>
              <w:keepNext w:val="0"/>
              <w:keepLines w:val="0"/>
              <w:pageBreakBefore w:val="0"/>
              <w:kinsoku/>
              <w:wordWrap/>
              <w:topLinePunct w:val="0"/>
              <w:autoSpaceDE/>
              <w:autoSpaceDN/>
              <w:bidi w:val="0"/>
              <w:spacing w:line="500" w:lineRule="exact"/>
              <w:ind w:firstLine="422" w:firstLineChars="20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bCs/>
                <w:color w:val="auto"/>
                <w:sz w:val="21"/>
                <w:szCs w:val="21"/>
                <w:lang w:val="en-US" w:eastAsia="zh-CN"/>
              </w:rPr>
              <w:t>EBS：</w:t>
            </w:r>
            <w:r>
              <w:rPr>
                <w:rFonts w:hint="default" w:ascii="Times New Roman" w:hAnsi="Times New Roman" w:eastAsia="宋体" w:cs="Times New Roman"/>
                <w:color w:val="auto"/>
                <w:sz w:val="21"/>
                <w:szCs w:val="21"/>
                <w:lang w:val="en-US" w:eastAsia="zh-CN"/>
              </w:rPr>
              <w:t>乙烯基双硬脂酰胺亦称乙撑双硬脂酰胺，是一种有机物，化学式为C</w:t>
            </w:r>
            <w:r>
              <w:rPr>
                <w:rFonts w:hint="default" w:ascii="Times New Roman" w:hAnsi="Times New Roman" w:eastAsia="宋体" w:cs="Times New Roman"/>
                <w:color w:val="auto"/>
                <w:sz w:val="21"/>
                <w:szCs w:val="21"/>
                <w:vertAlign w:val="subscript"/>
                <w:lang w:val="en-US" w:eastAsia="zh-CN"/>
              </w:rPr>
              <w:t>38</w:t>
            </w:r>
            <w:r>
              <w:rPr>
                <w:rFonts w:hint="default" w:ascii="Times New Roman" w:hAnsi="Times New Roman" w:eastAsia="宋体" w:cs="Times New Roman"/>
                <w:color w:val="auto"/>
                <w:sz w:val="21"/>
                <w:szCs w:val="21"/>
                <w:lang w:val="en-US" w:eastAsia="zh-CN"/>
              </w:rPr>
              <w:t>H</w:t>
            </w:r>
            <w:r>
              <w:rPr>
                <w:rFonts w:hint="default" w:ascii="Times New Roman" w:hAnsi="Times New Roman" w:eastAsia="宋体" w:cs="Times New Roman"/>
                <w:color w:val="auto"/>
                <w:sz w:val="21"/>
                <w:szCs w:val="21"/>
                <w:vertAlign w:val="subscript"/>
                <w:lang w:val="en-US" w:eastAsia="zh-CN"/>
              </w:rPr>
              <w:t>76</w:t>
            </w: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O</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，无毒，对人体无副作用，常温下不溶于大多数溶剂，对酸碱和水介质稳定，能溶于热的氯化烃类和芳香烃类溶剂。白色粉状、初熔点：141-146℃，沸点720.3℃，闪点280℃</w:t>
            </w:r>
            <w:r>
              <w:rPr>
                <w:rFonts w:hint="default" w:ascii="Times New Roman" w:hAnsi="Times New Roman" w:eastAsia="宋体" w:cs="Times New Roman"/>
                <w:bCs/>
                <w:color w:val="auto"/>
                <w:sz w:val="21"/>
                <w:szCs w:val="21"/>
              </w:rPr>
              <w:t>。</w:t>
            </w:r>
          </w:p>
          <w:p w14:paraId="0B17A83E">
            <w:pPr>
              <w:widowControl/>
              <w:spacing w:line="500" w:lineRule="exact"/>
              <w:ind w:firstLine="422" w:firstLineChars="200"/>
              <w:jc w:val="left"/>
              <w:rPr>
                <w:color w:val="auto"/>
              </w:rPr>
            </w:pPr>
            <w:r>
              <w:rPr>
                <w:b/>
                <w:bCs/>
                <w:color w:val="auto"/>
                <w:kern w:val="0"/>
                <w:szCs w:val="21"/>
                <w:lang w:bidi="ar"/>
              </w:rPr>
              <w:t>4、生产设备</w:t>
            </w:r>
          </w:p>
          <w:p w14:paraId="3F1BA273">
            <w:pPr>
              <w:widowControl/>
              <w:spacing w:line="500" w:lineRule="exact"/>
              <w:jc w:val="center"/>
              <w:rPr>
                <w:color w:val="auto"/>
                <w:szCs w:val="21"/>
              </w:rPr>
            </w:pPr>
            <w:r>
              <w:rPr>
                <w:b/>
                <w:bCs/>
                <w:color w:val="auto"/>
                <w:kern w:val="0"/>
                <w:szCs w:val="21"/>
                <w:lang w:bidi="ar"/>
              </w:rPr>
              <w:t>表 2-</w:t>
            </w:r>
            <w:r>
              <w:rPr>
                <w:rFonts w:hint="eastAsia"/>
                <w:b/>
                <w:bCs/>
                <w:color w:val="auto"/>
                <w:kern w:val="0"/>
                <w:szCs w:val="21"/>
                <w:lang w:val="en-US" w:eastAsia="zh-CN" w:bidi="ar"/>
              </w:rPr>
              <w:t>3</w:t>
            </w:r>
            <w:r>
              <w:rPr>
                <w:b/>
                <w:bCs/>
                <w:color w:val="auto"/>
                <w:kern w:val="0"/>
                <w:szCs w:val="21"/>
                <w:lang w:bidi="ar"/>
              </w:rPr>
              <w:t xml:space="preserve"> </w:t>
            </w:r>
            <w:r>
              <w:rPr>
                <w:b/>
                <w:bCs/>
                <w:color w:val="auto"/>
                <w:szCs w:val="21"/>
              </w:rPr>
              <w:t>主要设备一览表</w:t>
            </w:r>
          </w:p>
          <w:tbl>
            <w:tblPr>
              <w:tblStyle w:val="17"/>
              <w:tblW w:w="863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3424"/>
              <w:gridCol w:w="2739"/>
              <w:gridCol w:w="1435"/>
            </w:tblGrid>
            <w:tr w14:paraId="50CF09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040" w:type="dxa"/>
                  <w:tcBorders>
                    <w:tl2br w:val="nil"/>
                    <w:tr2bl w:val="nil"/>
                  </w:tcBorders>
                  <w:vAlign w:val="center"/>
                </w:tcPr>
                <w:p w14:paraId="3FD5B698">
                  <w:pPr>
                    <w:bidi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3424" w:type="dxa"/>
                  <w:tcBorders>
                    <w:tl2br w:val="nil"/>
                    <w:tr2bl w:val="nil"/>
                  </w:tcBorders>
                  <w:vAlign w:val="center"/>
                </w:tcPr>
                <w:p w14:paraId="460AB4EA">
                  <w:pPr>
                    <w:bidi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设备名称</w:t>
                  </w:r>
                </w:p>
              </w:tc>
              <w:tc>
                <w:tcPr>
                  <w:tcW w:w="2739" w:type="dxa"/>
                  <w:tcBorders>
                    <w:tl2br w:val="nil"/>
                    <w:tr2bl w:val="nil"/>
                  </w:tcBorders>
                  <w:vAlign w:val="center"/>
                </w:tcPr>
                <w:p w14:paraId="79EB0BF5">
                  <w:pPr>
                    <w:bidi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型号</w:t>
                  </w:r>
                </w:p>
              </w:tc>
              <w:tc>
                <w:tcPr>
                  <w:tcW w:w="1435" w:type="dxa"/>
                  <w:tcBorders>
                    <w:tl2br w:val="nil"/>
                    <w:tr2bl w:val="nil"/>
                  </w:tcBorders>
                  <w:vAlign w:val="center"/>
                </w:tcPr>
                <w:p w14:paraId="66C57891">
                  <w:pPr>
                    <w:bidi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数量（台/套）</w:t>
                  </w:r>
                </w:p>
              </w:tc>
            </w:tr>
            <w:tr w14:paraId="46A9C0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40" w:type="dxa"/>
                  <w:tcBorders>
                    <w:tl2br w:val="nil"/>
                    <w:tr2bl w:val="nil"/>
                  </w:tcBorders>
                  <w:vAlign w:val="center"/>
                </w:tcPr>
                <w:p w14:paraId="109CAAF0">
                  <w:pPr>
                    <w:bidi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3424" w:type="dxa"/>
                  <w:tcBorders>
                    <w:tl2br w:val="nil"/>
                    <w:tr2bl w:val="nil"/>
                  </w:tcBorders>
                  <w:vAlign w:val="center"/>
                </w:tcPr>
                <w:p w14:paraId="00F25FF2">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双螺杆挤出机</w:t>
                  </w:r>
                </w:p>
              </w:tc>
              <w:tc>
                <w:tcPr>
                  <w:tcW w:w="2739" w:type="dxa"/>
                  <w:tcBorders>
                    <w:tl2br w:val="nil"/>
                    <w:tr2bl w:val="nil"/>
                  </w:tcBorders>
                  <w:vAlign w:val="center"/>
                </w:tcPr>
                <w:p w14:paraId="5C2A4F35">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MY－75</w:t>
                  </w:r>
                </w:p>
              </w:tc>
              <w:tc>
                <w:tcPr>
                  <w:tcW w:w="1435" w:type="dxa"/>
                  <w:tcBorders>
                    <w:tl2br w:val="nil"/>
                    <w:tr2bl w:val="nil"/>
                  </w:tcBorders>
                  <w:vAlign w:val="center"/>
                </w:tcPr>
                <w:p w14:paraId="6C75C73B">
                  <w:pPr>
                    <w:widowControl/>
                    <w:jc w:val="center"/>
                    <w:rPr>
                      <w:rFonts w:hint="default" w:ascii="Times New Roman" w:hAnsi="Times New Roman" w:cs="Times New Roman"/>
                      <w:color w:val="auto"/>
                      <w:sz w:val="18"/>
                      <w:szCs w:val="18"/>
                      <w:lang w:eastAsia="zh-CN"/>
                    </w:rPr>
                  </w:pPr>
                  <w:r>
                    <w:rPr>
                      <w:color w:val="000000"/>
                      <w:kern w:val="0"/>
                      <w:szCs w:val="21"/>
                    </w:rPr>
                    <w:t>1</w:t>
                  </w:r>
                </w:p>
              </w:tc>
            </w:tr>
            <w:tr w14:paraId="5F0F23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40" w:type="dxa"/>
                  <w:tcBorders>
                    <w:tl2br w:val="nil"/>
                    <w:tr2bl w:val="nil"/>
                  </w:tcBorders>
                  <w:vAlign w:val="center"/>
                </w:tcPr>
                <w:p w14:paraId="4C826E03">
                  <w:pPr>
                    <w:bidi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3424" w:type="dxa"/>
                  <w:tcBorders>
                    <w:tl2br w:val="nil"/>
                    <w:tr2bl w:val="nil"/>
                  </w:tcBorders>
                  <w:vAlign w:val="center"/>
                </w:tcPr>
                <w:p w14:paraId="47274838">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双螺杆挤出机</w:t>
                  </w:r>
                </w:p>
              </w:tc>
              <w:tc>
                <w:tcPr>
                  <w:tcW w:w="2739" w:type="dxa"/>
                  <w:tcBorders>
                    <w:tl2br w:val="nil"/>
                    <w:tr2bl w:val="nil"/>
                  </w:tcBorders>
                  <w:vAlign w:val="center"/>
                </w:tcPr>
                <w:p w14:paraId="2E3C9B0A">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MY－35</w:t>
                  </w:r>
                </w:p>
              </w:tc>
              <w:tc>
                <w:tcPr>
                  <w:tcW w:w="1435" w:type="dxa"/>
                  <w:tcBorders>
                    <w:tl2br w:val="nil"/>
                    <w:tr2bl w:val="nil"/>
                  </w:tcBorders>
                  <w:vAlign w:val="center"/>
                </w:tcPr>
                <w:p w14:paraId="434F1344">
                  <w:pPr>
                    <w:widowControl/>
                    <w:jc w:val="center"/>
                    <w:rPr>
                      <w:rFonts w:hint="default" w:ascii="Times New Roman" w:hAnsi="Times New Roman" w:cs="Times New Roman"/>
                      <w:color w:val="auto"/>
                      <w:sz w:val="18"/>
                      <w:szCs w:val="18"/>
                    </w:rPr>
                  </w:pPr>
                  <w:r>
                    <w:rPr>
                      <w:color w:val="000000"/>
                      <w:kern w:val="0"/>
                      <w:szCs w:val="21"/>
                    </w:rPr>
                    <w:t>1</w:t>
                  </w:r>
                </w:p>
              </w:tc>
            </w:tr>
            <w:tr w14:paraId="488E22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40" w:type="dxa"/>
                  <w:tcBorders>
                    <w:tl2br w:val="nil"/>
                    <w:tr2bl w:val="nil"/>
                  </w:tcBorders>
                  <w:vAlign w:val="center"/>
                </w:tcPr>
                <w:p w14:paraId="454AFAA8">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3</w:t>
                  </w:r>
                </w:p>
              </w:tc>
              <w:tc>
                <w:tcPr>
                  <w:tcW w:w="3424" w:type="dxa"/>
                  <w:tcBorders>
                    <w:tl2br w:val="nil"/>
                    <w:tr2bl w:val="nil"/>
                  </w:tcBorders>
                  <w:vAlign w:val="center"/>
                </w:tcPr>
                <w:p w14:paraId="402397EB">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双螺杆挤出机</w:t>
                  </w:r>
                </w:p>
              </w:tc>
              <w:tc>
                <w:tcPr>
                  <w:tcW w:w="2739" w:type="dxa"/>
                  <w:tcBorders>
                    <w:tl2br w:val="nil"/>
                    <w:tr2bl w:val="nil"/>
                  </w:tcBorders>
                  <w:vAlign w:val="center"/>
                </w:tcPr>
                <w:p w14:paraId="53D04775">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MY-50-3</w:t>
                  </w:r>
                </w:p>
              </w:tc>
              <w:tc>
                <w:tcPr>
                  <w:tcW w:w="1435" w:type="dxa"/>
                  <w:tcBorders>
                    <w:tl2br w:val="nil"/>
                    <w:tr2bl w:val="nil"/>
                  </w:tcBorders>
                  <w:vAlign w:val="center"/>
                </w:tcPr>
                <w:p w14:paraId="2D996975">
                  <w:pPr>
                    <w:widowControl/>
                    <w:jc w:val="center"/>
                    <w:rPr>
                      <w:rFonts w:hint="eastAsia" w:eastAsia="宋体"/>
                      <w:color w:val="000000"/>
                      <w:kern w:val="0"/>
                      <w:szCs w:val="21"/>
                      <w:lang w:val="en-US" w:eastAsia="zh-CN"/>
                    </w:rPr>
                  </w:pPr>
                  <w:r>
                    <w:rPr>
                      <w:rFonts w:hint="eastAsia"/>
                      <w:color w:val="000000"/>
                      <w:kern w:val="0"/>
                      <w:szCs w:val="21"/>
                      <w:lang w:val="en-US" w:eastAsia="zh-CN"/>
                    </w:rPr>
                    <w:t>1</w:t>
                  </w:r>
                </w:p>
              </w:tc>
            </w:tr>
            <w:tr w14:paraId="561B0B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40" w:type="dxa"/>
                  <w:tcBorders>
                    <w:tl2br w:val="nil"/>
                    <w:tr2bl w:val="nil"/>
                  </w:tcBorders>
                  <w:vAlign w:val="center"/>
                </w:tcPr>
                <w:p w14:paraId="5C67984F">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4</w:t>
                  </w:r>
                </w:p>
              </w:tc>
              <w:tc>
                <w:tcPr>
                  <w:tcW w:w="3424" w:type="dxa"/>
                  <w:tcBorders>
                    <w:tl2br w:val="nil"/>
                    <w:tr2bl w:val="nil"/>
                  </w:tcBorders>
                  <w:vAlign w:val="center"/>
                </w:tcPr>
                <w:p w14:paraId="57474912">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双螺杆挤出机</w:t>
                  </w:r>
                </w:p>
              </w:tc>
              <w:tc>
                <w:tcPr>
                  <w:tcW w:w="2739" w:type="dxa"/>
                  <w:tcBorders>
                    <w:tl2br w:val="nil"/>
                    <w:tr2bl w:val="nil"/>
                  </w:tcBorders>
                  <w:vAlign w:val="center"/>
                </w:tcPr>
                <w:p w14:paraId="52878CF8">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DY-50-3</w:t>
                  </w:r>
                </w:p>
              </w:tc>
              <w:tc>
                <w:tcPr>
                  <w:tcW w:w="1435" w:type="dxa"/>
                  <w:tcBorders>
                    <w:tl2br w:val="nil"/>
                    <w:tr2bl w:val="nil"/>
                  </w:tcBorders>
                  <w:vAlign w:val="center"/>
                </w:tcPr>
                <w:p w14:paraId="0F4FB454">
                  <w:pPr>
                    <w:widowControl/>
                    <w:jc w:val="center"/>
                    <w:rPr>
                      <w:rFonts w:hint="eastAsia" w:eastAsia="宋体"/>
                      <w:color w:val="000000"/>
                      <w:kern w:val="0"/>
                      <w:szCs w:val="21"/>
                      <w:lang w:val="en-US" w:eastAsia="zh-CN"/>
                    </w:rPr>
                  </w:pPr>
                  <w:r>
                    <w:rPr>
                      <w:rFonts w:hint="eastAsia"/>
                      <w:color w:val="000000"/>
                      <w:kern w:val="0"/>
                      <w:szCs w:val="21"/>
                      <w:lang w:val="en-US" w:eastAsia="zh-CN"/>
                    </w:rPr>
                    <w:t>1</w:t>
                  </w:r>
                </w:p>
              </w:tc>
            </w:tr>
            <w:tr w14:paraId="503128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40" w:type="dxa"/>
                  <w:tcBorders>
                    <w:tl2br w:val="nil"/>
                    <w:tr2bl w:val="nil"/>
                  </w:tcBorders>
                  <w:vAlign w:val="center"/>
                </w:tcPr>
                <w:p w14:paraId="3DC6CFE2">
                  <w:pPr>
                    <w:bidi w:val="0"/>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5</w:t>
                  </w:r>
                </w:p>
              </w:tc>
              <w:tc>
                <w:tcPr>
                  <w:tcW w:w="3424" w:type="dxa"/>
                  <w:tcBorders>
                    <w:tl2br w:val="nil"/>
                    <w:tr2bl w:val="nil"/>
                  </w:tcBorders>
                  <w:vAlign w:val="center"/>
                </w:tcPr>
                <w:p w14:paraId="45563973">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高速混料机</w:t>
                  </w:r>
                </w:p>
              </w:tc>
              <w:tc>
                <w:tcPr>
                  <w:tcW w:w="2739" w:type="dxa"/>
                  <w:tcBorders>
                    <w:tl2br w:val="nil"/>
                    <w:tr2bl w:val="nil"/>
                  </w:tcBorders>
                  <w:vAlign w:val="center"/>
                </w:tcPr>
                <w:p w14:paraId="3E388DC9">
                  <w:pPr>
                    <w:bidi w:val="0"/>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w:t>
                  </w:r>
                </w:p>
              </w:tc>
              <w:tc>
                <w:tcPr>
                  <w:tcW w:w="1435" w:type="dxa"/>
                  <w:tcBorders>
                    <w:tl2br w:val="nil"/>
                    <w:tr2bl w:val="nil"/>
                  </w:tcBorders>
                  <w:vAlign w:val="center"/>
                </w:tcPr>
                <w:p w14:paraId="409F54AA">
                  <w:pPr>
                    <w:bidi w:val="0"/>
                    <w:jc w:val="center"/>
                    <w:rPr>
                      <w:rFonts w:hint="default" w:ascii="Times New Roman" w:hAnsi="Times New Roman" w:cs="Times New Roman"/>
                      <w:color w:val="auto"/>
                      <w:sz w:val="18"/>
                      <w:szCs w:val="18"/>
                    </w:rPr>
                  </w:pPr>
                  <w:r>
                    <w:rPr>
                      <w:rFonts w:hint="eastAsia" w:cs="Times New Roman"/>
                      <w:color w:val="auto"/>
                      <w:sz w:val="18"/>
                      <w:szCs w:val="18"/>
                      <w:lang w:val="en-US" w:eastAsia="zh-CN"/>
                    </w:rPr>
                    <w:t>2</w:t>
                  </w:r>
                </w:p>
              </w:tc>
            </w:tr>
            <w:tr w14:paraId="7970A0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40" w:type="dxa"/>
                  <w:tcBorders>
                    <w:tl2br w:val="nil"/>
                    <w:tr2bl w:val="nil"/>
                  </w:tcBorders>
                  <w:vAlign w:val="center"/>
                </w:tcPr>
                <w:p w14:paraId="5464B382">
                  <w:pPr>
                    <w:bidi w:val="0"/>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6</w:t>
                  </w:r>
                </w:p>
              </w:tc>
              <w:tc>
                <w:tcPr>
                  <w:tcW w:w="3424" w:type="dxa"/>
                  <w:tcBorders>
                    <w:tl2br w:val="nil"/>
                    <w:tr2bl w:val="nil"/>
                  </w:tcBorders>
                  <w:vAlign w:val="center"/>
                </w:tcPr>
                <w:p w14:paraId="75DA39DD">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低速混料机</w:t>
                  </w:r>
                </w:p>
              </w:tc>
              <w:tc>
                <w:tcPr>
                  <w:tcW w:w="2739" w:type="dxa"/>
                  <w:tcBorders>
                    <w:tl2br w:val="nil"/>
                    <w:tr2bl w:val="nil"/>
                  </w:tcBorders>
                  <w:vAlign w:val="center"/>
                </w:tcPr>
                <w:p w14:paraId="17360734">
                  <w:pPr>
                    <w:bidi w:val="0"/>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w:t>
                  </w:r>
                </w:p>
              </w:tc>
              <w:tc>
                <w:tcPr>
                  <w:tcW w:w="1435" w:type="dxa"/>
                  <w:tcBorders>
                    <w:tl2br w:val="nil"/>
                    <w:tr2bl w:val="nil"/>
                  </w:tcBorders>
                  <w:vAlign w:val="center"/>
                </w:tcPr>
                <w:p w14:paraId="5EBAA199">
                  <w:pPr>
                    <w:bidi w:val="0"/>
                    <w:jc w:val="center"/>
                    <w:rPr>
                      <w:rFonts w:hint="default" w:ascii="Times New Roman" w:hAnsi="Times New Roman" w:cs="Times New Roman"/>
                      <w:color w:val="auto"/>
                      <w:sz w:val="18"/>
                      <w:szCs w:val="18"/>
                    </w:rPr>
                  </w:pPr>
                  <w:r>
                    <w:rPr>
                      <w:rFonts w:hint="eastAsia" w:cs="Times New Roman"/>
                      <w:color w:val="auto"/>
                      <w:sz w:val="18"/>
                      <w:szCs w:val="18"/>
                      <w:lang w:val="en-US" w:eastAsia="zh-CN"/>
                    </w:rPr>
                    <w:t>3</w:t>
                  </w:r>
                </w:p>
              </w:tc>
            </w:tr>
            <w:tr w14:paraId="549300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40" w:type="dxa"/>
                  <w:tcBorders>
                    <w:tl2br w:val="nil"/>
                    <w:tr2bl w:val="nil"/>
                  </w:tcBorders>
                  <w:vAlign w:val="center"/>
                </w:tcPr>
                <w:p w14:paraId="647E4007">
                  <w:pPr>
                    <w:bidi w:val="0"/>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7</w:t>
                  </w:r>
                </w:p>
              </w:tc>
              <w:tc>
                <w:tcPr>
                  <w:tcW w:w="3424" w:type="dxa"/>
                  <w:tcBorders>
                    <w:tl2br w:val="nil"/>
                    <w:tr2bl w:val="nil"/>
                  </w:tcBorders>
                  <w:vAlign w:val="center"/>
                </w:tcPr>
                <w:p w14:paraId="1C65290E">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切粒机</w:t>
                  </w:r>
                </w:p>
              </w:tc>
              <w:tc>
                <w:tcPr>
                  <w:tcW w:w="2739" w:type="dxa"/>
                  <w:tcBorders>
                    <w:tl2br w:val="nil"/>
                    <w:tr2bl w:val="nil"/>
                  </w:tcBorders>
                  <w:vAlign w:val="center"/>
                </w:tcPr>
                <w:p w14:paraId="5F419A8B">
                  <w:pPr>
                    <w:bidi w:val="0"/>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w:t>
                  </w:r>
                </w:p>
              </w:tc>
              <w:tc>
                <w:tcPr>
                  <w:tcW w:w="1435" w:type="dxa"/>
                  <w:tcBorders>
                    <w:tl2br w:val="nil"/>
                    <w:tr2bl w:val="nil"/>
                  </w:tcBorders>
                  <w:vAlign w:val="center"/>
                </w:tcPr>
                <w:p w14:paraId="25F5BE88">
                  <w:pPr>
                    <w:bidi w:val="0"/>
                    <w:jc w:val="center"/>
                    <w:rPr>
                      <w:rFonts w:hint="default" w:ascii="Times New Roman" w:hAnsi="Times New Roman" w:cs="Times New Roman"/>
                      <w:color w:val="auto"/>
                      <w:sz w:val="18"/>
                      <w:szCs w:val="18"/>
                    </w:rPr>
                  </w:pPr>
                  <w:r>
                    <w:rPr>
                      <w:rFonts w:hint="eastAsia" w:cs="Times New Roman"/>
                      <w:color w:val="auto"/>
                      <w:sz w:val="18"/>
                      <w:szCs w:val="18"/>
                      <w:lang w:val="en-US" w:eastAsia="zh-CN"/>
                    </w:rPr>
                    <w:t>2</w:t>
                  </w:r>
                </w:p>
              </w:tc>
            </w:tr>
            <w:tr w14:paraId="11E974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40" w:type="dxa"/>
                  <w:tcBorders>
                    <w:tl2br w:val="nil"/>
                    <w:tr2bl w:val="nil"/>
                  </w:tcBorders>
                  <w:vAlign w:val="center"/>
                </w:tcPr>
                <w:p w14:paraId="0895BCCA">
                  <w:pPr>
                    <w:bidi w:val="0"/>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8</w:t>
                  </w:r>
                </w:p>
              </w:tc>
              <w:tc>
                <w:tcPr>
                  <w:tcW w:w="3424" w:type="dxa"/>
                  <w:tcBorders>
                    <w:tl2br w:val="nil"/>
                    <w:tr2bl w:val="nil"/>
                  </w:tcBorders>
                  <w:vAlign w:val="center"/>
                </w:tcPr>
                <w:p w14:paraId="12BCC195">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均化料仓</w:t>
                  </w:r>
                </w:p>
              </w:tc>
              <w:tc>
                <w:tcPr>
                  <w:tcW w:w="2739" w:type="dxa"/>
                  <w:tcBorders>
                    <w:tl2br w:val="nil"/>
                    <w:tr2bl w:val="nil"/>
                  </w:tcBorders>
                  <w:vAlign w:val="center"/>
                </w:tcPr>
                <w:p w14:paraId="614CFE79">
                  <w:pPr>
                    <w:bidi w:val="0"/>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w:t>
                  </w:r>
                </w:p>
              </w:tc>
              <w:tc>
                <w:tcPr>
                  <w:tcW w:w="1435" w:type="dxa"/>
                  <w:tcBorders>
                    <w:tl2br w:val="nil"/>
                    <w:tr2bl w:val="nil"/>
                  </w:tcBorders>
                  <w:vAlign w:val="center"/>
                </w:tcPr>
                <w:p w14:paraId="24A5C878">
                  <w:pPr>
                    <w:bidi w:val="0"/>
                    <w:jc w:val="center"/>
                    <w:rPr>
                      <w:rFonts w:hint="default" w:ascii="Times New Roman" w:hAnsi="Times New Roman" w:cs="Times New Roman"/>
                      <w:color w:val="auto"/>
                      <w:sz w:val="18"/>
                      <w:szCs w:val="18"/>
                    </w:rPr>
                  </w:pPr>
                  <w:r>
                    <w:rPr>
                      <w:rFonts w:hint="eastAsia" w:cs="Times New Roman"/>
                      <w:color w:val="auto"/>
                      <w:sz w:val="18"/>
                      <w:szCs w:val="18"/>
                      <w:lang w:val="en-US" w:eastAsia="zh-CN"/>
                    </w:rPr>
                    <w:t>3</w:t>
                  </w:r>
                </w:p>
              </w:tc>
            </w:tr>
            <w:tr w14:paraId="7A4AD1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40" w:type="dxa"/>
                  <w:tcBorders>
                    <w:tl2br w:val="nil"/>
                    <w:tr2bl w:val="nil"/>
                  </w:tcBorders>
                  <w:vAlign w:val="center"/>
                </w:tcPr>
                <w:p w14:paraId="14A7C120">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9</w:t>
                  </w:r>
                </w:p>
              </w:tc>
              <w:tc>
                <w:tcPr>
                  <w:tcW w:w="3424" w:type="dxa"/>
                  <w:tcBorders>
                    <w:tl2br w:val="nil"/>
                    <w:tr2bl w:val="nil"/>
                  </w:tcBorders>
                  <w:vAlign w:val="center"/>
                </w:tcPr>
                <w:p w14:paraId="4DD45D86">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螺旋上料机</w:t>
                  </w:r>
                </w:p>
              </w:tc>
              <w:tc>
                <w:tcPr>
                  <w:tcW w:w="2739" w:type="dxa"/>
                  <w:tcBorders>
                    <w:tl2br w:val="nil"/>
                    <w:tr2bl w:val="nil"/>
                  </w:tcBorders>
                  <w:vAlign w:val="center"/>
                </w:tcPr>
                <w:p w14:paraId="2EBC260E">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w:t>
                  </w:r>
                </w:p>
              </w:tc>
              <w:tc>
                <w:tcPr>
                  <w:tcW w:w="1435" w:type="dxa"/>
                  <w:tcBorders>
                    <w:tl2br w:val="nil"/>
                    <w:tr2bl w:val="nil"/>
                  </w:tcBorders>
                  <w:vAlign w:val="center"/>
                </w:tcPr>
                <w:p w14:paraId="35C02740">
                  <w:pPr>
                    <w:bidi w:val="0"/>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2</w:t>
                  </w:r>
                </w:p>
              </w:tc>
            </w:tr>
            <w:tr w14:paraId="76A29F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40" w:type="dxa"/>
                  <w:tcBorders>
                    <w:tl2br w:val="nil"/>
                    <w:tr2bl w:val="nil"/>
                  </w:tcBorders>
                  <w:vAlign w:val="center"/>
                </w:tcPr>
                <w:p w14:paraId="1EFC7D25">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10</w:t>
                  </w:r>
                </w:p>
              </w:tc>
              <w:tc>
                <w:tcPr>
                  <w:tcW w:w="3424" w:type="dxa"/>
                  <w:tcBorders>
                    <w:tl2br w:val="nil"/>
                    <w:tr2bl w:val="nil"/>
                  </w:tcBorders>
                  <w:vAlign w:val="center"/>
                </w:tcPr>
                <w:p w14:paraId="58BA9285">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真空上料机</w:t>
                  </w:r>
                </w:p>
              </w:tc>
              <w:tc>
                <w:tcPr>
                  <w:tcW w:w="2739" w:type="dxa"/>
                  <w:tcBorders>
                    <w:tl2br w:val="nil"/>
                    <w:tr2bl w:val="nil"/>
                  </w:tcBorders>
                  <w:vAlign w:val="center"/>
                </w:tcPr>
                <w:p w14:paraId="1C04F413">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w:t>
                  </w:r>
                </w:p>
              </w:tc>
              <w:tc>
                <w:tcPr>
                  <w:tcW w:w="1435" w:type="dxa"/>
                  <w:tcBorders>
                    <w:tl2br w:val="nil"/>
                    <w:tr2bl w:val="nil"/>
                  </w:tcBorders>
                  <w:vAlign w:val="center"/>
                </w:tcPr>
                <w:p w14:paraId="11446452">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2</w:t>
                  </w:r>
                </w:p>
              </w:tc>
            </w:tr>
            <w:tr w14:paraId="037F9F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40" w:type="dxa"/>
                  <w:tcBorders>
                    <w:tl2br w:val="nil"/>
                    <w:tr2bl w:val="nil"/>
                  </w:tcBorders>
                  <w:vAlign w:val="center"/>
                </w:tcPr>
                <w:p w14:paraId="7EFAA938">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11</w:t>
                  </w:r>
                </w:p>
              </w:tc>
              <w:tc>
                <w:tcPr>
                  <w:tcW w:w="3424" w:type="dxa"/>
                  <w:tcBorders>
                    <w:tl2br w:val="nil"/>
                    <w:tr2bl w:val="nil"/>
                  </w:tcBorders>
                  <w:vAlign w:val="center"/>
                </w:tcPr>
                <w:p w14:paraId="260F9A52">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磨粉机</w:t>
                  </w:r>
                </w:p>
              </w:tc>
              <w:tc>
                <w:tcPr>
                  <w:tcW w:w="2739" w:type="dxa"/>
                  <w:tcBorders>
                    <w:tl2br w:val="nil"/>
                    <w:tr2bl w:val="nil"/>
                  </w:tcBorders>
                  <w:vAlign w:val="center"/>
                </w:tcPr>
                <w:p w14:paraId="47A0586E">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w:t>
                  </w:r>
                </w:p>
              </w:tc>
              <w:tc>
                <w:tcPr>
                  <w:tcW w:w="1435" w:type="dxa"/>
                  <w:tcBorders>
                    <w:tl2br w:val="nil"/>
                    <w:tr2bl w:val="nil"/>
                  </w:tcBorders>
                  <w:vAlign w:val="center"/>
                </w:tcPr>
                <w:p w14:paraId="0C7B1E7C">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w:t>
                  </w:r>
                </w:p>
              </w:tc>
            </w:tr>
            <w:tr w14:paraId="64F0CA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40" w:type="dxa"/>
                  <w:tcBorders>
                    <w:tl2br w:val="nil"/>
                    <w:tr2bl w:val="nil"/>
                  </w:tcBorders>
                  <w:vAlign w:val="center"/>
                </w:tcPr>
                <w:p w14:paraId="2D4AEB02">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12</w:t>
                  </w:r>
                </w:p>
              </w:tc>
              <w:tc>
                <w:tcPr>
                  <w:tcW w:w="3424" w:type="dxa"/>
                  <w:tcBorders>
                    <w:tl2br w:val="nil"/>
                    <w:tr2bl w:val="nil"/>
                  </w:tcBorders>
                  <w:vAlign w:val="center"/>
                </w:tcPr>
                <w:p w14:paraId="1B71BAB2">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冷却塔</w:t>
                  </w:r>
                </w:p>
              </w:tc>
              <w:tc>
                <w:tcPr>
                  <w:tcW w:w="2739" w:type="dxa"/>
                  <w:tcBorders>
                    <w:tl2br w:val="nil"/>
                    <w:tr2bl w:val="nil"/>
                  </w:tcBorders>
                  <w:vAlign w:val="center"/>
                </w:tcPr>
                <w:p w14:paraId="2332619A">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w:t>
                  </w:r>
                </w:p>
              </w:tc>
              <w:tc>
                <w:tcPr>
                  <w:tcW w:w="1435" w:type="dxa"/>
                  <w:tcBorders>
                    <w:tl2br w:val="nil"/>
                    <w:tr2bl w:val="nil"/>
                  </w:tcBorders>
                  <w:vAlign w:val="center"/>
                </w:tcPr>
                <w:p w14:paraId="071D2421">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2</w:t>
                  </w:r>
                </w:p>
              </w:tc>
            </w:tr>
            <w:tr w14:paraId="22F1F3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40" w:type="dxa"/>
                  <w:tcBorders>
                    <w:tl2br w:val="nil"/>
                    <w:tr2bl w:val="nil"/>
                  </w:tcBorders>
                  <w:vAlign w:val="center"/>
                </w:tcPr>
                <w:p w14:paraId="23D705EF">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13</w:t>
                  </w:r>
                </w:p>
              </w:tc>
              <w:tc>
                <w:tcPr>
                  <w:tcW w:w="3424" w:type="dxa"/>
                  <w:tcBorders>
                    <w:tl2br w:val="nil"/>
                    <w:tr2bl w:val="nil"/>
                  </w:tcBorders>
                  <w:vAlign w:val="center"/>
                </w:tcPr>
                <w:p w14:paraId="79E95FDA">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粉碎机</w:t>
                  </w:r>
                </w:p>
              </w:tc>
              <w:tc>
                <w:tcPr>
                  <w:tcW w:w="2739" w:type="dxa"/>
                  <w:tcBorders>
                    <w:tl2br w:val="nil"/>
                    <w:tr2bl w:val="nil"/>
                  </w:tcBorders>
                  <w:vAlign w:val="center"/>
                </w:tcPr>
                <w:p w14:paraId="4C17FFDF">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w:t>
                  </w:r>
                </w:p>
              </w:tc>
              <w:tc>
                <w:tcPr>
                  <w:tcW w:w="1435" w:type="dxa"/>
                  <w:tcBorders>
                    <w:tl2br w:val="nil"/>
                    <w:tr2bl w:val="nil"/>
                  </w:tcBorders>
                  <w:vAlign w:val="center"/>
                </w:tcPr>
                <w:p w14:paraId="60536207">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2</w:t>
                  </w:r>
                </w:p>
              </w:tc>
            </w:tr>
          </w:tbl>
          <w:p w14:paraId="65F205A7">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default"/>
                <w:b w:val="0"/>
                <w:bCs w:val="0"/>
                <w:color w:val="auto"/>
                <w:kern w:val="0"/>
                <w:szCs w:val="21"/>
                <w:lang w:val="en-US" w:eastAsia="zh-CN" w:bidi="ar"/>
              </w:rPr>
            </w:pPr>
            <w:r>
              <w:rPr>
                <w:rFonts w:hint="eastAsia"/>
                <w:b w:val="0"/>
                <w:bCs w:val="0"/>
                <w:color w:val="auto"/>
                <w:kern w:val="0"/>
                <w:szCs w:val="21"/>
                <w:lang w:eastAsia="zh-CN" w:bidi="ar"/>
              </w:rPr>
              <w:t>设备与产能匹配性分析：项目有</w:t>
            </w:r>
            <w:r>
              <w:rPr>
                <w:rFonts w:hint="eastAsia"/>
                <w:b w:val="0"/>
                <w:bCs w:val="0"/>
                <w:color w:val="auto"/>
                <w:kern w:val="0"/>
                <w:szCs w:val="21"/>
                <w:lang w:val="en-US" w:eastAsia="zh-CN" w:bidi="ar"/>
              </w:rPr>
              <w:t>4台双螺旋挤出机，工作时间为2000h，总工作能力为0.6t/h，则年挤出能力为1200t，项目产能为1000吨，可满足生产能力。</w:t>
            </w:r>
          </w:p>
          <w:p w14:paraId="005FF44A">
            <w:pPr>
              <w:widowControl/>
              <w:spacing w:line="500" w:lineRule="exact"/>
              <w:ind w:firstLine="422" w:firstLineChars="200"/>
              <w:jc w:val="left"/>
              <w:rPr>
                <w:b/>
                <w:bCs/>
                <w:color w:val="auto"/>
                <w:kern w:val="0"/>
                <w:szCs w:val="21"/>
                <w:lang w:bidi="ar"/>
              </w:rPr>
            </w:pPr>
            <w:r>
              <w:rPr>
                <w:b/>
                <w:bCs/>
                <w:color w:val="auto"/>
                <w:kern w:val="0"/>
                <w:szCs w:val="21"/>
                <w:lang w:bidi="ar"/>
              </w:rPr>
              <w:t>5、工程内容</w:t>
            </w:r>
          </w:p>
          <w:p w14:paraId="69C4BF1D">
            <w:pPr>
              <w:adjustRightInd w:val="0"/>
              <w:snapToGrid w:val="0"/>
              <w:spacing w:line="500" w:lineRule="exact"/>
              <w:ind w:firstLine="420" w:firstLineChars="200"/>
              <w:rPr>
                <w:bCs/>
                <w:color w:val="auto"/>
                <w:szCs w:val="21"/>
              </w:rPr>
            </w:pPr>
            <w:r>
              <w:rPr>
                <w:rFonts w:hint="eastAsia"/>
                <w:bCs/>
                <w:color w:val="auto"/>
                <w:szCs w:val="21"/>
              </w:rPr>
              <w:t>项目工程内容主要包括主体工程、公用工程及环保工程等，具体内容见表2-</w:t>
            </w:r>
            <w:r>
              <w:rPr>
                <w:rFonts w:hint="eastAsia"/>
                <w:bCs/>
                <w:color w:val="auto"/>
                <w:szCs w:val="21"/>
                <w:lang w:val="en-US" w:eastAsia="zh-CN"/>
              </w:rPr>
              <w:t>4</w:t>
            </w:r>
            <w:r>
              <w:rPr>
                <w:rFonts w:hint="eastAsia"/>
                <w:bCs/>
                <w:color w:val="auto"/>
                <w:szCs w:val="21"/>
              </w:rPr>
              <w:t>。</w:t>
            </w:r>
          </w:p>
          <w:p w14:paraId="72AA8AD2">
            <w:pPr>
              <w:spacing w:line="360" w:lineRule="auto"/>
              <w:jc w:val="center"/>
              <w:rPr>
                <w:b/>
                <w:bCs/>
                <w:color w:val="auto"/>
              </w:rPr>
            </w:pPr>
            <w:r>
              <w:rPr>
                <w:b/>
                <w:bCs/>
                <w:color w:val="auto"/>
              </w:rPr>
              <w:t>表2-</w:t>
            </w:r>
            <w:r>
              <w:rPr>
                <w:rFonts w:hint="eastAsia"/>
                <w:b/>
                <w:bCs/>
                <w:color w:val="auto"/>
                <w:lang w:val="en-US" w:eastAsia="zh-CN"/>
              </w:rPr>
              <w:t>4</w:t>
            </w:r>
            <w:r>
              <w:rPr>
                <w:b/>
                <w:bCs/>
                <w:color w:val="auto"/>
              </w:rPr>
              <w:t>项目主要工程内容一览表</w:t>
            </w:r>
          </w:p>
          <w:tbl>
            <w:tblPr>
              <w:tblStyle w:val="16"/>
              <w:tblW w:w="865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0"/>
              <w:gridCol w:w="741"/>
              <w:gridCol w:w="691"/>
              <w:gridCol w:w="1099"/>
              <w:gridCol w:w="2537"/>
              <w:gridCol w:w="2751"/>
            </w:tblGrid>
            <w:tr w14:paraId="591164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40" w:type="dxa"/>
                  <w:vAlign w:val="center"/>
                </w:tcPr>
                <w:p w14:paraId="49351BB5">
                  <w:pPr>
                    <w:jc w:val="center"/>
                    <w:rPr>
                      <w:color w:val="000000"/>
                      <w:sz w:val="18"/>
                      <w:szCs w:val="21"/>
                    </w:rPr>
                  </w:pPr>
                  <w:r>
                    <w:rPr>
                      <w:color w:val="000000"/>
                      <w:sz w:val="18"/>
                      <w:szCs w:val="21"/>
                    </w:rPr>
                    <w:t>类别</w:t>
                  </w:r>
                </w:p>
              </w:tc>
              <w:tc>
                <w:tcPr>
                  <w:tcW w:w="1432" w:type="dxa"/>
                  <w:gridSpan w:val="2"/>
                  <w:vAlign w:val="center"/>
                </w:tcPr>
                <w:p w14:paraId="1574C7FF">
                  <w:pPr>
                    <w:jc w:val="center"/>
                    <w:rPr>
                      <w:color w:val="000000"/>
                      <w:sz w:val="18"/>
                      <w:szCs w:val="21"/>
                    </w:rPr>
                  </w:pPr>
                  <w:r>
                    <w:rPr>
                      <w:color w:val="000000"/>
                      <w:sz w:val="18"/>
                      <w:szCs w:val="21"/>
                    </w:rPr>
                    <w:t>建设工程</w:t>
                  </w:r>
                </w:p>
              </w:tc>
              <w:tc>
                <w:tcPr>
                  <w:tcW w:w="3636" w:type="dxa"/>
                  <w:gridSpan w:val="2"/>
                  <w:vAlign w:val="center"/>
                </w:tcPr>
                <w:p w14:paraId="3C2941ED">
                  <w:pPr>
                    <w:jc w:val="center"/>
                    <w:rPr>
                      <w:color w:val="000000"/>
                      <w:sz w:val="18"/>
                      <w:szCs w:val="21"/>
                    </w:rPr>
                  </w:pPr>
                  <w:r>
                    <w:rPr>
                      <w:color w:val="000000"/>
                      <w:sz w:val="18"/>
                      <w:szCs w:val="21"/>
                    </w:rPr>
                    <w:t>建设内容</w:t>
                  </w:r>
                </w:p>
              </w:tc>
              <w:tc>
                <w:tcPr>
                  <w:tcW w:w="2751" w:type="dxa"/>
                  <w:vAlign w:val="center"/>
                </w:tcPr>
                <w:p w14:paraId="15D2F518">
                  <w:pPr>
                    <w:jc w:val="center"/>
                    <w:rPr>
                      <w:color w:val="000000"/>
                      <w:sz w:val="18"/>
                      <w:szCs w:val="21"/>
                    </w:rPr>
                  </w:pPr>
                  <w:r>
                    <w:rPr>
                      <w:rFonts w:hint="eastAsia"/>
                      <w:color w:val="000000"/>
                      <w:sz w:val="18"/>
                      <w:szCs w:val="21"/>
                    </w:rPr>
                    <w:t>备注</w:t>
                  </w:r>
                </w:p>
              </w:tc>
            </w:tr>
            <w:tr w14:paraId="48E823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0" w:type="dxa"/>
                  <w:vMerge w:val="restart"/>
                  <w:vAlign w:val="center"/>
                </w:tcPr>
                <w:p w14:paraId="0B5A7FD8">
                  <w:pPr>
                    <w:jc w:val="center"/>
                    <w:rPr>
                      <w:color w:val="000000"/>
                      <w:sz w:val="18"/>
                      <w:szCs w:val="21"/>
                    </w:rPr>
                  </w:pPr>
                  <w:r>
                    <w:rPr>
                      <w:color w:val="000000"/>
                      <w:sz w:val="18"/>
                      <w:szCs w:val="21"/>
                    </w:rPr>
                    <w:t>主体</w:t>
                  </w:r>
                </w:p>
                <w:p w14:paraId="29E73279">
                  <w:pPr>
                    <w:jc w:val="center"/>
                    <w:rPr>
                      <w:color w:val="000000"/>
                      <w:sz w:val="18"/>
                      <w:szCs w:val="21"/>
                    </w:rPr>
                  </w:pPr>
                  <w:r>
                    <w:rPr>
                      <w:color w:val="000000"/>
                      <w:sz w:val="18"/>
                      <w:szCs w:val="21"/>
                    </w:rPr>
                    <w:t>工程</w:t>
                  </w:r>
                </w:p>
              </w:tc>
              <w:tc>
                <w:tcPr>
                  <w:tcW w:w="1432" w:type="dxa"/>
                  <w:gridSpan w:val="2"/>
                  <w:tcBorders>
                    <w:bottom w:val="single" w:color="auto" w:sz="4" w:space="0"/>
                  </w:tcBorders>
                  <w:vAlign w:val="center"/>
                </w:tcPr>
                <w:p w14:paraId="25881DDB">
                  <w:pPr>
                    <w:jc w:val="center"/>
                    <w:rPr>
                      <w:color w:val="000000"/>
                      <w:sz w:val="18"/>
                      <w:szCs w:val="21"/>
                    </w:rPr>
                  </w:pPr>
                  <w:r>
                    <w:rPr>
                      <w:rFonts w:hint="eastAsia"/>
                      <w:color w:val="000000"/>
                      <w:sz w:val="18"/>
                      <w:szCs w:val="21"/>
                    </w:rPr>
                    <w:t>混料车间</w:t>
                  </w:r>
                </w:p>
              </w:tc>
              <w:tc>
                <w:tcPr>
                  <w:tcW w:w="3636" w:type="dxa"/>
                  <w:gridSpan w:val="2"/>
                  <w:tcBorders>
                    <w:bottom w:val="single" w:color="auto" w:sz="4" w:space="0"/>
                  </w:tcBorders>
                  <w:shd w:val="clear" w:color="auto" w:fill="auto"/>
                  <w:vAlign w:val="center"/>
                </w:tcPr>
                <w:p w14:paraId="71EE227D">
                  <w:pPr>
                    <w:jc w:val="center"/>
                    <w:rPr>
                      <w:sz w:val="18"/>
                      <w:szCs w:val="21"/>
                    </w:rPr>
                  </w:pPr>
                  <w:r>
                    <w:rPr>
                      <w:rFonts w:hint="eastAsia"/>
                      <w:sz w:val="18"/>
                      <w:szCs w:val="21"/>
                    </w:rPr>
                    <w:t>建筑</w:t>
                  </w:r>
                  <w:r>
                    <w:rPr>
                      <w:sz w:val="18"/>
                      <w:szCs w:val="21"/>
                    </w:rPr>
                    <w:t>面积</w:t>
                  </w:r>
                  <w:r>
                    <w:rPr>
                      <w:rFonts w:hint="eastAsia"/>
                      <w:sz w:val="18"/>
                      <w:szCs w:val="21"/>
                      <w:lang w:val="en-US" w:eastAsia="zh-CN"/>
                    </w:rPr>
                    <w:t>1</w:t>
                  </w:r>
                  <w:r>
                    <w:rPr>
                      <w:sz w:val="18"/>
                      <w:szCs w:val="21"/>
                    </w:rPr>
                    <w:t>700</w:t>
                  </w:r>
                  <w:r>
                    <w:rPr>
                      <w:rFonts w:hint="eastAsia"/>
                      <w:sz w:val="18"/>
                      <w:szCs w:val="21"/>
                    </w:rPr>
                    <w:t>m</w:t>
                  </w:r>
                  <w:r>
                    <w:rPr>
                      <w:sz w:val="18"/>
                      <w:szCs w:val="21"/>
                      <w:vertAlign w:val="superscript"/>
                    </w:rPr>
                    <w:t>2</w:t>
                  </w:r>
                  <w:r>
                    <w:rPr>
                      <w:rFonts w:hint="eastAsia"/>
                      <w:sz w:val="18"/>
                      <w:szCs w:val="21"/>
                    </w:rPr>
                    <w:t>，占地面积</w:t>
                  </w:r>
                  <w:r>
                    <w:rPr>
                      <w:rFonts w:hint="eastAsia"/>
                      <w:sz w:val="18"/>
                      <w:szCs w:val="21"/>
                      <w:lang w:val="en-US" w:eastAsia="zh-CN"/>
                    </w:rPr>
                    <w:t>1</w:t>
                  </w:r>
                  <w:r>
                    <w:rPr>
                      <w:sz w:val="18"/>
                      <w:szCs w:val="21"/>
                    </w:rPr>
                    <w:t>700</w:t>
                  </w:r>
                  <w:r>
                    <w:rPr>
                      <w:rFonts w:hint="eastAsia"/>
                      <w:sz w:val="18"/>
                      <w:szCs w:val="21"/>
                    </w:rPr>
                    <w:t>m</w:t>
                  </w:r>
                  <w:r>
                    <w:rPr>
                      <w:sz w:val="18"/>
                      <w:szCs w:val="21"/>
                      <w:vertAlign w:val="superscript"/>
                    </w:rPr>
                    <w:t>2</w:t>
                  </w:r>
                </w:p>
              </w:tc>
              <w:tc>
                <w:tcPr>
                  <w:tcW w:w="2751" w:type="dxa"/>
                  <w:shd w:val="clear" w:color="auto" w:fill="auto"/>
                  <w:vAlign w:val="center"/>
                </w:tcPr>
                <w:p w14:paraId="57ADFDA2">
                  <w:pPr>
                    <w:jc w:val="center"/>
                    <w:rPr>
                      <w:sz w:val="18"/>
                      <w:szCs w:val="21"/>
                    </w:rPr>
                  </w:pPr>
                  <w:r>
                    <w:rPr>
                      <w:sz w:val="18"/>
                      <w:szCs w:val="21"/>
                    </w:rPr>
                    <w:t>1F</w:t>
                  </w:r>
                  <w:r>
                    <w:rPr>
                      <w:rFonts w:hint="eastAsia"/>
                      <w:sz w:val="18"/>
                      <w:szCs w:val="21"/>
                    </w:rPr>
                    <w:t>，楼高</w:t>
                  </w:r>
                  <w:r>
                    <w:rPr>
                      <w:sz w:val="18"/>
                      <w:szCs w:val="21"/>
                    </w:rPr>
                    <w:t>11m</w:t>
                  </w:r>
                </w:p>
              </w:tc>
            </w:tr>
            <w:tr w14:paraId="7269C6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40" w:type="dxa"/>
                  <w:vMerge w:val="continue"/>
                  <w:vAlign w:val="center"/>
                </w:tcPr>
                <w:p w14:paraId="0C99F101">
                  <w:pPr>
                    <w:jc w:val="center"/>
                    <w:rPr>
                      <w:color w:val="000000"/>
                      <w:sz w:val="18"/>
                      <w:szCs w:val="21"/>
                    </w:rPr>
                  </w:pPr>
                </w:p>
              </w:tc>
              <w:tc>
                <w:tcPr>
                  <w:tcW w:w="1432" w:type="dxa"/>
                  <w:gridSpan w:val="2"/>
                  <w:tcBorders>
                    <w:bottom w:val="single" w:color="auto" w:sz="4" w:space="0"/>
                  </w:tcBorders>
                  <w:vAlign w:val="center"/>
                </w:tcPr>
                <w:p w14:paraId="08BF78AD">
                  <w:pPr>
                    <w:jc w:val="center"/>
                    <w:rPr>
                      <w:color w:val="000000"/>
                      <w:sz w:val="18"/>
                      <w:szCs w:val="21"/>
                    </w:rPr>
                  </w:pPr>
                  <w:r>
                    <w:rPr>
                      <w:rFonts w:hint="eastAsia"/>
                      <w:color w:val="000000"/>
                      <w:sz w:val="18"/>
                      <w:szCs w:val="21"/>
                    </w:rPr>
                    <w:t>挤出车间</w:t>
                  </w:r>
                </w:p>
              </w:tc>
              <w:tc>
                <w:tcPr>
                  <w:tcW w:w="3636" w:type="dxa"/>
                  <w:gridSpan w:val="2"/>
                  <w:tcBorders>
                    <w:bottom w:val="single" w:color="auto" w:sz="4" w:space="0"/>
                  </w:tcBorders>
                  <w:shd w:val="clear" w:color="auto" w:fill="auto"/>
                  <w:vAlign w:val="center"/>
                </w:tcPr>
                <w:p w14:paraId="34853900">
                  <w:pPr>
                    <w:jc w:val="center"/>
                    <w:rPr>
                      <w:sz w:val="18"/>
                      <w:szCs w:val="21"/>
                    </w:rPr>
                  </w:pPr>
                  <w:r>
                    <w:rPr>
                      <w:rFonts w:hint="eastAsia"/>
                      <w:sz w:val="18"/>
                      <w:szCs w:val="21"/>
                    </w:rPr>
                    <w:t>建筑</w:t>
                  </w:r>
                  <w:r>
                    <w:rPr>
                      <w:sz w:val="18"/>
                      <w:szCs w:val="21"/>
                    </w:rPr>
                    <w:t>面积1000</w:t>
                  </w:r>
                  <w:r>
                    <w:rPr>
                      <w:rFonts w:hint="eastAsia"/>
                      <w:sz w:val="18"/>
                      <w:szCs w:val="21"/>
                    </w:rPr>
                    <w:t>m</w:t>
                  </w:r>
                  <w:r>
                    <w:rPr>
                      <w:sz w:val="18"/>
                      <w:szCs w:val="21"/>
                      <w:vertAlign w:val="superscript"/>
                    </w:rPr>
                    <w:t>2</w:t>
                  </w:r>
                  <w:r>
                    <w:rPr>
                      <w:rFonts w:hint="eastAsia"/>
                      <w:sz w:val="18"/>
                      <w:szCs w:val="21"/>
                    </w:rPr>
                    <w:t>，占地面积</w:t>
                  </w:r>
                  <w:r>
                    <w:rPr>
                      <w:sz w:val="18"/>
                      <w:szCs w:val="21"/>
                    </w:rPr>
                    <w:t>1000</w:t>
                  </w:r>
                  <w:r>
                    <w:rPr>
                      <w:rFonts w:hint="eastAsia"/>
                      <w:sz w:val="18"/>
                      <w:szCs w:val="21"/>
                    </w:rPr>
                    <w:t>m</w:t>
                  </w:r>
                  <w:r>
                    <w:rPr>
                      <w:sz w:val="18"/>
                      <w:szCs w:val="21"/>
                      <w:vertAlign w:val="superscript"/>
                    </w:rPr>
                    <w:t>2</w:t>
                  </w:r>
                </w:p>
              </w:tc>
              <w:tc>
                <w:tcPr>
                  <w:tcW w:w="2751" w:type="dxa"/>
                  <w:shd w:val="clear" w:color="auto" w:fill="auto"/>
                  <w:vAlign w:val="center"/>
                </w:tcPr>
                <w:p w14:paraId="75E878A8">
                  <w:pPr>
                    <w:jc w:val="center"/>
                    <w:rPr>
                      <w:sz w:val="18"/>
                      <w:szCs w:val="21"/>
                    </w:rPr>
                  </w:pPr>
                  <w:r>
                    <w:rPr>
                      <w:sz w:val="18"/>
                      <w:szCs w:val="21"/>
                    </w:rPr>
                    <w:t>1F</w:t>
                  </w:r>
                  <w:r>
                    <w:rPr>
                      <w:rFonts w:hint="eastAsia"/>
                      <w:sz w:val="18"/>
                      <w:szCs w:val="21"/>
                    </w:rPr>
                    <w:t>，楼高</w:t>
                  </w:r>
                  <w:r>
                    <w:rPr>
                      <w:sz w:val="18"/>
                      <w:szCs w:val="21"/>
                    </w:rPr>
                    <w:t>11m</w:t>
                  </w:r>
                </w:p>
              </w:tc>
            </w:tr>
            <w:tr w14:paraId="6DDA7C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40" w:type="dxa"/>
                  <w:vMerge w:val="restart"/>
                  <w:vAlign w:val="center"/>
                </w:tcPr>
                <w:p w14:paraId="5EDFFF32">
                  <w:pPr>
                    <w:jc w:val="center"/>
                    <w:rPr>
                      <w:color w:val="000000"/>
                      <w:sz w:val="18"/>
                      <w:szCs w:val="21"/>
                    </w:rPr>
                  </w:pPr>
                  <w:r>
                    <w:rPr>
                      <w:rFonts w:hint="eastAsia"/>
                      <w:color w:val="000000"/>
                      <w:sz w:val="18"/>
                      <w:szCs w:val="21"/>
                    </w:rPr>
                    <w:t>储运工程</w:t>
                  </w:r>
                </w:p>
              </w:tc>
              <w:tc>
                <w:tcPr>
                  <w:tcW w:w="1432" w:type="dxa"/>
                  <w:gridSpan w:val="2"/>
                  <w:tcBorders>
                    <w:bottom w:val="single" w:color="auto" w:sz="4" w:space="0"/>
                  </w:tcBorders>
                  <w:vAlign w:val="center"/>
                </w:tcPr>
                <w:p w14:paraId="524E0199">
                  <w:pPr>
                    <w:jc w:val="center"/>
                    <w:rPr>
                      <w:rFonts w:hint="eastAsia" w:eastAsia="宋体"/>
                      <w:color w:val="000000"/>
                      <w:sz w:val="18"/>
                      <w:szCs w:val="21"/>
                      <w:lang w:eastAsia="zh-CN"/>
                    </w:rPr>
                  </w:pPr>
                  <w:r>
                    <w:rPr>
                      <w:rFonts w:hint="eastAsia"/>
                      <w:color w:val="000000"/>
                      <w:sz w:val="18"/>
                      <w:szCs w:val="21"/>
                      <w:lang w:eastAsia="zh-CN"/>
                    </w:rPr>
                    <w:t>原料堆放区</w:t>
                  </w:r>
                </w:p>
              </w:tc>
              <w:tc>
                <w:tcPr>
                  <w:tcW w:w="3636" w:type="dxa"/>
                  <w:gridSpan w:val="2"/>
                  <w:tcBorders>
                    <w:bottom w:val="single" w:color="auto" w:sz="4" w:space="0"/>
                  </w:tcBorders>
                  <w:vAlign w:val="center"/>
                </w:tcPr>
                <w:p w14:paraId="15A01BA8">
                  <w:pPr>
                    <w:jc w:val="center"/>
                    <w:rPr>
                      <w:rFonts w:hint="default"/>
                      <w:color w:val="000000"/>
                      <w:sz w:val="18"/>
                      <w:szCs w:val="21"/>
                      <w:lang w:val="en-US"/>
                    </w:rPr>
                  </w:pPr>
                  <w:r>
                    <w:rPr>
                      <w:rFonts w:hint="eastAsia"/>
                      <w:color w:val="000000"/>
                      <w:sz w:val="18"/>
                      <w:szCs w:val="21"/>
                      <w:lang w:eastAsia="zh-CN"/>
                    </w:rPr>
                    <w:t>占地面积</w:t>
                  </w:r>
                  <w:r>
                    <w:rPr>
                      <w:rFonts w:hint="eastAsia"/>
                      <w:color w:val="000000"/>
                      <w:sz w:val="18"/>
                      <w:szCs w:val="21"/>
                      <w:lang w:val="en-US" w:eastAsia="zh-CN"/>
                    </w:rPr>
                    <w:t>200</w:t>
                  </w:r>
                  <w:r>
                    <w:rPr>
                      <w:rFonts w:hint="eastAsia"/>
                      <w:sz w:val="18"/>
                      <w:szCs w:val="21"/>
                    </w:rPr>
                    <w:t>m</w:t>
                  </w:r>
                  <w:r>
                    <w:rPr>
                      <w:sz w:val="18"/>
                      <w:szCs w:val="21"/>
                      <w:vertAlign w:val="superscript"/>
                    </w:rPr>
                    <w:t>2</w:t>
                  </w:r>
                  <w:r>
                    <w:rPr>
                      <w:rFonts w:hint="eastAsia"/>
                      <w:color w:val="000000"/>
                      <w:sz w:val="18"/>
                      <w:szCs w:val="21"/>
                      <w:lang w:val="en-US" w:eastAsia="zh-CN"/>
                    </w:rPr>
                    <w:t>，存放原辅材料</w:t>
                  </w:r>
                </w:p>
              </w:tc>
              <w:tc>
                <w:tcPr>
                  <w:tcW w:w="2751" w:type="dxa"/>
                  <w:vAlign w:val="center"/>
                </w:tcPr>
                <w:p w14:paraId="3A51C40A">
                  <w:pPr>
                    <w:jc w:val="center"/>
                    <w:rPr>
                      <w:rFonts w:hint="eastAsia" w:eastAsia="宋体"/>
                      <w:color w:val="000000"/>
                      <w:sz w:val="18"/>
                      <w:szCs w:val="21"/>
                      <w:lang w:eastAsia="zh-CN"/>
                    </w:rPr>
                  </w:pPr>
                  <w:r>
                    <w:rPr>
                      <w:rFonts w:hint="eastAsia"/>
                      <w:color w:val="000000"/>
                      <w:sz w:val="18"/>
                      <w:szCs w:val="21"/>
                      <w:lang w:eastAsia="zh-CN"/>
                    </w:rPr>
                    <w:t>位于挤出车间内</w:t>
                  </w:r>
                </w:p>
              </w:tc>
            </w:tr>
            <w:tr w14:paraId="44A1D1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40" w:type="dxa"/>
                  <w:vMerge w:val="continue"/>
                  <w:vAlign w:val="center"/>
                </w:tcPr>
                <w:p w14:paraId="54C8B401">
                  <w:pPr>
                    <w:jc w:val="center"/>
                    <w:rPr>
                      <w:rFonts w:hint="eastAsia"/>
                      <w:color w:val="000000"/>
                      <w:sz w:val="18"/>
                      <w:szCs w:val="21"/>
                    </w:rPr>
                  </w:pPr>
                </w:p>
              </w:tc>
              <w:tc>
                <w:tcPr>
                  <w:tcW w:w="1432" w:type="dxa"/>
                  <w:gridSpan w:val="2"/>
                  <w:tcBorders>
                    <w:bottom w:val="single" w:color="auto" w:sz="4" w:space="0"/>
                  </w:tcBorders>
                  <w:vAlign w:val="center"/>
                </w:tcPr>
                <w:p w14:paraId="5355A168">
                  <w:pPr>
                    <w:jc w:val="center"/>
                    <w:rPr>
                      <w:rFonts w:hint="eastAsia"/>
                      <w:color w:val="000000"/>
                      <w:sz w:val="18"/>
                      <w:szCs w:val="21"/>
                      <w:lang w:eastAsia="zh-CN"/>
                    </w:rPr>
                  </w:pPr>
                  <w:r>
                    <w:rPr>
                      <w:rFonts w:hint="eastAsia"/>
                      <w:color w:val="000000"/>
                      <w:sz w:val="18"/>
                      <w:szCs w:val="21"/>
                      <w:lang w:eastAsia="zh-CN"/>
                    </w:rPr>
                    <w:t>成品堆放区</w:t>
                  </w:r>
                </w:p>
              </w:tc>
              <w:tc>
                <w:tcPr>
                  <w:tcW w:w="3636" w:type="dxa"/>
                  <w:gridSpan w:val="2"/>
                  <w:tcBorders>
                    <w:bottom w:val="single" w:color="auto" w:sz="4" w:space="0"/>
                  </w:tcBorders>
                  <w:vAlign w:val="center"/>
                </w:tcPr>
                <w:p w14:paraId="171EDD41">
                  <w:pPr>
                    <w:jc w:val="center"/>
                    <w:rPr>
                      <w:rFonts w:hint="eastAsia"/>
                      <w:color w:val="000000"/>
                      <w:sz w:val="18"/>
                      <w:szCs w:val="21"/>
                    </w:rPr>
                  </w:pPr>
                  <w:r>
                    <w:rPr>
                      <w:rFonts w:hint="eastAsia"/>
                      <w:color w:val="000000"/>
                      <w:sz w:val="18"/>
                      <w:szCs w:val="21"/>
                      <w:lang w:eastAsia="zh-CN"/>
                    </w:rPr>
                    <w:t>占地面积</w:t>
                  </w:r>
                  <w:r>
                    <w:rPr>
                      <w:rFonts w:hint="eastAsia"/>
                      <w:color w:val="000000"/>
                      <w:sz w:val="18"/>
                      <w:szCs w:val="21"/>
                      <w:lang w:val="en-US" w:eastAsia="zh-CN"/>
                    </w:rPr>
                    <w:t>200</w:t>
                  </w:r>
                  <w:r>
                    <w:rPr>
                      <w:rFonts w:hint="eastAsia"/>
                      <w:sz w:val="18"/>
                      <w:szCs w:val="21"/>
                    </w:rPr>
                    <w:t>m</w:t>
                  </w:r>
                  <w:r>
                    <w:rPr>
                      <w:sz w:val="18"/>
                      <w:szCs w:val="21"/>
                      <w:vertAlign w:val="superscript"/>
                    </w:rPr>
                    <w:t>2</w:t>
                  </w:r>
                  <w:r>
                    <w:rPr>
                      <w:rFonts w:hint="eastAsia"/>
                      <w:color w:val="000000"/>
                      <w:sz w:val="18"/>
                      <w:szCs w:val="21"/>
                      <w:lang w:val="en-US" w:eastAsia="zh-CN"/>
                    </w:rPr>
                    <w:t>，存放成品</w:t>
                  </w:r>
                </w:p>
              </w:tc>
              <w:tc>
                <w:tcPr>
                  <w:tcW w:w="2751" w:type="dxa"/>
                  <w:vAlign w:val="center"/>
                </w:tcPr>
                <w:p w14:paraId="6F568527">
                  <w:pPr>
                    <w:jc w:val="center"/>
                    <w:rPr>
                      <w:rFonts w:hint="eastAsia" w:eastAsia="宋体"/>
                      <w:color w:val="000000"/>
                      <w:sz w:val="18"/>
                      <w:szCs w:val="21"/>
                      <w:lang w:val="en-US" w:eastAsia="zh-CN"/>
                    </w:rPr>
                  </w:pPr>
                  <w:r>
                    <w:rPr>
                      <w:rFonts w:hint="eastAsia"/>
                      <w:color w:val="000000"/>
                      <w:sz w:val="18"/>
                      <w:szCs w:val="21"/>
                      <w:lang w:eastAsia="zh-CN"/>
                    </w:rPr>
                    <w:t>位于挤出车间内</w:t>
                  </w:r>
                </w:p>
              </w:tc>
            </w:tr>
            <w:tr w14:paraId="30B930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0" w:type="dxa"/>
                  <w:vMerge w:val="continue"/>
                  <w:vAlign w:val="center"/>
                </w:tcPr>
                <w:p w14:paraId="78550BE8">
                  <w:pPr>
                    <w:jc w:val="center"/>
                    <w:rPr>
                      <w:color w:val="000000"/>
                      <w:sz w:val="18"/>
                      <w:szCs w:val="21"/>
                    </w:rPr>
                  </w:pPr>
                </w:p>
              </w:tc>
              <w:tc>
                <w:tcPr>
                  <w:tcW w:w="1432" w:type="dxa"/>
                  <w:gridSpan w:val="2"/>
                  <w:tcBorders>
                    <w:bottom w:val="single" w:color="auto" w:sz="4" w:space="0"/>
                  </w:tcBorders>
                  <w:vAlign w:val="center"/>
                </w:tcPr>
                <w:p w14:paraId="12B710C6">
                  <w:pPr>
                    <w:jc w:val="center"/>
                    <w:rPr>
                      <w:color w:val="000000"/>
                      <w:sz w:val="18"/>
                      <w:szCs w:val="21"/>
                    </w:rPr>
                  </w:pPr>
                  <w:r>
                    <w:rPr>
                      <w:rFonts w:hint="eastAsia"/>
                      <w:color w:val="000000"/>
                      <w:sz w:val="18"/>
                      <w:szCs w:val="21"/>
                    </w:rPr>
                    <w:t>运输</w:t>
                  </w:r>
                </w:p>
              </w:tc>
              <w:tc>
                <w:tcPr>
                  <w:tcW w:w="3636" w:type="dxa"/>
                  <w:gridSpan w:val="2"/>
                  <w:tcBorders>
                    <w:bottom w:val="single" w:color="auto" w:sz="4" w:space="0"/>
                  </w:tcBorders>
                  <w:vAlign w:val="center"/>
                </w:tcPr>
                <w:p w14:paraId="140B48E2">
                  <w:pPr>
                    <w:jc w:val="center"/>
                    <w:rPr>
                      <w:color w:val="000000"/>
                      <w:sz w:val="18"/>
                      <w:szCs w:val="21"/>
                    </w:rPr>
                  </w:pPr>
                  <w:r>
                    <w:rPr>
                      <w:rFonts w:hint="eastAsia"/>
                      <w:color w:val="000000"/>
                      <w:sz w:val="18"/>
                      <w:szCs w:val="21"/>
                    </w:rPr>
                    <w:t>项目原料采用汽运方式运至厂区；企业自备叉车用于厂内运输</w:t>
                  </w:r>
                </w:p>
              </w:tc>
              <w:tc>
                <w:tcPr>
                  <w:tcW w:w="2751" w:type="dxa"/>
                  <w:vAlign w:val="center"/>
                </w:tcPr>
                <w:p w14:paraId="0FF7CE7C">
                  <w:pPr>
                    <w:jc w:val="center"/>
                    <w:rPr>
                      <w:color w:val="000000"/>
                      <w:sz w:val="18"/>
                      <w:szCs w:val="21"/>
                    </w:rPr>
                  </w:pPr>
                  <w:r>
                    <w:rPr>
                      <w:rFonts w:hint="eastAsia"/>
                      <w:color w:val="000000"/>
                      <w:sz w:val="18"/>
                      <w:szCs w:val="21"/>
                    </w:rPr>
                    <w:t>原料及产品运输委外运输</w:t>
                  </w:r>
                </w:p>
              </w:tc>
            </w:tr>
            <w:tr w14:paraId="7F4DD2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40" w:type="dxa"/>
                  <w:vMerge w:val="restart"/>
                  <w:vAlign w:val="center"/>
                </w:tcPr>
                <w:p w14:paraId="4B80ED92">
                  <w:pPr>
                    <w:jc w:val="center"/>
                    <w:rPr>
                      <w:color w:val="000000"/>
                      <w:sz w:val="18"/>
                      <w:szCs w:val="21"/>
                    </w:rPr>
                  </w:pPr>
                  <w:r>
                    <w:rPr>
                      <w:rFonts w:hint="eastAsia"/>
                      <w:color w:val="000000"/>
                      <w:sz w:val="18"/>
                      <w:szCs w:val="21"/>
                    </w:rPr>
                    <w:t>公用工程</w:t>
                  </w:r>
                </w:p>
              </w:tc>
              <w:tc>
                <w:tcPr>
                  <w:tcW w:w="1432" w:type="dxa"/>
                  <w:gridSpan w:val="2"/>
                  <w:vAlign w:val="center"/>
                </w:tcPr>
                <w:p w14:paraId="2C26E410">
                  <w:pPr>
                    <w:jc w:val="center"/>
                    <w:rPr>
                      <w:color w:val="000000"/>
                      <w:sz w:val="18"/>
                      <w:szCs w:val="21"/>
                    </w:rPr>
                  </w:pPr>
                  <w:r>
                    <w:rPr>
                      <w:color w:val="000000"/>
                      <w:sz w:val="18"/>
                      <w:szCs w:val="21"/>
                    </w:rPr>
                    <w:t>供水</w:t>
                  </w:r>
                </w:p>
              </w:tc>
              <w:tc>
                <w:tcPr>
                  <w:tcW w:w="3636" w:type="dxa"/>
                  <w:gridSpan w:val="2"/>
                  <w:vAlign w:val="center"/>
                </w:tcPr>
                <w:p w14:paraId="6B081479">
                  <w:pPr>
                    <w:jc w:val="center"/>
                    <w:rPr>
                      <w:color w:val="auto"/>
                      <w:sz w:val="18"/>
                      <w:szCs w:val="21"/>
                    </w:rPr>
                  </w:pPr>
                  <w:r>
                    <w:rPr>
                      <w:color w:val="auto"/>
                      <w:sz w:val="18"/>
                      <w:szCs w:val="21"/>
                    </w:rPr>
                    <w:t>项目用水量</w:t>
                  </w:r>
                  <w:r>
                    <w:rPr>
                      <w:rFonts w:hint="eastAsia"/>
                      <w:color w:val="auto"/>
                      <w:sz w:val="18"/>
                      <w:szCs w:val="21"/>
                      <w:lang w:val="en-US" w:eastAsia="zh-CN"/>
                    </w:rPr>
                    <w:t>449.2</w:t>
                  </w:r>
                  <w:r>
                    <w:rPr>
                      <w:rFonts w:hint="eastAsia"/>
                      <w:color w:val="auto"/>
                      <w:sz w:val="18"/>
                      <w:szCs w:val="21"/>
                    </w:rPr>
                    <w:t>t/</w:t>
                  </w:r>
                  <w:r>
                    <w:rPr>
                      <w:color w:val="auto"/>
                      <w:sz w:val="18"/>
                      <w:szCs w:val="21"/>
                    </w:rPr>
                    <w:t>a</w:t>
                  </w:r>
                </w:p>
              </w:tc>
              <w:tc>
                <w:tcPr>
                  <w:tcW w:w="2751" w:type="dxa"/>
                  <w:vAlign w:val="center"/>
                </w:tcPr>
                <w:p w14:paraId="30065DEB">
                  <w:pPr>
                    <w:jc w:val="center"/>
                    <w:rPr>
                      <w:color w:val="000000"/>
                      <w:sz w:val="18"/>
                      <w:szCs w:val="21"/>
                    </w:rPr>
                  </w:pPr>
                  <w:r>
                    <w:rPr>
                      <w:color w:val="000000"/>
                      <w:sz w:val="18"/>
                      <w:szCs w:val="21"/>
                    </w:rPr>
                    <w:t>市政管网供给</w:t>
                  </w:r>
                </w:p>
              </w:tc>
            </w:tr>
            <w:tr w14:paraId="343D04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0" w:type="dxa"/>
                  <w:vMerge w:val="continue"/>
                  <w:vAlign w:val="center"/>
                </w:tcPr>
                <w:p w14:paraId="679F67F6">
                  <w:pPr>
                    <w:jc w:val="center"/>
                    <w:rPr>
                      <w:color w:val="000000"/>
                      <w:sz w:val="18"/>
                      <w:szCs w:val="21"/>
                    </w:rPr>
                  </w:pPr>
                </w:p>
              </w:tc>
              <w:tc>
                <w:tcPr>
                  <w:tcW w:w="1432" w:type="dxa"/>
                  <w:gridSpan w:val="2"/>
                  <w:vAlign w:val="center"/>
                </w:tcPr>
                <w:p w14:paraId="696435FC">
                  <w:pPr>
                    <w:jc w:val="center"/>
                    <w:rPr>
                      <w:color w:val="000000"/>
                      <w:sz w:val="18"/>
                      <w:szCs w:val="21"/>
                    </w:rPr>
                  </w:pPr>
                  <w:r>
                    <w:rPr>
                      <w:rFonts w:hint="eastAsia"/>
                      <w:color w:val="000000"/>
                      <w:sz w:val="18"/>
                      <w:szCs w:val="21"/>
                    </w:rPr>
                    <w:t>排水</w:t>
                  </w:r>
                </w:p>
              </w:tc>
              <w:tc>
                <w:tcPr>
                  <w:tcW w:w="3636" w:type="dxa"/>
                  <w:gridSpan w:val="2"/>
                  <w:vAlign w:val="center"/>
                </w:tcPr>
                <w:p w14:paraId="4477FAC9">
                  <w:pPr>
                    <w:jc w:val="center"/>
                    <w:rPr>
                      <w:color w:val="auto"/>
                      <w:sz w:val="18"/>
                      <w:szCs w:val="21"/>
                    </w:rPr>
                  </w:pPr>
                  <w:r>
                    <w:rPr>
                      <w:color w:val="auto"/>
                      <w:sz w:val="18"/>
                      <w:szCs w:val="21"/>
                    </w:rPr>
                    <w:t>项目</w:t>
                  </w:r>
                  <w:r>
                    <w:rPr>
                      <w:rFonts w:hint="eastAsia"/>
                      <w:color w:val="auto"/>
                      <w:sz w:val="18"/>
                      <w:szCs w:val="21"/>
                    </w:rPr>
                    <w:t>污水排</w:t>
                  </w:r>
                  <w:r>
                    <w:rPr>
                      <w:color w:val="auto"/>
                      <w:sz w:val="18"/>
                      <w:szCs w:val="21"/>
                    </w:rPr>
                    <w:t>水量</w:t>
                  </w:r>
                  <w:r>
                    <w:rPr>
                      <w:rFonts w:hint="eastAsia"/>
                      <w:color w:val="auto"/>
                      <w:sz w:val="18"/>
                      <w:szCs w:val="21"/>
                      <w:lang w:val="en-US" w:eastAsia="zh-CN"/>
                    </w:rPr>
                    <w:t>340</w:t>
                  </w:r>
                  <w:r>
                    <w:rPr>
                      <w:color w:val="auto"/>
                      <w:sz w:val="18"/>
                      <w:szCs w:val="21"/>
                    </w:rPr>
                    <w:t>t</w:t>
                  </w:r>
                  <w:r>
                    <w:rPr>
                      <w:rFonts w:hint="eastAsia"/>
                      <w:color w:val="auto"/>
                      <w:sz w:val="18"/>
                      <w:szCs w:val="21"/>
                    </w:rPr>
                    <w:t>/</w:t>
                  </w:r>
                  <w:r>
                    <w:rPr>
                      <w:color w:val="auto"/>
                      <w:sz w:val="18"/>
                      <w:szCs w:val="21"/>
                    </w:rPr>
                    <w:t>a</w:t>
                  </w:r>
                </w:p>
              </w:tc>
              <w:tc>
                <w:tcPr>
                  <w:tcW w:w="2751" w:type="dxa"/>
                  <w:vAlign w:val="center"/>
                </w:tcPr>
                <w:p w14:paraId="49DCBC9F">
                  <w:pPr>
                    <w:jc w:val="center"/>
                    <w:rPr>
                      <w:rFonts w:hint="eastAsia" w:eastAsia="宋体"/>
                      <w:color w:val="000000"/>
                      <w:sz w:val="18"/>
                      <w:szCs w:val="21"/>
                      <w:lang w:val="en-US" w:eastAsia="zh-CN"/>
                    </w:rPr>
                  </w:pPr>
                  <w:r>
                    <w:rPr>
                      <w:rFonts w:hint="eastAsia"/>
                      <w:color w:val="000000"/>
                      <w:sz w:val="18"/>
                      <w:szCs w:val="21"/>
                      <w:lang w:eastAsia="zh-CN"/>
                    </w:rPr>
                    <w:t>由槽罐车拖运至南通市东港污水处理有限公司处理</w:t>
                  </w:r>
                </w:p>
              </w:tc>
            </w:tr>
            <w:tr w14:paraId="221AFA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0" w:type="dxa"/>
                  <w:vMerge w:val="continue"/>
                  <w:vAlign w:val="center"/>
                </w:tcPr>
                <w:p w14:paraId="23D5A862">
                  <w:pPr>
                    <w:jc w:val="center"/>
                    <w:rPr>
                      <w:color w:val="000000"/>
                      <w:sz w:val="18"/>
                      <w:szCs w:val="21"/>
                    </w:rPr>
                  </w:pPr>
                </w:p>
              </w:tc>
              <w:tc>
                <w:tcPr>
                  <w:tcW w:w="1432" w:type="dxa"/>
                  <w:gridSpan w:val="2"/>
                  <w:vAlign w:val="center"/>
                </w:tcPr>
                <w:p w14:paraId="56A98B5F">
                  <w:pPr>
                    <w:jc w:val="center"/>
                    <w:rPr>
                      <w:color w:val="000000"/>
                      <w:sz w:val="18"/>
                      <w:szCs w:val="21"/>
                    </w:rPr>
                  </w:pPr>
                  <w:r>
                    <w:rPr>
                      <w:color w:val="000000"/>
                      <w:sz w:val="18"/>
                      <w:szCs w:val="21"/>
                    </w:rPr>
                    <w:t>供</w:t>
                  </w:r>
                  <w:r>
                    <w:rPr>
                      <w:rFonts w:hint="eastAsia"/>
                      <w:color w:val="000000"/>
                      <w:sz w:val="18"/>
                      <w:szCs w:val="21"/>
                    </w:rPr>
                    <w:t>电</w:t>
                  </w:r>
                </w:p>
              </w:tc>
              <w:tc>
                <w:tcPr>
                  <w:tcW w:w="3636" w:type="dxa"/>
                  <w:gridSpan w:val="2"/>
                  <w:vAlign w:val="center"/>
                </w:tcPr>
                <w:p w14:paraId="41549833">
                  <w:pPr>
                    <w:jc w:val="center"/>
                    <w:rPr>
                      <w:color w:val="000000"/>
                      <w:sz w:val="18"/>
                      <w:szCs w:val="21"/>
                    </w:rPr>
                  </w:pPr>
                  <w:r>
                    <w:rPr>
                      <w:color w:val="000000"/>
                      <w:sz w:val="18"/>
                      <w:szCs w:val="21"/>
                    </w:rPr>
                    <w:t>项目年用电量约</w:t>
                  </w:r>
                  <w:r>
                    <w:rPr>
                      <w:rFonts w:hint="eastAsia"/>
                      <w:color w:val="000000"/>
                      <w:sz w:val="18"/>
                      <w:szCs w:val="21"/>
                      <w:lang w:val="en-US" w:eastAsia="zh-CN"/>
                    </w:rPr>
                    <w:t>2</w:t>
                  </w:r>
                  <w:r>
                    <w:rPr>
                      <w:color w:val="000000"/>
                      <w:sz w:val="18"/>
                      <w:szCs w:val="21"/>
                    </w:rPr>
                    <w:t>0万kw·h</w:t>
                  </w:r>
                </w:p>
              </w:tc>
              <w:tc>
                <w:tcPr>
                  <w:tcW w:w="2751" w:type="dxa"/>
                  <w:vAlign w:val="center"/>
                </w:tcPr>
                <w:p w14:paraId="655FAA73">
                  <w:pPr>
                    <w:jc w:val="center"/>
                    <w:rPr>
                      <w:color w:val="000000"/>
                      <w:sz w:val="18"/>
                      <w:szCs w:val="21"/>
                    </w:rPr>
                  </w:pPr>
                  <w:r>
                    <w:rPr>
                      <w:color w:val="000000"/>
                      <w:sz w:val="18"/>
                      <w:szCs w:val="21"/>
                    </w:rPr>
                    <w:t>市政</w:t>
                  </w:r>
                  <w:r>
                    <w:rPr>
                      <w:rFonts w:hint="eastAsia"/>
                      <w:color w:val="000000"/>
                      <w:sz w:val="18"/>
                      <w:szCs w:val="21"/>
                    </w:rPr>
                    <w:t>电</w:t>
                  </w:r>
                  <w:r>
                    <w:rPr>
                      <w:color w:val="000000"/>
                      <w:sz w:val="18"/>
                      <w:szCs w:val="21"/>
                    </w:rPr>
                    <w:t>网供给</w:t>
                  </w:r>
                </w:p>
              </w:tc>
            </w:tr>
            <w:tr w14:paraId="7A3D01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0" w:type="dxa"/>
                  <w:vMerge w:val="restart"/>
                  <w:tcBorders>
                    <w:top w:val="single" w:color="auto" w:sz="4" w:space="0"/>
                  </w:tcBorders>
                  <w:vAlign w:val="center"/>
                </w:tcPr>
                <w:p w14:paraId="00045E11">
                  <w:pPr>
                    <w:jc w:val="center"/>
                    <w:rPr>
                      <w:color w:val="000000"/>
                      <w:sz w:val="18"/>
                      <w:szCs w:val="21"/>
                    </w:rPr>
                  </w:pPr>
                  <w:r>
                    <w:rPr>
                      <w:color w:val="000000"/>
                      <w:sz w:val="18"/>
                      <w:szCs w:val="21"/>
                    </w:rPr>
                    <w:t>环保</w:t>
                  </w:r>
                </w:p>
                <w:p w14:paraId="42996B32">
                  <w:pPr>
                    <w:jc w:val="center"/>
                    <w:rPr>
                      <w:color w:val="000000"/>
                      <w:sz w:val="18"/>
                      <w:szCs w:val="21"/>
                    </w:rPr>
                  </w:pPr>
                  <w:r>
                    <w:rPr>
                      <w:color w:val="000000"/>
                      <w:sz w:val="18"/>
                      <w:szCs w:val="21"/>
                    </w:rPr>
                    <w:t>工程</w:t>
                  </w:r>
                </w:p>
              </w:tc>
              <w:tc>
                <w:tcPr>
                  <w:tcW w:w="1432" w:type="dxa"/>
                  <w:gridSpan w:val="2"/>
                  <w:vMerge w:val="restart"/>
                  <w:vAlign w:val="center"/>
                </w:tcPr>
                <w:p w14:paraId="12B23FC6">
                  <w:pPr>
                    <w:jc w:val="center"/>
                    <w:rPr>
                      <w:color w:val="000000"/>
                      <w:sz w:val="18"/>
                      <w:szCs w:val="21"/>
                    </w:rPr>
                  </w:pPr>
                  <w:r>
                    <w:rPr>
                      <w:color w:val="000000"/>
                      <w:sz w:val="18"/>
                      <w:szCs w:val="21"/>
                    </w:rPr>
                    <w:t>废水</w:t>
                  </w:r>
                  <w:r>
                    <w:rPr>
                      <w:rFonts w:hint="eastAsia"/>
                      <w:color w:val="000000"/>
                      <w:sz w:val="18"/>
                      <w:szCs w:val="21"/>
                    </w:rPr>
                    <w:t>治理</w:t>
                  </w:r>
                </w:p>
              </w:tc>
              <w:tc>
                <w:tcPr>
                  <w:tcW w:w="1099" w:type="dxa"/>
                  <w:vAlign w:val="center"/>
                </w:tcPr>
                <w:p w14:paraId="5B4551C4">
                  <w:pPr>
                    <w:jc w:val="center"/>
                    <w:rPr>
                      <w:color w:val="000000"/>
                      <w:sz w:val="18"/>
                      <w:szCs w:val="21"/>
                    </w:rPr>
                  </w:pPr>
                  <w:r>
                    <w:rPr>
                      <w:rFonts w:hint="eastAsia"/>
                      <w:color w:val="000000"/>
                      <w:sz w:val="18"/>
                      <w:szCs w:val="21"/>
                    </w:rPr>
                    <w:t>生活污水</w:t>
                  </w:r>
                </w:p>
              </w:tc>
              <w:tc>
                <w:tcPr>
                  <w:tcW w:w="2537" w:type="dxa"/>
                  <w:vAlign w:val="center"/>
                </w:tcPr>
                <w:p w14:paraId="0D5EA6F2">
                  <w:pPr>
                    <w:jc w:val="center"/>
                    <w:rPr>
                      <w:color w:val="000000"/>
                      <w:sz w:val="18"/>
                      <w:szCs w:val="21"/>
                    </w:rPr>
                  </w:pPr>
                  <w:r>
                    <w:rPr>
                      <w:rFonts w:hint="eastAsia"/>
                      <w:color w:val="000000"/>
                      <w:sz w:val="18"/>
                      <w:szCs w:val="21"/>
                    </w:rPr>
                    <w:t>化粪池</w:t>
                  </w:r>
                </w:p>
              </w:tc>
              <w:tc>
                <w:tcPr>
                  <w:tcW w:w="2751" w:type="dxa"/>
                  <w:vMerge w:val="restart"/>
                  <w:vAlign w:val="center"/>
                </w:tcPr>
                <w:p w14:paraId="0337441F">
                  <w:pPr>
                    <w:jc w:val="center"/>
                    <w:rPr>
                      <w:rFonts w:hint="eastAsia" w:eastAsia="宋体"/>
                      <w:color w:val="000000"/>
                      <w:sz w:val="18"/>
                      <w:szCs w:val="21"/>
                      <w:lang w:eastAsia="zh-CN"/>
                    </w:rPr>
                  </w:pPr>
                  <w:r>
                    <w:rPr>
                      <w:rFonts w:hint="eastAsia"/>
                      <w:color w:val="000000"/>
                      <w:sz w:val="18"/>
                      <w:szCs w:val="21"/>
                      <w:lang w:eastAsia="zh-CN"/>
                    </w:rPr>
                    <w:t>由槽罐车拖运至南通市东港污水处理有限公司处理</w:t>
                  </w:r>
                </w:p>
              </w:tc>
            </w:tr>
            <w:tr w14:paraId="5F5B5C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0" w:type="dxa"/>
                  <w:vMerge w:val="continue"/>
                  <w:tcBorders>
                    <w:top w:val="single" w:color="auto" w:sz="4" w:space="0"/>
                  </w:tcBorders>
                  <w:vAlign w:val="center"/>
                </w:tcPr>
                <w:p w14:paraId="1163D441">
                  <w:pPr>
                    <w:jc w:val="center"/>
                    <w:rPr>
                      <w:color w:val="000000"/>
                      <w:sz w:val="18"/>
                      <w:szCs w:val="21"/>
                    </w:rPr>
                  </w:pPr>
                </w:p>
              </w:tc>
              <w:tc>
                <w:tcPr>
                  <w:tcW w:w="1432" w:type="dxa"/>
                  <w:gridSpan w:val="2"/>
                  <w:vMerge w:val="continue"/>
                  <w:vAlign w:val="center"/>
                </w:tcPr>
                <w:p w14:paraId="3DD27A2F">
                  <w:pPr>
                    <w:jc w:val="center"/>
                    <w:rPr>
                      <w:color w:val="000000"/>
                      <w:sz w:val="18"/>
                      <w:szCs w:val="21"/>
                    </w:rPr>
                  </w:pPr>
                </w:p>
              </w:tc>
              <w:tc>
                <w:tcPr>
                  <w:tcW w:w="1099" w:type="dxa"/>
                  <w:vAlign w:val="center"/>
                </w:tcPr>
                <w:p w14:paraId="4EA63C3C">
                  <w:pPr>
                    <w:jc w:val="center"/>
                    <w:rPr>
                      <w:color w:val="000000"/>
                      <w:sz w:val="18"/>
                      <w:szCs w:val="21"/>
                    </w:rPr>
                  </w:pPr>
                  <w:r>
                    <w:rPr>
                      <w:rFonts w:hint="eastAsia"/>
                      <w:color w:val="000000"/>
                      <w:sz w:val="18"/>
                      <w:szCs w:val="21"/>
                      <w:lang w:eastAsia="zh-CN"/>
                    </w:rPr>
                    <w:t>冷却废水</w:t>
                  </w:r>
                </w:p>
              </w:tc>
              <w:tc>
                <w:tcPr>
                  <w:tcW w:w="2537" w:type="dxa"/>
                  <w:vAlign w:val="center"/>
                </w:tcPr>
                <w:p w14:paraId="5A61977F">
                  <w:pPr>
                    <w:jc w:val="center"/>
                    <w:rPr>
                      <w:color w:val="000000"/>
                      <w:sz w:val="18"/>
                      <w:szCs w:val="21"/>
                    </w:rPr>
                  </w:pPr>
                  <w:r>
                    <w:rPr>
                      <w:rFonts w:hint="eastAsia"/>
                      <w:color w:val="000000"/>
                      <w:sz w:val="18"/>
                      <w:szCs w:val="21"/>
                      <w:lang w:eastAsia="zh-CN"/>
                    </w:rPr>
                    <w:t>沉淀池</w:t>
                  </w:r>
                </w:p>
              </w:tc>
              <w:tc>
                <w:tcPr>
                  <w:tcW w:w="2751" w:type="dxa"/>
                  <w:vMerge w:val="continue"/>
                  <w:vAlign w:val="center"/>
                </w:tcPr>
                <w:p w14:paraId="6CFDCAD6">
                  <w:pPr>
                    <w:jc w:val="center"/>
                    <w:rPr>
                      <w:color w:val="000000"/>
                      <w:sz w:val="18"/>
                      <w:szCs w:val="21"/>
                    </w:rPr>
                  </w:pPr>
                </w:p>
              </w:tc>
            </w:tr>
            <w:tr w14:paraId="25CC0D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0" w:type="dxa"/>
                  <w:vMerge w:val="continue"/>
                  <w:vAlign w:val="center"/>
                </w:tcPr>
                <w:p w14:paraId="28C4A5F5">
                  <w:pPr>
                    <w:jc w:val="center"/>
                    <w:rPr>
                      <w:color w:val="000000"/>
                      <w:sz w:val="18"/>
                      <w:szCs w:val="21"/>
                    </w:rPr>
                  </w:pPr>
                </w:p>
              </w:tc>
              <w:tc>
                <w:tcPr>
                  <w:tcW w:w="1432" w:type="dxa"/>
                  <w:gridSpan w:val="2"/>
                  <w:vMerge w:val="restart"/>
                  <w:tcBorders>
                    <w:top w:val="single" w:color="auto" w:sz="4" w:space="0"/>
                  </w:tcBorders>
                  <w:vAlign w:val="center"/>
                </w:tcPr>
                <w:p w14:paraId="0EFC11DE">
                  <w:pPr>
                    <w:jc w:val="center"/>
                    <w:rPr>
                      <w:color w:val="000000"/>
                      <w:sz w:val="18"/>
                      <w:szCs w:val="21"/>
                    </w:rPr>
                  </w:pPr>
                  <w:r>
                    <w:rPr>
                      <w:color w:val="000000"/>
                      <w:sz w:val="18"/>
                      <w:szCs w:val="21"/>
                    </w:rPr>
                    <w:t>废气</w:t>
                  </w:r>
                  <w:r>
                    <w:rPr>
                      <w:rFonts w:hint="eastAsia"/>
                      <w:color w:val="000000"/>
                      <w:sz w:val="18"/>
                      <w:szCs w:val="21"/>
                    </w:rPr>
                    <w:t>治理</w:t>
                  </w:r>
                </w:p>
              </w:tc>
              <w:tc>
                <w:tcPr>
                  <w:tcW w:w="1099" w:type="dxa"/>
                  <w:vAlign w:val="center"/>
                </w:tcPr>
                <w:p w14:paraId="774639F4">
                  <w:pPr>
                    <w:jc w:val="center"/>
                    <w:rPr>
                      <w:color w:val="000000"/>
                      <w:sz w:val="18"/>
                      <w:szCs w:val="21"/>
                    </w:rPr>
                  </w:pPr>
                  <w:r>
                    <w:rPr>
                      <w:rFonts w:hint="eastAsia"/>
                      <w:color w:val="000000"/>
                      <w:sz w:val="18"/>
                      <w:szCs w:val="21"/>
                    </w:rPr>
                    <w:t>非甲烷总烃</w:t>
                  </w:r>
                </w:p>
              </w:tc>
              <w:tc>
                <w:tcPr>
                  <w:tcW w:w="2537" w:type="dxa"/>
                  <w:vAlign w:val="center"/>
                </w:tcPr>
                <w:p w14:paraId="5C2A2A58">
                  <w:pPr>
                    <w:jc w:val="center"/>
                    <w:rPr>
                      <w:bCs/>
                      <w:color w:val="000000"/>
                      <w:sz w:val="18"/>
                      <w:szCs w:val="21"/>
                    </w:rPr>
                  </w:pPr>
                  <w:r>
                    <w:rPr>
                      <w:rFonts w:hint="eastAsia"/>
                      <w:color w:val="000000"/>
                      <w:sz w:val="18"/>
                      <w:szCs w:val="21"/>
                      <w:lang w:eastAsia="zh-CN"/>
                    </w:rPr>
                    <w:t>水喷淋</w:t>
                  </w:r>
                  <w:r>
                    <w:rPr>
                      <w:rFonts w:hint="eastAsia"/>
                      <w:color w:val="000000"/>
                      <w:sz w:val="18"/>
                      <w:szCs w:val="21"/>
                      <w:lang w:val="en-US" w:eastAsia="zh-CN"/>
                    </w:rPr>
                    <w:t>+除雾除湿设施+</w:t>
                  </w:r>
                  <w:r>
                    <w:rPr>
                      <w:rFonts w:hint="eastAsia"/>
                      <w:color w:val="000000"/>
                      <w:sz w:val="18"/>
                      <w:szCs w:val="21"/>
                    </w:rPr>
                    <w:t>二级活性炭吸附装置</w:t>
                  </w:r>
                  <w:r>
                    <w:rPr>
                      <w:rFonts w:hint="eastAsia"/>
                      <w:color w:val="000000"/>
                      <w:sz w:val="18"/>
                      <w:szCs w:val="21"/>
                      <w:lang w:eastAsia="zh-CN"/>
                    </w:rPr>
                    <w:t>（</w:t>
                  </w:r>
                  <w:r>
                    <w:rPr>
                      <w:rFonts w:hint="eastAsia"/>
                      <w:color w:val="000000"/>
                      <w:sz w:val="18"/>
                      <w:szCs w:val="21"/>
                    </w:rPr>
                    <w:t>效率90%</w:t>
                  </w:r>
                  <w:r>
                    <w:rPr>
                      <w:rFonts w:hint="eastAsia"/>
                      <w:color w:val="000000"/>
                      <w:sz w:val="18"/>
                      <w:szCs w:val="21"/>
                      <w:lang w:eastAsia="zh-CN"/>
                    </w:rPr>
                    <w:t>）</w:t>
                  </w:r>
                </w:p>
              </w:tc>
              <w:tc>
                <w:tcPr>
                  <w:tcW w:w="2751" w:type="dxa"/>
                  <w:vMerge w:val="restart"/>
                  <w:vAlign w:val="center"/>
                </w:tcPr>
                <w:p w14:paraId="58A7509A">
                  <w:pPr>
                    <w:jc w:val="center"/>
                    <w:rPr>
                      <w:color w:val="000000"/>
                      <w:sz w:val="18"/>
                      <w:szCs w:val="21"/>
                    </w:rPr>
                  </w:pPr>
                  <w:r>
                    <w:rPr>
                      <w:rFonts w:hint="eastAsia"/>
                      <w:color w:val="000000"/>
                      <w:sz w:val="18"/>
                      <w:szCs w:val="21"/>
                    </w:rPr>
                    <w:t>《合成树脂工业污染物排放标准》（GB31572-2015）</w:t>
                  </w:r>
                  <w:r>
                    <w:rPr>
                      <w:rFonts w:hint="eastAsia"/>
                      <w:color w:val="000000"/>
                      <w:sz w:val="18"/>
                      <w:szCs w:val="21"/>
                      <w:lang w:eastAsia="zh-CN"/>
                    </w:rPr>
                    <w:t>及其修改单</w:t>
                  </w:r>
                </w:p>
              </w:tc>
            </w:tr>
            <w:tr w14:paraId="127981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40" w:type="dxa"/>
                  <w:vMerge w:val="continue"/>
                  <w:vAlign w:val="center"/>
                </w:tcPr>
                <w:p w14:paraId="20325E68">
                  <w:pPr>
                    <w:jc w:val="center"/>
                    <w:rPr>
                      <w:color w:val="000000"/>
                      <w:sz w:val="18"/>
                      <w:szCs w:val="21"/>
                    </w:rPr>
                  </w:pPr>
                </w:p>
              </w:tc>
              <w:tc>
                <w:tcPr>
                  <w:tcW w:w="1432" w:type="dxa"/>
                  <w:gridSpan w:val="2"/>
                  <w:vMerge w:val="continue"/>
                  <w:vAlign w:val="center"/>
                </w:tcPr>
                <w:p w14:paraId="475C7B9F">
                  <w:pPr>
                    <w:jc w:val="center"/>
                    <w:rPr>
                      <w:color w:val="FF0000"/>
                      <w:sz w:val="18"/>
                      <w:szCs w:val="21"/>
                    </w:rPr>
                  </w:pPr>
                </w:p>
              </w:tc>
              <w:tc>
                <w:tcPr>
                  <w:tcW w:w="1099" w:type="dxa"/>
                  <w:vAlign w:val="center"/>
                </w:tcPr>
                <w:p w14:paraId="41FF534F">
                  <w:pPr>
                    <w:jc w:val="center"/>
                    <w:rPr>
                      <w:color w:val="000000"/>
                      <w:sz w:val="18"/>
                      <w:szCs w:val="21"/>
                    </w:rPr>
                  </w:pPr>
                  <w:r>
                    <w:rPr>
                      <w:rFonts w:hint="eastAsia"/>
                      <w:color w:val="000000"/>
                      <w:sz w:val="18"/>
                      <w:szCs w:val="21"/>
                    </w:rPr>
                    <w:t>颗粒物</w:t>
                  </w:r>
                </w:p>
              </w:tc>
              <w:tc>
                <w:tcPr>
                  <w:tcW w:w="2537" w:type="dxa"/>
                  <w:shd w:val="clear" w:color="auto" w:fill="auto"/>
                  <w:vAlign w:val="center"/>
                </w:tcPr>
                <w:p w14:paraId="7B2BE1A6">
                  <w:pPr>
                    <w:jc w:val="center"/>
                    <w:rPr>
                      <w:color w:val="000000"/>
                      <w:sz w:val="18"/>
                      <w:szCs w:val="21"/>
                    </w:rPr>
                  </w:pPr>
                  <w:r>
                    <w:rPr>
                      <w:rFonts w:hint="eastAsia"/>
                      <w:color w:val="000000"/>
                      <w:sz w:val="18"/>
                      <w:szCs w:val="21"/>
                    </w:rPr>
                    <w:t>布袋除尘器</w:t>
                  </w:r>
                  <w:r>
                    <w:rPr>
                      <w:rFonts w:hint="eastAsia"/>
                      <w:color w:val="000000"/>
                      <w:sz w:val="18"/>
                      <w:szCs w:val="21"/>
                      <w:lang w:eastAsia="zh-CN"/>
                    </w:rPr>
                    <w:t>（</w:t>
                  </w:r>
                  <w:r>
                    <w:rPr>
                      <w:rFonts w:hint="eastAsia"/>
                      <w:color w:val="000000"/>
                      <w:sz w:val="18"/>
                      <w:szCs w:val="21"/>
                    </w:rPr>
                    <w:t>效率90%</w:t>
                  </w:r>
                  <w:r>
                    <w:rPr>
                      <w:rFonts w:hint="eastAsia"/>
                      <w:color w:val="000000"/>
                      <w:sz w:val="18"/>
                      <w:szCs w:val="21"/>
                      <w:lang w:eastAsia="zh-CN"/>
                    </w:rPr>
                    <w:t>）</w:t>
                  </w:r>
                </w:p>
              </w:tc>
              <w:tc>
                <w:tcPr>
                  <w:tcW w:w="2751" w:type="dxa"/>
                  <w:vMerge w:val="continue"/>
                  <w:vAlign w:val="center"/>
                </w:tcPr>
                <w:p w14:paraId="5D7CA958">
                  <w:pPr>
                    <w:jc w:val="center"/>
                    <w:rPr>
                      <w:color w:val="000000"/>
                      <w:sz w:val="18"/>
                      <w:szCs w:val="21"/>
                    </w:rPr>
                  </w:pPr>
                </w:p>
              </w:tc>
            </w:tr>
            <w:tr w14:paraId="38B6E5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40" w:type="dxa"/>
                  <w:vMerge w:val="continue"/>
                  <w:vAlign w:val="center"/>
                </w:tcPr>
                <w:p w14:paraId="5A6B6C8A">
                  <w:pPr>
                    <w:jc w:val="center"/>
                    <w:rPr>
                      <w:color w:val="000000"/>
                      <w:sz w:val="18"/>
                      <w:szCs w:val="21"/>
                    </w:rPr>
                  </w:pPr>
                </w:p>
              </w:tc>
              <w:tc>
                <w:tcPr>
                  <w:tcW w:w="1432" w:type="dxa"/>
                  <w:gridSpan w:val="2"/>
                  <w:tcBorders>
                    <w:top w:val="single" w:color="auto" w:sz="4" w:space="0"/>
                  </w:tcBorders>
                  <w:vAlign w:val="center"/>
                </w:tcPr>
                <w:p w14:paraId="662FC911">
                  <w:pPr>
                    <w:jc w:val="center"/>
                    <w:rPr>
                      <w:color w:val="000000"/>
                      <w:sz w:val="18"/>
                      <w:szCs w:val="21"/>
                    </w:rPr>
                  </w:pPr>
                  <w:r>
                    <w:rPr>
                      <w:color w:val="000000"/>
                      <w:sz w:val="18"/>
                      <w:szCs w:val="21"/>
                    </w:rPr>
                    <w:t>噪声</w:t>
                  </w:r>
                  <w:r>
                    <w:rPr>
                      <w:rFonts w:hint="eastAsia"/>
                      <w:color w:val="000000"/>
                      <w:sz w:val="18"/>
                      <w:szCs w:val="21"/>
                    </w:rPr>
                    <w:t>治理</w:t>
                  </w:r>
                </w:p>
              </w:tc>
              <w:tc>
                <w:tcPr>
                  <w:tcW w:w="3636" w:type="dxa"/>
                  <w:gridSpan w:val="2"/>
                  <w:vAlign w:val="center"/>
                </w:tcPr>
                <w:p w14:paraId="52417055">
                  <w:pPr>
                    <w:jc w:val="center"/>
                    <w:rPr>
                      <w:color w:val="000000"/>
                      <w:sz w:val="18"/>
                      <w:szCs w:val="21"/>
                    </w:rPr>
                  </w:pPr>
                  <w:r>
                    <w:rPr>
                      <w:rFonts w:hint="eastAsia"/>
                      <w:bCs/>
                      <w:color w:val="000000"/>
                      <w:sz w:val="18"/>
                      <w:szCs w:val="21"/>
                    </w:rPr>
                    <w:t>设备噪声主要采用减振、隔声等降噪措施，车间设置吸声材料，设备运行时关闭门窗</w:t>
                  </w:r>
                </w:p>
              </w:tc>
              <w:tc>
                <w:tcPr>
                  <w:tcW w:w="2751" w:type="dxa"/>
                  <w:vAlign w:val="center"/>
                </w:tcPr>
                <w:p w14:paraId="337F60F2">
                  <w:pPr>
                    <w:jc w:val="center"/>
                    <w:rPr>
                      <w:bCs/>
                      <w:color w:val="000000"/>
                      <w:sz w:val="18"/>
                      <w:szCs w:val="21"/>
                    </w:rPr>
                  </w:pPr>
                  <w:r>
                    <w:rPr>
                      <w:rFonts w:hint="eastAsia"/>
                      <w:bCs/>
                      <w:color w:val="000000"/>
                      <w:sz w:val="18"/>
                      <w:szCs w:val="21"/>
                    </w:rPr>
                    <w:t>厂界噪声满足《工业企业厂界环境噪声排放标准》（GB12348-2008）</w:t>
                  </w:r>
                  <w:r>
                    <w:rPr>
                      <w:bCs/>
                      <w:color w:val="000000"/>
                      <w:sz w:val="18"/>
                      <w:szCs w:val="21"/>
                    </w:rPr>
                    <w:t>2</w:t>
                  </w:r>
                  <w:r>
                    <w:rPr>
                      <w:rFonts w:hint="eastAsia"/>
                      <w:bCs/>
                      <w:color w:val="000000"/>
                      <w:sz w:val="18"/>
                      <w:szCs w:val="21"/>
                    </w:rPr>
                    <w:t>类标准要求</w:t>
                  </w:r>
                </w:p>
              </w:tc>
            </w:tr>
            <w:tr w14:paraId="40AD26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40" w:type="dxa"/>
                  <w:vMerge w:val="continue"/>
                  <w:vAlign w:val="center"/>
                </w:tcPr>
                <w:p w14:paraId="5B85B113">
                  <w:pPr>
                    <w:jc w:val="center"/>
                    <w:rPr>
                      <w:color w:val="000000"/>
                      <w:sz w:val="18"/>
                      <w:szCs w:val="21"/>
                    </w:rPr>
                  </w:pPr>
                </w:p>
              </w:tc>
              <w:tc>
                <w:tcPr>
                  <w:tcW w:w="741" w:type="dxa"/>
                  <w:vMerge w:val="restart"/>
                  <w:vAlign w:val="center"/>
                </w:tcPr>
                <w:p w14:paraId="32E7042A">
                  <w:pPr>
                    <w:jc w:val="center"/>
                    <w:rPr>
                      <w:color w:val="000000"/>
                      <w:sz w:val="18"/>
                      <w:szCs w:val="21"/>
                    </w:rPr>
                  </w:pPr>
                  <w:r>
                    <w:rPr>
                      <w:color w:val="000000"/>
                      <w:sz w:val="18"/>
                      <w:szCs w:val="21"/>
                    </w:rPr>
                    <w:t>固废</w:t>
                  </w:r>
                  <w:r>
                    <w:rPr>
                      <w:rFonts w:hint="eastAsia"/>
                      <w:color w:val="000000"/>
                      <w:sz w:val="18"/>
                      <w:szCs w:val="21"/>
                    </w:rPr>
                    <w:t>治理</w:t>
                  </w:r>
                </w:p>
              </w:tc>
              <w:tc>
                <w:tcPr>
                  <w:tcW w:w="4327" w:type="dxa"/>
                  <w:gridSpan w:val="3"/>
                  <w:vAlign w:val="center"/>
                </w:tcPr>
                <w:p w14:paraId="63978610">
                  <w:pPr>
                    <w:jc w:val="center"/>
                    <w:rPr>
                      <w:color w:val="000000"/>
                      <w:sz w:val="18"/>
                      <w:szCs w:val="21"/>
                    </w:rPr>
                  </w:pPr>
                  <w:r>
                    <w:rPr>
                      <w:rFonts w:hint="eastAsia"/>
                      <w:color w:val="000000"/>
                      <w:sz w:val="18"/>
                      <w:szCs w:val="21"/>
                    </w:rPr>
                    <w:t>一般固废堆场</w:t>
                  </w:r>
                  <w:r>
                    <w:rPr>
                      <w:rFonts w:hint="eastAsia"/>
                      <w:sz w:val="18"/>
                      <w:szCs w:val="18"/>
                    </w:rPr>
                    <w:t>（规模：</w:t>
                  </w:r>
                  <w:r>
                    <w:rPr>
                      <w:rFonts w:hint="eastAsia"/>
                      <w:sz w:val="18"/>
                      <w:szCs w:val="18"/>
                      <w:lang w:val="en-US" w:eastAsia="zh-CN"/>
                    </w:rPr>
                    <w:t>10</w:t>
                  </w:r>
                  <w:r>
                    <w:rPr>
                      <w:rFonts w:hint="eastAsia"/>
                      <w:sz w:val="18"/>
                      <w:szCs w:val="18"/>
                    </w:rPr>
                    <w:t>m</w:t>
                  </w:r>
                  <w:r>
                    <w:rPr>
                      <w:rFonts w:hint="eastAsia"/>
                      <w:sz w:val="18"/>
                      <w:szCs w:val="18"/>
                      <w:vertAlign w:val="superscript"/>
                    </w:rPr>
                    <w:t>2</w:t>
                  </w:r>
                  <w:r>
                    <w:rPr>
                      <w:rFonts w:hint="eastAsia"/>
                      <w:sz w:val="18"/>
                      <w:szCs w:val="18"/>
                    </w:rPr>
                    <w:t>）</w:t>
                  </w:r>
                </w:p>
              </w:tc>
              <w:tc>
                <w:tcPr>
                  <w:tcW w:w="2751" w:type="dxa"/>
                  <w:vAlign w:val="center"/>
                </w:tcPr>
                <w:p w14:paraId="46FF069A">
                  <w:pPr>
                    <w:jc w:val="center"/>
                    <w:rPr>
                      <w:rFonts w:hint="eastAsia" w:eastAsia="宋体"/>
                      <w:color w:val="000000"/>
                      <w:sz w:val="18"/>
                      <w:szCs w:val="21"/>
                      <w:lang w:eastAsia="zh-CN"/>
                    </w:rPr>
                  </w:pPr>
                  <w:r>
                    <w:rPr>
                      <w:rFonts w:hint="eastAsia"/>
                      <w:color w:val="000000"/>
                      <w:sz w:val="18"/>
                      <w:szCs w:val="21"/>
                      <w:lang w:val="en-US" w:eastAsia="zh-CN"/>
                    </w:rPr>
                    <w:t>新建</w:t>
                  </w:r>
                </w:p>
              </w:tc>
            </w:tr>
            <w:tr w14:paraId="6190E1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0" w:type="dxa"/>
                  <w:vMerge w:val="continue"/>
                  <w:vAlign w:val="center"/>
                </w:tcPr>
                <w:p w14:paraId="4DA22D96">
                  <w:pPr>
                    <w:jc w:val="center"/>
                    <w:rPr>
                      <w:color w:val="000000"/>
                      <w:sz w:val="18"/>
                      <w:szCs w:val="21"/>
                    </w:rPr>
                  </w:pPr>
                </w:p>
              </w:tc>
              <w:tc>
                <w:tcPr>
                  <w:tcW w:w="741" w:type="dxa"/>
                  <w:vMerge w:val="continue"/>
                  <w:vAlign w:val="center"/>
                </w:tcPr>
                <w:p w14:paraId="61BBAB62">
                  <w:pPr>
                    <w:jc w:val="center"/>
                    <w:rPr>
                      <w:color w:val="000000"/>
                      <w:sz w:val="18"/>
                      <w:szCs w:val="21"/>
                    </w:rPr>
                  </w:pPr>
                </w:p>
              </w:tc>
              <w:tc>
                <w:tcPr>
                  <w:tcW w:w="4327" w:type="dxa"/>
                  <w:gridSpan w:val="3"/>
                  <w:vAlign w:val="center"/>
                </w:tcPr>
                <w:p w14:paraId="77AAAAE9">
                  <w:pPr>
                    <w:jc w:val="center"/>
                    <w:rPr>
                      <w:color w:val="000000"/>
                      <w:sz w:val="18"/>
                      <w:szCs w:val="21"/>
                    </w:rPr>
                  </w:pPr>
                  <w:r>
                    <w:rPr>
                      <w:rFonts w:hint="eastAsia"/>
                      <w:color w:val="000000"/>
                      <w:sz w:val="18"/>
                      <w:szCs w:val="21"/>
                    </w:rPr>
                    <w:t>危废暂存间</w:t>
                  </w:r>
                  <w:r>
                    <w:rPr>
                      <w:rFonts w:hint="eastAsia"/>
                      <w:sz w:val="18"/>
                      <w:szCs w:val="18"/>
                    </w:rPr>
                    <w:t>（规模：</w:t>
                  </w:r>
                  <w:r>
                    <w:rPr>
                      <w:rFonts w:hint="eastAsia"/>
                      <w:sz w:val="18"/>
                      <w:szCs w:val="18"/>
                      <w:lang w:val="en-US" w:eastAsia="zh-CN"/>
                    </w:rPr>
                    <w:t>5</w:t>
                  </w:r>
                  <w:r>
                    <w:rPr>
                      <w:rFonts w:hint="eastAsia"/>
                      <w:sz w:val="18"/>
                      <w:szCs w:val="18"/>
                    </w:rPr>
                    <w:t>m</w:t>
                  </w:r>
                  <w:r>
                    <w:rPr>
                      <w:rFonts w:hint="eastAsia"/>
                      <w:sz w:val="18"/>
                      <w:szCs w:val="18"/>
                      <w:vertAlign w:val="superscript"/>
                    </w:rPr>
                    <w:t>2</w:t>
                  </w:r>
                  <w:r>
                    <w:rPr>
                      <w:rFonts w:hint="eastAsia"/>
                      <w:sz w:val="18"/>
                      <w:szCs w:val="18"/>
                    </w:rPr>
                    <w:t>）</w:t>
                  </w:r>
                </w:p>
              </w:tc>
              <w:tc>
                <w:tcPr>
                  <w:tcW w:w="2751" w:type="dxa"/>
                  <w:vAlign w:val="center"/>
                </w:tcPr>
                <w:p w14:paraId="696BA474">
                  <w:pPr>
                    <w:jc w:val="center"/>
                    <w:rPr>
                      <w:rFonts w:hint="eastAsia" w:eastAsia="宋体"/>
                      <w:color w:val="000000"/>
                      <w:sz w:val="18"/>
                      <w:szCs w:val="21"/>
                      <w:lang w:eastAsia="zh-CN"/>
                    </w:rPr>
                  </w:pPr>
                  <w:r>
                    <w:rPr>
                      <w:rFonts w:hint="eastAsia"/>
                      <w:color w:val="000000"/>
                      <w:sz w:val="18"/>
                      <w:szCs w:val="21"/>
                      <w:lang w:eastAsia="zh-CN"/>
                    </w:rPr>
                    <w:t>新建</w:t>
                  </w:r>
                </w:p>
              </w:tc>
            </w:tr>
          </w:tbl>
          <w:p w14:paraId="61C937A3">
            <w:pPr>
              <w:adjustRightInd w:val="0"/>
              <w:snapToGrid w:val="0"/>
              <w:spacing w:line="500" w:lineRule="exact"/>
              <w:ind w:firstLine="420" w:firstLineChars="200"/>
              <w:rPr>
                <w:b w:val="0"/>
                <w:bCs/>
                <w:color w:val="auto"/>
                <w:szCs w:val="21"/>
              </w:rPr>
            </w:pPr>
            <w:r>
              <w:rPr>
                <w:rFonts w:hint="eastAsia"/>
                <w:b w:val="0"/>
                <w:bCs/>
                <w:color w:val="auto"/>
                <w:szCs w:val="21"/>
              </w:rPr>
              <w:t>本项目供电设施、给水管网、雨污水管网</w:t>
            </w:r>
            <w:r>
              <w:rPr>
                <w:rFonts w:hint="eastAsia"/>
                <w:b w:val="0"/>
                <w:bCs/>
                <w:color w:val="auto"/>
                <w:szCs w:val="21"/>
                <w:lang w:eastAsia="zh-CN"/>
              </w:rPr>
              <w:t>已建成，污水排口、雨水排口、化粪池</w:t>
            </w:r>
            <w:r>
              <w:rPr>
                <w:rFonts w:hint="eastAsia"/>
                <w:b w:val="0"/>
                <w:bCs/>
                <w:color w:val="auto"/>
                <w:szCs w:val="21"/>
              </w:rPr>
              <w:t>依托租赁方现有设施，该部分设施责任主体为租赁</w:t>
            </w:r>
            <w:r>
              <w:rPr>
                <w:rFonts w:hint="eastAsia"/>
                <w:lang w:eastAsia="zh-CN"/>
              </w:rPr>
              <w:t>方</w:t>
            </w:r>
            <w:r>
              <w:rPr>
                <w:rFonts w:hint="eastAsia"/>
                <w:b w:val="0"/>
                <w:bCs/>
                <w:color w:val="auto"/>
                <w:szCs w:val="21"/>
              </w:rPr>
              <w:t>江苏鼎中钢业有限公司（负责设施的维护等），</w:t>
            </w:r>
            <w:r>
              <w:rPr>
                <w:rFonts w:hint="eastAsia"/>
                <w:b w:val="0"/>
                <w:bCs/>
                <w:color w:val="auto"/>
                <w:szCs w:val="21"/>
                <w:lang w:eastAsia="zh-CN"/>
              </w:rPr>
              <w:t>事故应急池</w:t>
            </w:r>
            <w:r>
              <w:rPr>
                <w:rFonts w:hint="eastAsia"/>
                <w:b w:val="0"/>
                <w:bCs/>
                <w:color w:val="auto"/>
                <w:szCs w:val="21"/>
              </w:rPr>
              <w:t>责任主体为南通华略高新材料科技有限公司。</w:t>
            </w:r>
          </w:p>
          <w:p w14:paraId="63307A5D">
            <w:pPr>
              <w:adjustRightInd w:val="0"/>
              <w:snapToGrid w:val="0"/>
              <w:spacing w:line="500" w:lineRule="exact"/>
              <w:ind w:firstLine="422" w:firstLineChars="200"/>
              <w:rPr>
                <w:b/>
                <w:color w:val="auto"/>
                <w:szCs w:val="21"/>
              </w:rPr>
            </w:pPr>
            <w:r>
              <w:rPr>
                <w:b/>
                <w:color w:val="auto"/>
                <w:szCs w:val="21"/>
              </w:rPr>
              <w:t>6、劳动制度及定员</w:t>
            </w:r>
          </w:p>
          <w:p w14:paraId="18202D7B">
            <w:pPr>
              <w:adjustRightInd w:val="0"/>
              <w:snapToGrid w:val="0"/>
              <w:spacing w:line="500" w:lineRule="exact"/>
              <w:ind w:firstLine="420" w:firstLineChars="200"/>
              <w:rPr>
                <w:color w:val="auto"/>
                <w:kern w:val="0"/>
                <w:szCs w:val="21"/>
                <w:lang w:bidi="ar"/>
              </w:rPr>
            </w:pPr>
            <w:r>
              <w:rPr>
                <w:bCs/>
                <w:color w:val="auto"/>
                <w:szCs w:val="21"/>
              </w:rPr>
              <w:t>项目年运行</w:t>
            </w:r>
            <w:r>
              <w:rPr>
                <w:rFonts w:hint="eastAsia"/>
                <w:bCs/>
                <w:color w:val="auto"/>
                <w:szCs w:val="21"/>
                <w:lang w:val="en-US" w:eastAsia="zh-CN"/>
              </w:rPr>
              <w:t>300</w:t>
            </w:r>
            <w:r>
              <w:rPr>
                <w:bCs/>
                <w:color w:val="auto"/>
                <w:szCs w:val="21"/>
              </w:rPr>
              <w:t>天，每天</w:t>
            </w:r>
            <w:r>
              <w:rPr>
                <w:rFonts w:hint="eastAsia"/>
                <w:bCs/>
                <w:color w:val="auto"/>
                <w:szCs w:val="21"/>
                <w:lang w:val="en-US" w:eastAsia="zh-CN"/>
              </w:rPr>
              <w:t>1</w:t>
            </w:r>
            <w:r>
              <w:rPr>
                <w:bCs/>
                <w:color w:val="auto"/>
                <w:szCs w:val="21"/>
              </w:rPr>
              <w:t>班，每班工作</w:t>
            </w:r>
            <w:r>
              <w:rPr>
                <w:rFonts w:hint="eastAsia"/>
                <w:bCs/>
                <w:color w:val="auto"/>
                <w:szCs w:val="21"/>
                <w:lang w:val="en-US" w:eastAsia="zh-CN"/>
              </w:rPr>
              <w:t>8</w:t>
            </w:r>
            <w:r>
              <w:rPr>
                <w:bCs/>
                <w:color w:val="auto"/>
                <w:szCs w:val="21"/>
              </w:rPr>
              <w:t>小时。</w:t>
            </w:r>
            <w:r>
              <w:rPr>
                <w:rFonts w:hint="eastAsia"/>
                <w:bCs/>
                <w:color w:val="auto"/>
                <w:szCs w:val="21"/>
              </w:rPr>
              <w:t>项目员工</w:t>
            </w:r>
            <w:r>
              <w:rPr>
                <w:rFonts w:hint="eastAsia"/>
                <w:bCs/>
                <w:color w:val="auto"/>
                <w:szCs w:val="21"/>
                <w:lang w:val="en-US" w:eastAsia="zh-CN"/>
              </w:rPr>
              <w:t>20</w:t>
            </w:r>
            <w:r>
              <w:rPr>
                <w:rFonts w:hint="eastAsia"/>
                <w:bCs/>
                <w:color w:val="auto"/>
                <w:szCs w:val="21"/>
              </w:rPr>
              <w:t>人</w:t>
            </w:r>
            <w:r>
              <w:rPr>
                <w:bCs/>
                <w:color w:val="auto"/>
                <w:szCs w:val="21"/>
              </w:rPr>
              <w:t>，</w:t>
            </w:r>
            <w:r>
              <w:rPr>
                <w:rFonts w:hint="eastAsia"/>
                <w:bCs/>
                <w:color w:val="auto"/>
                <w:szCs w:val="21"/>
                <w:lang w:eastAsia="zh-CN"/>
              </w:rPr>
              <w:t>厂区</w:t>
            </w:r>
            <w:r>
              <w:rPr>
                <w:bCs/>
                <w:color w:val="auto"/>
                <w:szCs w:val="21"/>
              </w:rPr>
              <w:t>提供员工餐饮。</w:t>
            </w:r>
          </w:p>
          <w:p w14:paraId="78608199">
            <w:pPr>
              <w:adjustRightInd w:val="0"/>
              <w:snapToGrid w:val="0"/>
              <w:spacing w:line="500" w:lineRule="exact"/>
              <w:ind w:firstLine="422" w:firstLineChars="200"/>
              <w:rPr>
                <w:b/>
                <w:color w:val="auto"/>
                <w:szCs w:val="21"/>
              </w:rPr>
            </w:pPr>
            <w:r>
              <w:rPr>
                <w:b/>
                <w:color w:val="auto"/>
                <w:szCs w:val="21"/>
              </w:rPr>
              <w:t>7、厂区平面布置</w:t>
            </w:r>
          </w:p>
          <w:p w14:paraId="1EA9D564">
            <w:pPr>
              <w:adjustRightInd w:val="0"/>
              <w:snapToGrid w:val="0"/>
              <w:spacing w:line="500" w:lineRule="exact"/>
              <w:ind w:firstLine="420" w:firstLineChars="200"/>
              <w:rPr>
                <w:bCs/>
                <w:color w:val="auto"/>
                <w:szCs w:val="21"/>
              </w:rPr>
            </w:pPr>
            <w:r>
              <w:rPr>
                <w:rFonts w:hint="eastAsia"/>
                <w:bCs/>
                <w:color w:val="auto"/>
                <w:szCs w:val="21"/>
              </w:rPr>
              <w:t>1）厂内平面布置情况</w:t>
            </w:r>
          </w:p>
          <w:p w14:paraId="0FA7F033">
            <w:pPr>
              <w:widowControl/>
              <w:spacing w:line="500" w:lineRule="exact"/>
              <w:ind w:firstLine="420" w:firstLineChars="200"/>
              <w:jc w:val="left"/>
              <w:rPr>
                <w:bCs/>
                <w:color w:val="auto"/>
                <w:szCs w:val="21"/>
              </w:rPr>
            </w:pPr>
            <w:r>
              <w:rPr>
                <w:bCs/>
                <w:color w:val="auto"/>
                <w:szCs w:val="21"/>
              </w:rPr>
              <w:t>项目总平面布置做到人货分流。生产车间内根据不同用途划分不同区域，高噪声设备布置于车间中部，纵观厂房的平面布置，各分区的布置规划整齐，既方便内外交通联系，又方便原辅材料和成品的运输，厂区平面布置较合理。本项目厂区平面布置图详见附图三。</w:t>
            </w:r>
          </w:p>
          <w:p w14:paraId="02560BEA">
            <w:pPr>
              <w:adjustRightInd w:val="0"/>
              <w:snapToGrid w:val="0"/>
              <w:spacing w:line="500" w:lineRule="exact"/>
              <w:ind w:firstLine="420" w:firstLineChars="200"/>
              <w:rPr>
                <w:bCs/>
                <w:color w:val="auto"/>
                <w:szCs w:val="21"/>
              </w:rPr>
            </w:pPr>
            <w:r>
              <w:rPr>
                <w:rFonts w:hint="eastAsia"/>
                <w:bCs/>
                <w:color w:val="auto"/>
                <w:szCs w:val="21"/>
              </w:rPr>
              <w:t>2）周边概况</w:t>
            </w:r>
          </w:p>
          <w:p w14:paraId="2ED37C1D">
            <w:pPr>
              <w:adjustRightInd w:val="0"/>
              <w:snapToGrid w:val="0"/>
              <w:spacing w:line="500" w:lineRule="exact"/>
              <w:ind w:firstLine="420" w:firstLineChars="200"/>
              <w:rPr>
                <w:color w:val="auto"/>
                <w:szCs w:val="21"/>
              </w:rPr>
            </w:pPr>
            <w:r>
              <w:rPr>
                <w:color w:val="auto"/>
                <w:szCs w:val="21"/>
              </w:rPr>
              <w:t>项目位于</w:t>
            </w:r>
            <w:r>
              <w:rPr>
                <w:rFonts w:hint="eastAsia"/>
                <w:color w:val="auto"/>
                <w:kern w:val="0"/>
                <w:szCs w:val="21"/>
              </w:rPr>
              <w:t>南通市通州区刘桥镇蒋一村十五组</w:t>
            </w:r>
            <w:r>
              <w:rPr>
                <w:color w:val="auto"/>
                <w:szCs w:val="21"/>
              </w:rPr>
              <w:t>，</w:t>
            </w:r>
            <w:r>
              <w:rPr>
                <w:rFonts w:hint="eastAsia"/>
                <w:color w:val="auto"/>
                <w:szCs w:val="21"/>
                <w:lang w:eastAsia="zh-CN"/>
              </w:rPr>
              <w:t>租赁</w:t>
            </w:r>
            <w:r>
              <w:rPr>
                <w:rFonts w:hint="eastAsia"/>
                <w:b w:val="0"/>
                <w:bCs/>
                <w:color w:val="auto"/>
                <w:szCs w:val="21"/>
              </w:rPr>
              <w:t>江苏鼎中钢业有限公司</w:t>
            </w:r>
            <w:r>
              <w:rPr>
                <w:rFonts w:hint="eastAsia"/>
                <w:b w:val="0"/>
                <w:bCs/>
                <w:color w:val="auto"/>
                <w:szCs w:val="21"/>
                <w:lang w:eastAsia="zh-CN"/>
              </w:rPr>
              <w:t>厂房</w:t>
            </w:r>
            <w:r>
              <w:rPr>
                <w:rFonts w:hint="eastAsia"/>
                <w:b w:val="0"/>
                <w:bCs/>
                <w:color w:val="auto"/>
                <w:szCs w:val="21"/>
                <w:lang w:val="en-US" w:eastAsia="zh-CN"/>
              </w:rPr>
              <w:t>，项目北侧为九圩港，南侧为向阳布业，东侧为闲置厂房，西侧为南通鸿峰钢业有限公司。</w:t>
            </w:r>
          </w:p>
          <w:p w14:paraId="6BD30202">
            <w:pPr>
              <w:adjustRightInd w:val="0"/>
              <w:snapToGrid w:val="0"/>
              <w:spacing w:line="500" w:lineRule="exact"/>
              <w:ind w:firstLine="422" w:firstLineChars="200"/>
              <w:rPr>
                <w:b/>
                <w:color w:val="auto"/>
                <w:szCs w:val="21"/>
              </w:rPr>
            </w:pPr>
            <w:r>
              <w:rPr>
                <w:rFonts w:hint="eastAsia"/>
                <w:b/>
                <w:color w:val="auto"/>
                <w:szCs w:val="21"/>
              </w:rPr>
              <w:t>8</w:t>
            </w:r>
            <w:r>
              <w:rPr>
                <w:b/>
                <w:color w:val="auto"/>
                <w:szCs w:val="21"/>
              </w:rPr>
              <w:t>、水平衡分析</w:t>
            </w:r>
          </w:p>
          <w:p w14:paraId="365DE362">
            <w:pPr>
              <w:adjustRightInd w:val="0"/>
              <w:snapToGrid w:val="0"/>
              <w:spacing w:line="500" w:lineRule="exact"/>
              <w:ind w:firstLine="420" w:firstLineChars="200"/>
              <w:rPr>
                <w:rFonts w:hint="eastAsia" w:eastAsia="宋体"/>
                <w:bCs/>
                <w:color w:val="auto"/>
                <w:szCs w:val="21"/>
                <w:lang w:eastAsia="zh-CN"/>
              </w:rPr>
            </w:pPr>
            <w:r>
              <w:rPr>
                <w:rFonts w:hint="eastAsia"/>
                <w:bCs/>
                <w:color w:val="auto"/>
                <w:szCs w:val="21"/>
              </w:rPr>
              <w:t>项目用水由市政供水供给，总用水量为</w:t>
            </w:r>
            <w:r>
              <w:rPr>
                <w:rFonts w:hint="eastAsia"/>
                <w:bCs/>
                <w:color w:val="auto"/>
                <w:szCs w:val="21"/>
                <w:lang w:val="en-US" w:eastAsia="zh-CN"/>
              </w:rPr>
              <w:t>449.2</w:t>
            </w:r>
            <w:r>
              <w:rPr>
                <w:rFonts w:hint="eastAsia"/>
                <w:bCs/>
                <w:color w:val="auto"/>
                <w:szCs w:val="21"/>
              </w:rPr>
              <w:t>t/a。项目营运期用水主要为生活用水。</w:t>
            </w:r>
            <w:r>
              <w:rPr>
                <w:rFonts w:hint="eastAsia"/>
                <w:bCs/>
                <w:color w:val="auto"/>
                <w:szCs w:val="21"/>
                <w:lang w:eastAsia="zh-CN"/>
              </w:rPr>
              <w:t>项目地面不进行冲洗，只进行简单清扫。</w:t>
            </w:r>
          </w:p>
          <w:p w14:paraId="34B55CC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20" w:firstLineChars="200"/>
              <w:textAlignment w:val="auto"/>
              <w:rPr>
                <w:rFonts w:hint="eastAsia"/>
                <w:bCs/>
                <w:color w:val="auto"/>
                <w:szCs w:val="21"/>
              </w:rPr>
            </w:pPr>
            <w:r>
              <w:rPr>
                <w:rFonts w:hint="eastAsia"/>
                <w:bCs/>
                <w:color w:val="auto"/>
                <w:szCs w:val="21"/>
                <w:lang w:eastAsia="zh-CN"/>
              </w:rPr>
              <w:t>（</w:t>
            </w:r>
            <w:r>
              <w:rPr>
                <w:rFonts w:hint="eastAsia"/>
                <w:bCs/>
                <w:color w:val="auto"/>
                <w:szCs w:val="21"/>
                <w:lang w:val="en-US" w:eastAsia="zh-CN"/>
              </w:rPr>
              <w:t>1</w:t>
            </w:r>
            <w:r>
              <w:rPr>
                <w:rFonts w:hint="eastAsia"/>
                <w:bCs/>
                <w:color w:val="auto"/>
                <w:szCs w:val="21"/>
                <w:lang w:eastAsia="zh-CN"/>
              </w:rPr>
              <w:t>）</w:t>
            </w:r>
            <w:r>
              <w:rPr>
                <w:rFonts w:hint="eastAsia"/>
                <w:bCs/>
                <w:color w:val="auto"/>
                <w:szCs w:val="21"/>
              </w:rPr>
              <w:t>生活用水：项目员工</w:t>
            </w:r>
            <w:r>
              <w:rPr>
                <w:rFonts w:hint="eastAsia"/>
                <w:bCs/>
                <w:color w:val="auto"/>
                <w:szCs w:val="21"/>
                <w:lang w:val="en-US" w:eastAsia="zh-CN"/>
              </w:rPr>
              <w:t>20</w:t>
            </w:r>
            <w:r>
              <w:rPr>
                <w:rFonts w:hint="eastAsia"/>
                <w:bCs/>
                <w:color w:val="auto"/>
                <w:szCs w:val="21"/>
              </w:rPr>
              <w:t>人。根据《建筑给水排水设计标准》（GB50015-2019），车间工人的日常生活用水定额采用30</w:t>
            </w:r>
            <w:r>
              <w:rPr>
                <w:rFonts w:hint="eastAsia"/>
                <w:bCs/>
                <w:color w:val="auto"/>
                <w:szCs w:val="21"/>
                <w:lang w:eastAsia="zh-CN"/>
              </w:rPr>
              <w:t>—</w:t>
            </w:r>
            <w:r>
              <w:rPr>
                <w:rFonts w:hint="eastAsia"/>
                <w:bCs/>
                <w:color w:val="auto"/>
                <w:szCs w:val="21"/>
              </w:rPr>
              <w:t>50L/人，本次环评按50L/d</w:t>
            </w:r>
            <w:r>
              <w:rPr>
                <w:rFonts w:hint="eastAsia" w:ascii="微软雅黑" w:hAnsi="微软雅黑" w:eastAsia="微软雅黑" w:cs="微软雅黑"/>
                <w:bCs/>
                <w:color w:val="auto"/>
                <w:szCs w:val="21"/>
              </w:rPr>
              <w:t>•</w:t>
            </w:r>
            <w:r>
              <w:rPr>
                <w:rFonts w:hint="eastAsia"/>
                <w:bCs/>
                <w:color w:val="auto"/>
                <w:szCs w:val="21"/>
              </w:rPr>
              <w:t>人计，项目年运行</w:t>
            </w:r>
            <w:r>
              <w:rPr>
                <w:rFonts w:hint="eastAsia"/>
                <w:bCs/>
                <w:color w:val="auto"/>
                <w:szCs w:val="21"/>
                <w:lang w:val="en-US" w:eastAsia="zh-CN"/>
              </w:rPr>
              <w:t>300</w:t>
            </w:r>
            <w:r>
              <w:rPr>
                <w:rFonts w:hint="eastAsia"/>
                <w:bCs/>
                <w:color w:val="auto"/>
                <w:szCs w:val="21"/>
              </w:rPr>
              <w:t>天，则需要生活用水</w:t>
            </w:r>
            <w:r>
              <w:rPr>
                <w:rFonts w:hint="eastAsia"/>
                <w:bCs/>
                <w:color w:val="auto"/>
                <w:szCs w:val="21"/>
                <w:lang w:val="en-US" w:eastAsia="zh-CN"/>
              </w:rPr>
              <w:t>300</w:t>
            </w:r>
            <w:r>
              <w:rPr>
                <w:rFonts w:hint="eastAsia"/>
                <w:bCs/>
                <w:color w:val="auto"/>
                <w:szCs w:val="21"/>
              </w:rPr>
              <w:t>t/a，产污系数按照0.8计算，则产生的生活污水</w:t>
            </w:r>
            <w:r>
              <w:rPr>
                <w:rFonts w:hint="eastAsia"/>
                <w:bCs/>
                <w:color w:val="auto"/>
                <w:szCs w:val="21"/>
                <w:lang w:val="en-US" w:eastAsia="zh-CN"/>
              </w:rPr>
              <w:t>240</w:t>
            </w:r>
            <w:r>
              <w:rPr>
                <w:rFonts w:hint="eastAsia"/>
                <w:bCs/>
                <w:color w:val="auto"/>
                <w:szCs w:val="21"/>
              </w:rPr>
              <w:t>t/a。</w:t>
            </w:r>
          </w:p>
          <w:p w14:paraId="49B40C3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20" w:firstLineChars="200"/>
              <w:textAlignment w:val="auto"/>
              <w:rPr>
                <w:rFonts w:hint="eastAsia"/>
                <w:bCs/>
                <w:color w:val="auto"/>
                <w:szCs w:val="21"/>
                <w:lang w:eastAsia="zh-CN"/>
              </w:rPr>
            </w:pPr>
            <w:r>
              <w:rPr>
                <w:rFonts w:hint="eastAsia"/>
                <w:bCs/>
                <w:color w:val="auto"/>
                <w:szCs w:val="21"/>
                <w:lang w:eastAsia="zh-CN"/>
              </w:rPr>
              <w:t>（</w:t>
            </w:r>
            <w:r>
              <w:rPr>
                <w:rFonts w:hint="eastAsia"/>
                <w:bCs/>
                <w:color w:val="auto"/>
                <w:szCs w:val="21"/>
                <w:lang w:val="en-US" w:eastAsia="zh-CN"/>
              </w:rPr>
              <w:t>2</w:t>
            </w:r>
            <w:r>
              <w:rPr>
                <w:rFonts w:hint="eastAsia"/>
                <w:bCs/>
                <w:color w:val="auto"/>
                <w:szCs w:val="21"/>
                <w:lang w:eastAsia="zh-CN"/>
              </w:rPr>
              <w:t>）循环冷却水：项目挤出的料条冷却水进行直接冷却，为保持冷却效果，冷却槽采用补水、排水方式，排水进入循环冷却水水池，冷却水通过沉淀池沉淀后循环使用，冷却池大小为</w:t>
            </w:r>
            <w:r>
              <w:rPr>
                <w:rFonts w:hint="eastAsia"/>
                <w:bCs/>
                <w:color w:val="auto"/>
                <w:szCs w:val="21"/>
                <w:lang w:val="en-US" w:eastAsia="zh-CN"/>
              </w:rPr>
              <w:t>5</w:t>
            </w:r>
            <w:r>
              <w:rPr>
                <w:rFonts w:hint="eastAsia"/>
                <w:bCs/>
                <w:color w:val="auto"/>
                <w:szCs w:val="21"/>
                <w:lang w:eastAsia="zh-CN"/>
              </w:rPr>
              <w:t>0m</w:t>
            </w:r>
            <w:r>
              <w:rPr>
                <w:rFonts w:hint="eastAsia"/>
                <w:bCs/>
                <w:color w:val="auto"/>
                <w:szCs w:val="21"/>
                <w:vertAlign w:val="superscript"/>
                <w:lang w:eastAsia="zh-CN"/>
              </w:rPr>
              <w:t>3</w:t>
            </w:r>
            <w:r>
              <w:rPr>
                <w:rFonts w:hint="eastAsia"/>
                <w:bCs/>
                <w:color w:val="auto"/>
                <w:szCs w:val="21"/>
                <w:lang w:eastAsia="zh-CN"/>
              </w:rPr>
              <w:t>，项目配备一个冷却槽大小为2m×1m×1m，经蒸发损耗及物料带走，需定期补充，损耗量约为5%，即0.1t/d，</w:t>
            </w:r>
            <w:r>
              <w:rPr>
                <w:rFonts w:hint="eastAsia"/>
                <w:bCs/>
                <w:color w:val="auto"/>
                <w:szCs w:val="21"/>
                <w:lang w:val="en-US" w:eastAsia="zh-CN"/>
              </w:rPr>
              <w:t>30</w:t>
            </w:r>
            <w:r>
              <w:rPr>
                <w:rFonts w:hint="eastAsia"/>
                <w:bCs/>
                <w:color w:val="auto"/>
                <w:szCs w:val="21"/>
                <w:lang w:eastAsia="zh-CN"/>
              </w:rPr>
              <w:t>t/a，直接冷却水定期更换，每半年更换一次，年排放量</w:t>
            </w:r>
            <w:r>
              <w:rPr>
                <w:rFonts w:hint="eastAsia"/>
                <w:bCs/>
                <w:color w:val="auto"/>
                <w:szCs w:val="21"/>
                <w:lang w:val="en-US" w:eastAsia="zh-CN"/>
              </w:rPr>
              <w:t>100</w:t>
            </w:r>
            <w:r>
              <w:rPr>
                <w:rFonts w:hint="eastAsia"/>
                <w:bCs/>
                <w:color w:val="auto"/>
                <w:szCs w:val="21"/>
                <w:lang w:eastAsia="zh-CN"/>
              </w:rPr>
              <w:t>t/a，则共需补充新鲜水</w:t>
            </w:r>
            <w:r>
              <w:rPr>
                <w:rFonts w:hint="eastAsia"/>
                <w:bCs/>
                <w:color w:val="auto"/>
                <w:szCs w:val="21"/>
                <w:lang w:val="en-US" w:eastAsia="zh-CN"/>
              </w:rPr>
              <w:t>130</w:t>
            </w:r>
            <w:r>
              <w:rPr>
                <w:rFonts w:hint="eastAsia"/>
                <w:bCs/>
                <w:color w:val="auto"/>
                <w:szCs w:val="21"/>
                <w:lang w:eastAsia="zh-CN"/>
              </w:rPr>
              <w:t>t/a。托运至排入南通市东港排水有限公司。</w:t>
            </w:r>
          </w:p>
          <w:p w14:paraId="79D0FED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20" w:firstLineChars="200"/>
              <w:textAlignment w:val="auto"/>
              <w:rPr>
                <w:rFonts w:hint="default"/>
                <w:bCs/>
                <w:color w:val="auto"/>
                <w:szCs w:val="21"/>
                <w:vertAlign w:val="baseline"/>
                <w:lang w:val="en-US" w:eastAsia="zh-CN"/>
              </w:rPr>
            </w:pPr>
            <w:r>
              <w:rPr>
                <w:rFonts w:hint="eastAsia"/>
                <w:bCs/>
                <w:color w:val="auto"/>
                <w:szCs w:val="21"/>
                <w:lang w:val="en-US" w:eastAsia="zh-CN"/>
              </w:rPr>
              <w:t>（3）喷淋用水：项目拟设</w:t>
            </w:r>
            <w:r>
              <w:rPr>
                <w:rFonts w:hint="default"/>
                <w:bCs/>
                <w:color w:val="auto"/>
                <w:szCs w:val="21"/>
                <w:lang w:val="en-US" w:eastAsia="zh-CN"/>
              </w:rPr>
              <w:t>1</w:t>
            </w:r>
            <w:r>
              <w:rPr>
                <w:rFonts w:hint="eastAsia"/>
                <w:bCs/>
                <w:color w:val="auto"/>
                <w:szCs w:val="21"/>
                <w:lang w:val="en-US" w:eastAsia="zh-CN"/>
              </w:rPr>
              <w:t>座喷淋塔，喷淋塔水循环利用，由于浓缩、沉淀、蒸发等原因，需要定期补充新鲜水。水喷淋塔配置一个循环池，喷淋塔循环池容积约</w:t>
            </w:r>
            <w:r>
              <w:rPr>
                <w:rFonts w:hint="default"/>
                <w:bCs/>
                <w:color w:val="auto"/>
                <w:szCs w:val="21"/>
                <w:lang w:val="en-US" w:eastAsia="zh-CN"/>
              </w:rPr>
              <w:t>1m</w:t>
            </w:r>
            <w:r>
              <w:rPr>
                <w:rFonts w:hint="default"/>
                <w:bCs/>
                <w:color w:val="auto"/>
                <w:szCs w:val="21"/>
                <w:vertAlign w:val="superscript"/>
                <w:lang w:val="en-US" w:eastAsia="zh-CN"/>
              </w:rPr>
              <w:t>3</w:t>
            </w:r>
            <w:r>
              <w:rPr>
                <w:rFonts w:hint="eastAsia"/>
                <w:bCs/>
                <w:color w:val="auto"/>
                <w:szCs w:val="21"/>
                <w:lang w:val="en-US" w:eastAsia="zh-CN"/>
              </w:rPr>
              <w:t>。喷淋塔循环池实际有效水量为循环池的</w:t>
            </w:r>
            <w:r>
              <w:rPr>
                <w:rFonts w:hint="default"/>
                <w:bCs/>
                <w:color w:val="auto"/>
                <w:szCs w:val="21"/>
                <w:lang w:val="en-US" w:eastAsia="zh-CN"/>
              </w:rPr>
              <w:t>80%</w:t>
            </w:r>
            <w:r>
              <w:rPr>
                <w:rFonts w:hint="eastAsia"/>
                <w:bCs/>
                <w:color w:val="auto"/>
                <w:szCs w:val="21"/>
                <w:lang w:val="en-US" w:eastAsia="zh-CN"/>
              </w:rPr>
              <w:t>，即为</w:t>
            </w:r>
            <w:r>
              <w:rPr>
                <w:rFonts w:hint="default"/>
                <w:bCs/>
                <w:color w:val="auto"/>
                <w:szCs w:val="21"/>
                <w:lang w:val="en-US" w:eastAsia="zh-CN"/>
              </w:rPr>
              <w:t>0.8m</w:t>
            </w:r>
            <w:r>
              <w:rPr>
                <w:rFonts w:hint="default"/>
                <w:bCs/>
                <w:color w:val="auto"/>
                <w:szCs w:val="21"/>
                <w:vertAlign w:val="superscript"/>
                <w:lang w:val="en-US" w:eastAsia="zh-CN"/>
              </w:rPr>
              <w:t>3</w:t>
            </w:r>
            <w:r>
              <w:rPr>
                <w:rFonts w:hint="eastAsia"/>
                <w:bCs/>
                <w:color w:val="auto"/>
                <w:szCs w:val="21"/>
                <w:lang w:val="en-US" w:eastAsia="zh-CN"/>
              </w:rPr>
              <w:t>，每小时循环水量为</w:t>
            </w:r>
            <w:r>
              <w:rPr>
                <w:rFonts w:hint="default"/>
                <w:bCs/>
                <w:color w:val="auto"/>
                <w:szCs w:val="21"/>
                <w:lang w:val="en-US" w:eastAsia="zh-CN"/>
              </w:rPr>
              <w:t>8m</w:t>
            </w:r>
            <w:r>
              <w:rPr>
                <w:rFonts w:hint="default"/>
                <w:bCs/>
                <w:color w:val="auto"/>
                <w:szCs w:val="21"/>
                <w:vertAlign w:val="superscript"/>
                <w:lang w:val="en-US" w:eastAsia="zh-CN"/>
              </w:rPr>
              <w:t>3</w:t>
            </w:r>
            <w:r>
              <w:rPr>
                <w:rFonts w:hint="eastAsia"/>
                <w:bCs/>
                <w:color w:val="auto"/>
                <w:szCs w:val="21"/>
                <w:lang w:val="en-US" w:eastAsia="zh-CN"/>
              </w:rPr>
              <w:t>，项目每天运营</w:t>
            </w:r>
            <w:r>
              <w:rPr>
                <w:rFonts w:hint="default"/>
                <w:bCs/>
                <w:color w:val="auto"/>
                <w:szCs w:val="21"/>
                <w:lang w:val="en-US" w:eastAsia="zh-CN"/>
              </w:rPr>
              <w:t>8</w:t>
            </w:r>
            <w:r>
              <w:rPr>
                <w:rFonts w:hint="eastAsia"/>
                <w:bCs/>
                <w:color w:val="auto"/>
                <w:szCs w:val="21"/>
                <w:lang w:val="en-US" w:eastAsia="zh-CN"/>
              </w:rPr>
              <w:t>小时，年工作日为</w:t>
            </w:r>
            <w:r>
              <w:rPr>
                <w:rFonts w:hint="default"/>
                <w:bCs/>
                <w:color w:val="auto"/>
                <w:szCs w:val="21"/>
                <w:lang w:val="en-US" w:eastAsia="zh-CN"/>
              </w:rPr>
              <w:t>300</w:t>
            </w:r>
            <w:r>
              <w:rPr>
                <w:rFonts w:hint="eastAsia"/>
                <w:bCs/>
                <w:color w:val="auto"/>
                <w:szCs w:val="21"/>
                <w:lang w:val="en-US" w:eastAsia="zh-CN"/>
              </w:rPr>
              <w:t>天。项目喷淋塔拟设置的参数液气比为</w:t>
            </w:r>
            <w:r>
              <w:rPr>
                <w:rFonts w:hint="default"/>
                <w:bCs/>
                <w:color w:val="auto"/>
                <w:szCs w:val="21"/>
                <w:lang w:val="en-US" w:eastAsia="zh-CN"/>
              </w:rPr>
              <w:t>0.1-1.0L/m</w:t>
            </w:r>
            <w:r>
              <w:rPr>
                <w:rFonts w:hint="default"/>
                <w:bCs/>
                <w:color w:val="auto"/>
                <w:szCs w:val="21"/>
                <w:vertAlign w:val="superscript"/>
                <w:lang w:val="en-US" w:eastAsia="zh-CN"/>
              </w:rPr>
              <w:t>3</w:t>
            </w:r>
            <w:r>
              <w:rPr>
                <w:rFonts w:hint="eastAsia"/>
                <w:bCs/>
                <w:color w:val="auto"/>
                <w:szCs w:val="21"/>
                <w:lang w:val="en-US" w:eastAsia="zh-CN"/>
              </w:rPr>
              <w:t>，本评价按其最大值</w:t>
            </w:r>
            <w:r>
              <w:rPr>
                <w:rFonts w:hint="default"/>
                <w:bCs/>
                <w:color w:val="auto"/>
                <w:szCs w:val="21"/>
                <w:lang w:val="en-US" w:eastAsia="zh-CN"/>
              </w:rPr>
              <w:t>1.0L/m</w:t>
            </w:r>
            <w:r>
              <w:rPr>
                <w:rFonts w:hint="default"/>
                <w:bCs/>
                <w:color w:val="auto"/>
                <w:szCs w:val="21"/>
                <w:vertAlign w:val="superscript"/>
                <w:lang w:val="en-US" w:eastAsia="zh-CN"/>
              </w:rPr>
              <w:t>3</w:t>
            </w:r>
            <w:r>
              <w:rPr>
                <w:rFonts w:hint="eastAsia"/>
                <w:bCs/>
                <w:color w:val="auto"/>
                <w:szCs w:val="21"/>
                <w:lang w:val="en-US" w:eastAsia="zh-CN"/>
              </w:rPr>
              <w:t>计算，由废气源强计算可知，项目拟设置的风量为7</w:t>
            </w:r>
            <w:r>
              <w:rPr>
                <w:rFonts w:hint="default"/>
                <w:bCs/>
                <w:color w:val="auto"/>
                <w:szCs w:val="21"/>
                <w:lang w:val="en-US" w:eastAsia="zh-CN"/>
              </w:rPr>
              <w:t>000m</w:t>
            </w:r>
            <w:r>
              <w:rPr>
                <w:rFonts w:hint="default"/>
                <w:bCs/>
                <w:color w:val="auto"/>
                <w:szCs w:val="21"/>
                <w:vertAlign w:val="superscript"/>
                <w:lang w:val="en-US" w:eastAsia="zh-CN"/>
              </w:rPr>
              <w:t>3</w:t>
            </w:r>
            <w:r>
              <w:rPr>
                <w:rFonts w:hint="default"/>
                <w:bCs/>
                <w:color w:val="auto"/>
                <w:szCs w:val="21"/>
                <w:lang w:val="en-US" w:eastAsia="zh-CN"/>
              </w:rPr>
              <w:t>/h</w:t>
            </w:r>
            <w:r>
              <w:rPr>
                <w:rFonts w:hint="eastAsia"/>
                <w:bCs/>
                <w:color w:val="auto"/>
                <w:szCs w:val="21"/>
                <w:lang w:val="en-US" w:eastAsia="zh-CN"/>
              </w:rPr>
              <w:t>，则可计算出项目需设置的喷淋塔循环水泵流量为7</w:t>
            </w:r>
            <w:r>
              <w:rPr>
                <w:rFonts w:hint="default"/>
                <w:bCs/>
                <w:color w:val="auto"/>
                <w:szCs w:val="21"/>
                <w:lang w:val="en-US" w:eastAsia="zh-CN"/>
              </w:rPr>
              <w:t>000/1.0/1000=</w:t>
            </w:r>
            <w:r>
              <w:rPr>
                <w:rFonts w:hint="eastAsia"/>
                <w:bCs/>
                <w:color w:val="auto"/>
                <w:szCs w:val="21"/>
                <w:lang w:val="en-US" w:eastAsia="zh-CN"/>
              </w:rPr>
              <w:t>7</w:t>
            </w:r>
            <w:r>
              <w:rPr>
                <w:rFonts w:hint="default"/>
                <w:bCs/>
                <w:color w:val="auto"/>
                <w:szCs w:val="21"/>
                <w:lang w:val="en-US" w:eastAsia="zh-CN"/>
              </w:rPr>
              <w:t>m</w:t>
            </w:r>
            <w:r>
              <w:rPr>
                <w:rFonts w:hint="default"/>
                <w:bCs/>
                <w:color w:val="auto"/>
                <w:szCs w:val="21"/>
                <w:vertAlign w:val="superscript"/>
                <w:lang w:val="en-US" w:eastAsia="zh-CN"/>
              </w:rPr>
              <w:t>3</w:t>
            </w:r>
            <w:r>
              <w:rPr>
                <w:rFonts w:hint="default"/>
                <w:bCs/>
                <w:color w:val="auto"/>
                <w:szCs w:val="21"/>
                <w:lang w:val="en-US" w:eastAsia="zh-CN"/>
              </w:rPr>
              <w:t>/h</w:t>
            </w:r>
            <w:r>
              <w:rPr>
                <w:rFonts w:hint="eastAsia"/>
                <w:bCs/>
                <w:color w:val="auto"/>
                <w:szCs w:val="21"/>
                <w:lang w:val="en-US" w:eastAsia="zh-CN"/>
              </w:rPr>
              <w:t>，则循环水量为7</w:t>
            </w:r>
            <w:r>
              <w:rPr>
                <w:rFonts w:hint="default"/>
                <w:bCs/>
                <w:color w:val="auto"/>
                <w:szCs w:val="21"/>
                <w:lang w:val="en-US" w:eastAsia="zh-CN"/>
              </w:rPr>
              <w:t>*8*300=</w:t>
            </w:r>
            <w:r>
              <w:rPr>
                <w:rFonts w:hint="eastAsia"/>
                <w:bCs/>
                <w:color w:val="auto"/>
                <w:szCs w:val="21"/>
                <w:lang w:val="en-US" w:eastAsia="zh-CN"/>
              </w:rPr>
              <w:t>168</w:t>
            </w:r>
            <w:r>
              <w:rPr>
                <w:rFonts w:hint="default"/>
                <w:bCs/>
                <w:color w:val="auto"/>
                <w:szCs w:val="21"/>
                <w:lang w:val="en-US" w:eastAsia="zh-CN"/>
              </w:rPr>
              <w:t>00m</w:t>
            </w:r>
            <w:r>
              <w:rPr>
                <w:rFonts w:hint="default"/>
                <w:bCs/>
                <w:color w:val="auto"/>
                <w:szCs w:val="21"/>
                <w:vertAlign w:val="superscript"/>
                <w:lang w:val="en-US" w:eastAsia="zh-CN"/>
              </w:rPr>
              <w:t>3</w:t>
            </w:r>
            <w:r>
              <w:rPr>
                <w:rFonts w:hint="default"/>
                <w:bCs/>
                <w:color w:val="auto"/>
                <w:szCs w:val="21"/>
                <w:lang w:val="en-US" w:eastAsia="zh-CN"/>
              </w:rPr>
              <w:t>/a</w:t>
            </w:r>
            <w:r>
              <w:rPr>
                <w:rFonts w:hint="eastAsia"/>
                <w:bCs/>
                <w:color w:val="auto"/>
                <w:szCs w:val="21"/>
                <w:lang w:val="en-US" w:eastAsia="zh-CN"/>
              </w:rPr>
              <w:t>。由于蒸发作用，需定期对喷淋设备添加新鲜水，参考《工业循环冷却水处理设计规范》（</w:t>
            </w:r>
            <w:r>
              <w:rPr>
                <w:rFonts w:hint="default"/>
                <w:bCs/>
                <w:color w:val="auto"/>
                <w:szCs w:val="21"/>
                <w:lang w:val="en-US" w:eastAsia="zh-CN"/>
              </w:rPr>
              <w:t>GB/T50050-2017</w:t>
            </w:r>
            <w:r>
              <w:rPr>
                <w:rFonts w:hint="eastAsia"/>
                <w:bCs/>
                <w:color w:val="auto"/>
                <w:szCs w:val="21"/>
                <w:lang w:val="en-US" w:eastAsia="zh-CN"/>
              </w:rPr>
              <w:t>）中冷却塔闭式循环系统补水量不大于</w:t>
            </w:r>
            <w:r>
              <w:rPr>
                <w:rFonts w:hint="default"/>
                <w:bCs/>
                <w:color w:val="auto"/>
                <w:szCs w:val="21"/>
                <w:lang w:val="en-US" w:eastAsia="zh-CN"/>
              </w:rPr>
              <w:t>0.1%</w:t>
            </w:r>
            <w:r>
              <w:rPr>
                <w:rFonts w:hint="eastAsia"/>
                <w:bCs/>
                <w:color w:val="auto"/>
                <w:szCs w:val="21"/>
                <w:lang w:val="en-US" w:eastAsia="zh-CN"/>
              </w:rPr>
              <w:t>，则喷淋设备每年需补充损耗168</w:t>
            </w:r>
            <w:r>
              <w:rPr>
                <w:rFonts w:hint="default"/>
                <w:bCs/>
                <w:color w:val="auto"/>
                <w:szCs w:val="21"/>
                <w:lang w:val="en-US" w:eastAsia="zh-CN"/>
              </w:rPr>
              <w:t>00*0.001=</w:t>
            </w:r>
            <w:r>
              <w:rPr>
                <w:rFonts w:hint="eastAsia"/>
                <w:bCs/>
                <w:color w:val="auto"/>
                <w:szCs w:val="21"/>
                <w:lang w:val="en-US" w:eastAsia="zh-CN"/>
              </w:rPr>
              <w:t>16.8</w:t>
            </w:r>
            <w:r>
              <w:rPr>
                <w:rFonts w:hint="default"/>
                <w:bCs/>
                <w:color w:val="auto"/>
                <w:szCs w:val="21"/>
                <w:lang w:val="en-US" w:eastAsia="zh-CN"/>
              </w:rPr>
              <w:t>t/a</w:t>
            </w:r>
            <w:r>
              <w:rPr>
                <w:rFonts w:hint="eastAsia"/>
                <w:bCs/>
                <w:color w:val="auto"/>
                <w:szCs w:val="21"/>
                <w:lang w:val="en-US" w:eastAsia="zh-CN"/>
              </w:rPr>
              <w:t>。喷淋用水对水质要求不高，用水可循环使用，由于本项目水喷淋主要为处理有机废气，且可能有少量有机废气溶于水中，喷淋用水循环时间较长会导致浊度等不断提高，因此建设单位需喷淋循环水每</w:t>
            </w:r>
            <w:r>
              <w:rPr>
                <w:rFonts w:hint="default"/>
                <w:bCs/>
                <w:color w:val="auto"/>
                <w:szCs w:val="21"/>
                <w:lang w:val="en-US" w:eastAsia="zh-CN"/>
              </w:rPr>
              <w:t>4</w:t>
            </w:r>
            <w:r>
              <w:rPr>
                <w:rFonts w:hint="eastAsia"/>
                <w:bCs/>
                <w:color w:val="auto"/>
                <w:szCs w:val="21"/>
                <w:lang w:val="en-US" w:eastAsia="zh-CN"/>
              </w:rPr>
              <w:t>个月进行定期更换，每年</w:t>
            </w:r>
            <w:r>
              <w:rPr>
                <w:rFonts w:hint="default"/>
                <w:bCs/>
                <w:color w:val="auto"/>
                <w:szCs w:val="21"/>
                <w:lang w:val="en-US" w:eastAsia="zh-CN"/>
              </w:rPr>
              <w:t>12</w:t>
            </w:r>
            <w:r>
              <w:rPr>
                <w:rFonts w:hint="eastAsia"/>
                <w:bCs/>
                <w:color w:val="auto"/>
                <w:szCs w:val="21"/>
                <w:lang w:val="en-US" w:eastAsia="zh-CN"/>
              </w:rPr>
              <w:t>月计，即年更换</w:t>
            </w:r>
            <w:r>
              <w:rPr>
                <w:rFonts w:hint="default"/>
                <w:bCs/>
                <w:color w:val="auto"/>
                <w:szCs w:val="21"/>
                <w:lang w:val="en-US" w:eastAsia="zh-CN"/>
              </w:rPr>
              <w:t>3</w:t>
            </w:r>
            <w:r>
              <w:rPr>
                <w:rFonts w:hint="eastAsia"/>
                <w:bCs/>
                <w:color w:val="auto"/>
                <w:szCs w:val="21"/>
                <w:lang w:val="en-US" w:eastAsia="zh-CN"/>
              </w:rPr>
              <w:t>次，则每年更换的废水量约</w:t>
            </w:r>
            <w:r>
              <w:rPr>
                <w:rFonts w:hint="default"/>
                <w:bCs/>
                <w:color w:val="auto"/>
                <w:szCs w:val="21"/>
                <w:lang w:val="en-US" w:eastAsia="zh-CN"/>
              </w:rPr>
              <w:t>0.8*3=2.4t/a</w:t>
            </w:r>
            <w:r>
              <w:rPr>
                <w:rFonts w:hint="eastAsia"/>
                <w:bCs/>
                <w:color w:val="auto"/>
                <w:szCs w:val="21"/>
                <w:lang w:val="en-US" w:eastAsia="zh-CN"/>
              </w:rPr>
              <w:t>。本项目的水喷淋主要用来处理颗粒物，且可能沾有少量有机废气，因此建设单位拟将喷淋废水作为危废处置，交由有危废资质单位处置，不外排。即喷淋塔每年共需用水量为16.8</w:t>
            </w:r>
            <w:r>
              <w:rPr>
                <w:rFonts w:hint="default"/>
                <w:bCs/>
                <w:color w:val="auto"/>
                <w:szCs w:val="21"/>
                <w:lang w:val="en-US" w:eastAsia="zh-CN"/>
              </w:rPr>
              <w:t>+2.4=</w:t>
            </w:r>
            <w:r>
              <w:rPr>
                <w:rFonts w:hint="eastAsia"/>
                <w:bCs/>
                <w:color w:val="auto"/>
                <w:szCs w:val="21"/>
                <w:lang w:val="en-US" w:eastAsia="zh-CN"/>
              </w:rPr>
              <w:t>19.2</w:t>
            </w:r>
            <w:r>
              <w:rPr>
                <w:rFonts w:hint="default"/>
                <w:bCs/>
                <w:color w:val="auto"/>
                <w:szCs w:val="21"/>
                <w:lang w:val="en-US" w:eastAsia="zh-CN"/>
              </w:rPr>
              <w:t>t/a</w:t>
            </w:r>
            <w:r>
              <w:rPr>
                <w:rFonts w:hint="eastAsia"/>
                <w:bCs/>
                <w:color w:val="auto"/>
                <w:szCs w:val="21"/>
                <w:lang w:val="en-US" w:eastAsia="zh-CN"/>
              </w:rPr>
              <w:t>。</w:t>
            </w:r>
          </w:p>
          <w:p w14:paraId="48D0694F">
            <w:pPr>
              <w:numPr>
                <w:ilvl w:val="0"/>
                <w:numId w:val="0"/>
              </w:numPr>
              <w:adjustRightInd w:val="0"/>
              <w:snapToGrid w:val="0"/>
              <w:spacing w:line="500" w:lineRule="exact"/>
              <w:ind w:left="606" w:leftChars="0"/>
              <w:rPr>
                <w:bCs/>
                <w:color w:val="auto"/>
                <w:szCs w:val="21"/>
              </w:rPr>
            </w:pPr>
            <w:r>
              <w:rPr>
                <w:rFonts w:hint="eastAsia"/>
                <w:bCs/>
                <w:color w:val="auto"/>
                <w:szCs w:val="21"/>
              </w:rPr>
              <w:t>项目水平衡图见图2-1。</w:t>
            </w:r>
          </w:p>
          <w:p w14:paraId="735FE4C0">
            <w:pPr>
              <w:widowControl/>
              <w:spacing w:line="360" w:lineRule="auto"/>
              <w:jc w:val="center"/>
              <w:rPr>
                <w:lang w:val="zh-CN"/>
              </w:rPr>
            </w:pPr>
            <w:r>
              <w:drawing>
                <wp:inline distT="0" distB="0" distL="114300" distR="114300">
                  <wp:extent cx="5443220" cy="2658110"/>
                  <wp:effectExtent l="0" t="0" r="5080" b="889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7"/>
                          <a:stretch>
                            <a:fillRect/>
                          </a:stretch>
                        </pic:blipFill>
                        <pic:spPr>
                          <a:xfrm>
                            <a:off x="0" y="0"/>
                            <a:ext cx="5443220" cy="2658110"/>
                          </a:xfrm>
                          <a:prstGeom prst="rect">
                            <a:avLst/>
                          </a:prstGeom>
                          <a:noFill/>
                          <a:ln>
                            <a:noFill/>
                          </a:ln>
                        </pic:spPr>
                      </pic:pic>
                    </a:graphicData>
                  </a:graphic>
                </wp:inline>
              </w:drawing>
            </w:r>
          </w:p>
          <w:p w14:paraId="6069DC22">
            <w:pPr>
              <w:widowControl/>
              <w:spacing w:line="360" w:lineRule="auto"/>
              <w:jc w:val="center"/>
              <w:rPr>
                <w:rFonts w:eastAsia="黑体"/>
                <w:sz w:val="30"/>
                <w:szCs w:val="30"/>
                <w:vertAlign w:val="baseline"/>
              </w:rPr>
            </w:pPr>
            <w:r>
              <w:rPr>
                <w:b/>
                <w:bCs/>
                <w:color w:val="auto"/>
                <w:lang w:val="zh-CN"/>
              </w:rPr>
              <w:t>图</w:t>
            </w:r>
            <w:r>
              <w:rPr>
                <w:rFonts w:hint="eastAsia"/>
                <w:b/>
                <w:bCs/>
                <w:color w:val="auto"/>
                <w:lang w:val="zh-CN"/>
              </w:rPr>
              <w:t>2</w:t>
            </w:r>
            <w:r>
              <w:rPr>
                <w:b/>
                <w:bCs/>
                <w:color w:val="auto"/>
                <w:lang w:val="zh-CN"/>
              </w:rPr>
              <w:t>-</w:t>
            </w:r>
            <w:r>
              <w:rPr>
                <w:rFonts w:hint="eastAsia"/>
                <w:b/>
                <w:bCs/>
                <w:color w:val="auto"/>
                <w:lang w:val="zh-CN"/>
              </w:rPr>
              <w:t>1</w:t>
            </w:r>
            <w:r>
              <w:rPr>
                <w:b/>
                <w:bCs/>
                <w:color w:val="auto"/>
                <w:lang w:val="zh-CN"/>
              </w:rPr>
              <w:t xml:space="preserve">    项目水平衡图（单位：</w:t>
            </w:r>
            <w:r>
              <w:rPr>
                <w:rFonts w:hint="eastAsia"/>
                <w:b/>
                <w:bCs/>
                <w:color w:val="auto"/>
                <w:lang w:val="zh-CN"/>
              </w:rPr>
              <w:t>t/a）</w:t>
            </w:r>
          </w:p>
        </w:tc>
      </w:tr>
      <w:tr w14:paraId="589B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9" w:hRule="atLeast"/>
        </w:trPr>
        <w:tc>
          <w:tcPr>
            <w:tcW w:w="660" w:type="dxa"/>
            <w:gridSpan w:val="2"/>
            <w:vAlign w:val="center"/>
          </w:tcPr>
          <w:p w14:paraId="7EC97AF9">
            <w:pPr>
              <w:spacing w:line="500" w:lineRule="exact"/>
              <w:jc w:val="center"/>
              <w:rPr>
                <w:color w:val="auto"/>
                <w:spacing w:val="-12"/>
                <w:szCs w:val="21"/>
              </w:rPr>
            </w:pPr>
            <w:r>
              <w:rPr>
                <w:color w:val="auto"/>
                <w:spacing w:val="-24"/>
                <w:szCs w:val="21"/>
              </w:rPr>
              <w:t>工</w:t>
            </w:r>
          </w:p>
          <w:p w14:paraId="6B516727">
            <w:pPr>
              <w:spacing w:line="500" w:lineRule="exact"/>
              <w:jc w:val="center"/>
              <w:rPr>
                <w:color w:val="auto"/>
                <w:sz w:val="28"/>
                <w:szCs w:val="36"/>
              </w:rPr>
            </w:pPr>
            <w:r>
              <w:rPr>
                <w:color w:val="auto"/>
                <w:spacing w:val="-12"/>
                <w:szCs w:val="21"/>
              </w:rPr>
              <w:t>艺 流 程 和 产 排 污 环 节</w:t>
            </w:r>
          </w:p>
        </w:tc>
        <w:tc>
          <w:tcPr>
            <w:tcW w:w="9090" w:type="dxa"/>
            <w:gridSpan w:val="2"/>
          </w:tcPr>
          <w:p w14:paraId="60A8BF98">
            <w:pPr>
              <w:adjustRightInd w:val="0"/>
              <w:snapToGrid w:val="0"/>
              <w:spacing w:line="500" w:lineRule="exact"/>
              <w:ind w:firstLine="422" w:firstLineChars="200"/>
              <w:jc w:val="both"/>
              <w:rPr>
                <w:color w:val="auto"/>
              </w:rPr>
            </w:pPr>
            <w:r>
              <w:rPr>
                <w:rFonts w:hint="eastAsia"/>
                <w:b/>
                <w:bCs/>
                <w:color w:val="auto"/>
              </w:rPr>
              <w:t>一、</w:t>
            </w:r>
            <w:r>
              <w:rPr>
                <w:b/>
                <w:bCs/>
                <w:color w:val="auto"/>
              </w:rPr>
              <w:t>工艺流程图</w:t>
            </w:r>
          </w:p>
          <w:p w14:paraId="2502DD59">
            <w:pPr>
              <w:adjustRightInd w:val="0"/>
              <w:snapToGrid w:val="0"/>
              <w:spacing w:line="500" w:lineRule="exact"/>
              <w:ind w:firstLine="422" w:firstLineChars="200"/>
              <w:jc w:val="both"/>
              <w:rPr>
                <w:color w:val="auto"/>
              </w:rPr>
            </w:pPr>
            <w:r>
              <w:rPr>
                <w:rFonts w:hint="eastAsia"/>
                <w:b/>
                <w:bCs/>
                <w:color w:val="auto"/>
              </w:rPr>
              <w:t>1、营运期工艺流程</w:t>
            </w:r>
          </w:p>
          <w:p w14:paraId="2605744A">
            <w:pPr>
              <w:spacing w:line="500" w:lineRule="exact"/>
              <w:jc w:val="center"/>
              <w:rPr>
                <w:color w:val="auto"/>
                <w:szCs w:val="21"/>
                <w:lang w:val="zh-CN"/>
              </w:rPr>
            </w:pPr>
            <w:r>
              <w:rPr>
                <w:sz w:val="21"/>
              </w:rPr>
              <mc:AlternateContent>
                <mc:Choice Requires="wps">
                  <w:drawing>
                    <wp:anchor distT="0" distB="0" distL="114300" distR="114300" simplePos="0" relativeHeight="251661312" behindDoc="0" locked="0" layoutInCell="1" allowOverlap="1">
                      <wp:simplePos x="0" y="0"/>
                      <wp:positionH relativeFrom="column">
                        <wp:posOffset>788670</wp:posOffset>
                      </wp:positionH>
                      <wp:positionV relativeFrom="paragraph">
                        <wp:posOffset>1713230</wp:posOffset>
                      </wp:positionV>
                      <wp:extent cx="743585" cy="342900"/>
                      <wp:effectExtent l="0" t="0" r="0" b="0"/>
                      <wp:wrapNone/>
                      <wp:docPr id="11" name="文本框 11"/>
                      <wp:cNvGraphicFramePr/>
                      <a:graphic xmlns:a="http://schemas.openxmlformats.org/drawingml/2006/main">
                        <a:graphicData uri="http://schemas.microsoft.com/office/word/2010/wordprocessingShape">
                          <wps:wsp>
                            <wps:cNvSpPr txBox="1"/>
                            <wps:spPr>
                              <a:xfrm>
                                <a:off x="1794510" y="5267325"/>
                                <a:ext cx="743585" cy="342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B7A93">
                                  <w:pPr>
                                    <w:rPr>
                                      <w:rFonts w:hint="eastAsia" w:eastAsia="宋体"/>
                                      <w:sz w:val="18"/>
                                      <w:szCs w:val="21"/>
                                      <w:lang w:eastAsia="zh-CN"/>
                                    </w:rPr>
                                  </w:pPr>
                                  <w:r>
                                    <w:rPr>
                                      <w:rFonts w:hint="eastAsia"/>
                                      <w:sz w:val="18"/>
                                      <w:szCs w:val="21"/>
                                      <w:lang w:eastAsia="zh-CN"/>
                                    </w:rPr>
                                    <w:t>不合格品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1pt;margin-top:134.9pt;height:27pt;width:58.55pt;z-index:251661312;mso-width-relative:page;mso-height-relative:page;" filled="f" stroked="f" coordsize="21600,21600" o:gfxdata="UEsDBAoAAAAAAIdO4kAAAAAAAAAAAAAAAAAEAAAAZHJzL1BLAwQUAAAACACHTuJATVaqNdsAAAAL&#10;AQAADwAAAGRycy9kb3ducmV2LnhtbE2Py07DMBBF90j8gzVI7KgTp1QhjVOhSBUSgkVLN+yceJpE&#10;9SPE7gO+nmFVlldzdOfccnWxhp1wCoN3EtJZAgxd6/XgOgm7j/VDDixE5bQy3qGEbwywqm5vSlVo&#10;f3YbPG1jx6jEhUJJ6GMcC85D26NVYeZHdHTb+8mqSHHquJ7Umcqt4SJJFtyqwdGHXo1Y99getkcr&#10;4bVev6tNI2z+Y+qXt/3z+LX7fJTy/i5NlsAiXuIVhj99UoeKnBp/dDowQ1nMBaESxOKJNhAh5mkG&#10;rJGQiSwHXpX8/4bqF1BLAwQUAAAACACHTuJA3+0u2UkCAABzBAAADgAAAGRycy9lMm9Eb2MueG1s&#10;rVRLbtswEN0X6B0I7hv5Jzs2IgdughQFgiaAW3RNU1QkgL+StKX0AO0Nuuqm+54r5+gjZTtB2kUW&#10;3VBDzuPMvDdDnZ13SpKdcL4xuqDDkwElQnNTNvquoJ8+Xr05pcQHpksmjRYFvReeni9fvzpr7UKM&#10;TG1kKRxBEO0XrS1oHYJdZJnntVDMnxgrNJyVcYoFbN1dVjrWIrqS2WgwmGatcaV1hgvvcXrZO+k+&#10;ontJQFNVDReXhm+V0KGP6oRkAZR83VhPl6naqhI83FSVF4HIgoJpSCuSwN7ENVuescWdY7Zu+L4E&#10;9pISnnFSrNFIegx1yQIjW9f8FUo13BlvqnDCjcp6IkkRsBgOnmmzrpkViQuk9vYouv9/YfmH3a0j&#10;TYlJGFKimULHH358f/j5++HXN4IzCNRavwBubYEM3VvTAXw49ziMvLvKqfgFIxL9s/kkH0Lk+4Lm&#10;o+lsPMp7qUUXCAdgNhnnpzklHIDxZDQfpFZkj4Gs8+GdMIpEo6AOnUwCs921DygK0AMk5tXmqpEy&#10;dVNq0hZ0Os4H6cLRgxtS42Kk05cdrdBtuj3HjSnvQdGZfkq85VcNkl8zH26Zw1iADx5OuMFSSYMk&#10;Zm9RUhv39V/nEY9uwUtJizErqP+yZU5QIt9r9HE+nEziXKbNJJ+NsHFPPZunHr1VFwaTjFahumRG&#10;fJAHs3JGfcb7WsWscDHNkbug4WBehH748T65WK0SCJNoWbjWa8tj6F7O1TaYqklKR5l6bfbqYRZT&#10;A/bvJg77031CPf4r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VaqNdsAAAALAQAADwAAAAAA&#10;AAABACAAAAAiAAAAZHJzL2Rvd25yZXYueG1sUEsBAhQAFAAAAAgAh07iQN/tLtlJAgAAcwQAAA4A&#10;AAAAAAAAAQAgAAAAKgEAAGRycy9lMm9Eb2MueG1sUEsFBgAAAAAGAAYAWQEAAOUFAAAAAA==&#10;">
                      <v:fill on="f" focussize="0,0"/>
                      <v:stroke on="f" weight="0.5pt"/>
                      <v:imagedata o:title=""/>
                      <o:lock v:ext="edit" aspectratio="f"/>
                      <v:textbox>
                        <w:txbxContent>
                          <w:p w14:paraId="21EB7A93">
                            <w:pPr>
                              <w:rPr>
                                <w:rFonts w:hint="eastAsia" w:eastAsia="宋体"/>
                                <w:sz w:val="18"/>
                                <w:szCs w:val="21"/>
                                <w:lang w:eastAsia="zh-CN"/>
                              </w:rPr>
                            </w:pPr>
                            <w:r>
                              <w:rPr>
                                <w:rFonts w:hint="eastAsia"/>
                                <w:sz w:val="18"/>
                                <w:szCs w:val="21"/>
                                <w:lang w:eastAsia="zh-CN"/>
                              </w:rPr>
                              <w:t>不合格品</w:t>
                            </w:r>
                          </w:p>
                        </w:txbxContent>
                      </v:textbox>
                    </v:shape>
                  </w:pict>
                </mc:Fallback>
              </mc:AlternateContent>
            </w:r>
            <w:r>
              <mc:AlternateContent>
                <mc:Choice Requires="wpc">
                  <w:drawing>
                    <wp:anchor distT="0" distB="0" distL="114300" distR="114300" simplePos="0" relativeHeight="251659264" behindDoc="0" locked="0" layoutInCell="1" allowOverlap="1">
                      <wp:simplePos x="0" y="0"/>
                      <wp:positionH relativeFrom="column">
                        <wp:posOffset>130175</wp:posOffset>
                      </wp:positionH>
                      <wp:positionV relativeFrom="paragraph">
                        <wp:posOffset>24130</wp:posOffset>
                      </wp:positionV>
                      <wp:extent cx="5342255" cy="3624580"/>
                      <wp:effectExtent l="0" t="0" r="10795" b="0"/>
                      <wp:wrapTopAndBottom/>
                      <wp:docPr id="87" name="画布 87"/>
                      <wp:cNvGraphicFramePr/>
                      <a:graphic xmlns:a="http://schemas.openxmlformats.org/drawingml/2006/main">
                        <a:graphicData uri="http://schemas.microsoft.com/office/word/2010/wordprocessingCanvas">
                          <wpc:wpc>
                            <wpc:bg>
                              <a:noFill/>
                            </wpc:bg>
                            <wpc:whole>
                              <a:ln>
                                <a:noFill/>
                              </a:ln>
                            </wpc:whole>
                            <wps:wsp>
                              <wps:cNvPr id="4" name="矩形 2"/>
                              <wps:cNvSpPr>
                                <a:spLocks noChangeArrowheads="1"/>
                              </wps:cNvSpPr>
                              <wps:spPr bwMode="auto">
                                <a:xfrm>
                                  <a:off x="1208700" y="1825567"/>
                                  <a:ext cx="742950" cy="295275"/>
                                </a:xfrm>
                                <a:prstGeom prst="rect">
                                  <a:avLst/>
                                </a:prstGeom>
                                <a:noFill/>
                                <a:ln w="12700" algn="ctr">
                                  <a:solidFill>
                                    <a:srgbClr val="000000"/>
                                  </a:solidFill>
                                  <a:miter lim="800000"/>
                                </a:ln>
                              </wps:spPr>
                              <wps:txbx>
                                <w:txbxContent>
                                  <w:p w14:paraId="2F10A9C1">
                                    <w:pPr>
                                      <w:jc w:val="center"/>
                                      <w:rPr>
                                        <w:color w:val="000000"/>
                                      </w:rPr>
                                    </w:pPr>
                                    <w:r>
                                      <w:rPr>
                                        <w:rFonts w:hint="eastAsia"/>
                                        <w:color w:val="000000"/>
                                        <w:szCs w:val="21"/>
                                      </w:rPr>
                                      <w:t>冷却</w:t>
                                    </w:r>
                                  </w:p>
                                </w:txbxContent>
                              </wps:txbx>
                              <wps:bodyPr rot="0" vert="horz" wrap="square" lIns="91440" tIns="45720" rIns="91440" bIns="45720" anchor="ctr" anchorCtr="0" upright="1">
                                <a:noAutofit/>
                              </wps:bodyPr>
                            </wps:wsp>
                            <wps:wsp>
                              <wps:cNvPr id="7" name="直接箭头连接符 3"/>
                              <wps:cNvCnPr>
                                <a:cxnSpLocks noChangeShapeType="1"/>
                              </wps:cNvCnPr>
                              <wps:spPr bwMode="auto">
                                <a:xfrm>
                                  <a:off x="1581150" y="434646"/>
                                  <a:ext cx="0" cy="257175"/>
                                </a:xfrm>
                                <a:prstGeom prst="straightConnector1">
                                  <a:avLst/>
                                </a:prstGeom>
                                <a:noFill/>
                                <a:ln w="6350" algn="ctr">
                                  <a:solidFill>
                                    <a:srgbClr val="000000"/>
                                  </a:solidFill>
                                  <a:miter lim="800000"/>
                                  <a:tailEnd type="triangle" w="med" len="med"/>
                                </a:ln>
                              </wps:spPr>
                              <wps:bodyPr/>
                            </wps:wsp>
                            <wps:wsp>
                              <wps:cNvPr id="8" name="文本框 4"/>
                              <wps:cNvSpPr txBox="1">
                                <a:spLocks noChangeArrowheads="1"/>
                              </wps:cNvSpPr>
                              <wps:spPr bwMode="auto">
                                <a:xfrm>
                                  <a:off x="1287968" y="161925"/>
                                  <a:ext cx="790575" cy="295275"/>
                                </a:xfrm>
                                <a:prstGeom prst="rect">
                                  <a:avLst/>
                                </a:prstGeom>
                                <a:noFill/>
                                <a:ln>
                                  <a:noFill/>
                                </a:ln>
                              </wps:spPr>
                              <wps:txbx>
                                <w:txbxContent>
                                  <w:p w14:paraId="75565929">
                                    <w:r>
                                      <w:rPr>
                                        <w:rFonts w:hint="eastAsia"/>
                                      </w:rPr>
                                      <w:t>原辅料</w:t>
                                    </w:r>
                                  </w:p>
                                </w:txbxContent>
                              </wps:txbx>
                              <wps:bodyPr rot="0" vert="horz" wrap="square" lIns="91440" tIns="45720" rIns="91440" bIns="45720" anchor="t" anchorCtr="0" upright="1">
                                <a:noAutofit/>
                              </wps:bodyPr>
                            </wps:wsp>
                            <wps:wsp>
                              <wps:cNvPr id="17" name="直接箭头连接符 5"/>
                              <wps:cNvCnPr>
                                <a:cxnSpLocks noChangeShapeType="1"/>
                              </wps:cNvCnPr>
                              <wps:spPr bwMode="auto">
                                <a:xfrm>
                                  <a:off x="1608703" y="2140859"/>
                                  <a:ext cx="0" cy="257175"/>
                                </a:xfrm>
                                <a:prstGeom prst="straightConnector1">
                                  <a:avLst/>
                                </a:prstGeom>
                                <a:noFill/>
                                <a:ln w="6350" algn="ctr">
                                  <a:solidFill>
                                    <a:srgbClr val="000000"/>
                                  </a:solidFill>
                                  <a:miter lim="800000"/>
                                  <a:tailEnd type="triangle" w="med" len="med"/>
                                </a:ln>
                              </wps:spPr>
                              <wps:bodyPr/>
                            </wps:wsp>
                            <wps:wsp>
                              <wps:cNvPr id="18" name="矩形 6"/>
                              <wps:cNvSpPr>
                                <a:spLocks noChangeArrowheads="1"/>
                              </wps:cNvSpPr>
                              <wps:spPr bwMode="auto">
                                <a:xfrm>
                                  <a:off x="1208700" y="709900"/>
                                  <a:ext cx="742950" cy="295275"/>
                                </a:xfrm>
                                <a:prstGeom prst="rect">
                                  <a:avLst/>
                                </a:prstGeom>
                                <a:noFill/>
                                <a:ln w="12700" algn="ctr">
                                  <a:solidFill>
                                    <a:srgbClr val="000000"/>
                                  </a:solidFill>
                                  <a:miter lim="800000"/>
                                </a:ln>
                              </wps:spPr>
                              <wps:txbx>
                                <w:txbxContent>
                                  <w:p w14:paraId="408330B3">
                                    <w:pPr>
                                      <w:jc w:val="center"/>
                                      <w:rPr>
                                        <w:kern w:val="0"/>
                                        <w:sz w:val="24"/>
                                      </w:rPr>
                                    </w:pPr>
                                    <w:r>
                                      <w:rPr>
                                        <w:rFonts w:hint="eastAsia"/>
                                        <w:color w:val="000000"/>
                                        <w:szCs w:val="21"/>
                                      </w:rPr>
                                      <w:t>混料</w:t>
                                    </w:r>
                                  </w:p>
                                </w:txbxContent>
                              </wps:txbx>
                              <wps:bodyPr rot="0" vert="horz" wrap="square" lIns="91440" tIns="45720" rIns="91440" bIns="45720" anchor="ctr" anchorCtr="0" upright="1">
                                <a:noAutofit/>
                              </wps:bodyPr>
                            </wps:wsp>
                            <wps:wsp>
                              <wps:cNvPr id="20" name="直接箭头连接符 7"/>
                              <wps:cNvCnPr>
                                <a:cxnSpLocks noChangeShapeType="1"/>
                              </wps:cNvCnPr>
                              <wps:spPr bwMode="auto">
                                <a:xfrm>
                                  <a:off x="1608750" y="2704784"/>
                                  <a:ext cx="0" cy="257175"/>
                                </a:xfrm>
                                <a:prstGeom prst="straightConnector1">
                                  <a:avLst/>
                                </a:prstGeom>
                                <a:noFill/>
                                <a:ln w="6350" algn="ctr">
                                  <a:solidFill>
                                    <a:srgbClr val="000000"/>
                                  </a:solidFill>
                                  <a:miter lim="800000"/>
                                  <a:tailEnd type="triangle" w="med" len="med"/>
                                </a:ln>
                              </wps:spPr>
                              <wps:bodyPr/>
                            </wps:wsp>
                            <wps:wsp>
                              <wps:cNvPr id="21" name="直接箭头连接符 8"/>
                              <wps:cNvCnPr>
                                <a:cxnSpLocks noChangeShapeType="1"/>
                              </wps:cNvCnPr>
                              <wps:spPr bwMode="auto">
                                <a:xfrm>
                                  <a:off x="1581150" y="1005171"/>
                                  <a:ext cx="0" cy="257175"/>
                                </a:xfrm>
                                <a:prstGeom prst="straightConnector1">
                                  <a:avLst/>
                                </a:prstGeom>
                                <a:noFill/>
                                <a:ln w="6350" algn="ctr">
                                  <a:solidFill>
                                    <a:srgbClr val="000000"/>
                                  </a:solidFill>
                                  <a:miter lim="800000"/>
                                  <a:tailEnd type="triangle" w="med" len="med"/>
                                </a:ln>
                              </wps:spPr>
                              <wps:bodyPr/>
                            </wps:wsp>
                            <wps:wsp>
                              <wps:cNvPr id="22" name="矩形 9"/>
                              <wps:cNvSpPr>
                                <a:spLocks noChangeArrowheads="1"/>
                              </wps:cNvSpPr>
                              <wps:spPr bwMode="auto">
                                <a:xfrm>
                                  <a:off x="1218225" y="1271871"/>
                                  <a:ext cx="742950" cy="295275"/>
                                </a:xfrm>
                                <a:prstGeom prst="rect">
                                  <a:avLst/>
                                </a:prstGeom>
                                <a:noFill/>
                                <a:ln w="12700" algn="ctr">
                                  <a:solidFill>
                                    <a:srgbClr val="000000"/>
                                  </a:solidFill>
                                  <a:miter lim="800000"/>
                                </a:ln>
                              </wps:spPr>
                              <wps:txbx>
                                <w:txbxContent>
                                  <w:p w14:paraId="0F4C62E6">
                                    <w:pPr>
                                      <w:jc w:val="center"/>
                                      <w:rPr>
                                        <w:kern w:val="0"/>
                                        <w:sz w:val="24"/>
                                      </w:rPr>
                                    </w:pPr>
                                    <w:r>
                                      <w:rPr>
                                        <w:rFonts w:hint="eastAsia"/>
                                        <w:color w:val="000000"/>
                                        <w:szCs w:val="21"/>
                                      </w:rPr>
                                      <w:t>挤出</w:t>
                                    </w:r>
                                  </w:p>
                                </w:txbxContent>
                              </wps:txbx>
                              <wps:bodyPr rot="0" vert="horz" wrap="square" lIns="91440" tIns="45720" rIns="91440" bIns="45720" anchor="ctr" anchorCtr="0" upright="1">
                                <a:noAutofit/>
                              </wps:bodyPr>
                            </wps:wsp>
                            <wps:wsp>
                              <wps:cNvPr id="23" name="直接箭头连接符 10"/>
                              <wps:cNvCnPr>
                                <a:cxnSpLocks noChangeShapeType="1"/>
                              </wps:cNvCnPr>
                              <wps:spPr bwMode="auto">
                                <a:xfrm>
                                  <a:off x="1597955" y="1576671"/>
                                  <a:ext cx="0" cy="257175"/>
                                </a:xfrm>
                                <a:prstGeom prst="straightConnector1">
                                  <a:avLst/>
                                </a:prstGeom>
                                <a:noFill/>
                                <a:ln w="6350" algn="ctr">
                                  <a:solidFill>
                                    <a:srgbClr val="000000"/>
                                  </a:solidFill>
                                  <a:miter lim="800000"/>
                                  <a:tailEnd type="triangle" w="med" len="med"/>
                                </a:ln>
                              </wps:spPr>
                              <wps:bodyPr/>
                            </wps:wsp>
                            <wps:wsp>
                              <wps:cNvPr id="24" name="矩形 11"/>
                              <wps:cNvSpPr>
                                <a:spLocks noChangeArrowheads="1"/>
                              </wps:cNvSpPr>
                              <wps:spPr bwMode="auto">
                                <a:xfrm>
                                  <a:off x="1208700" y="2398034"/>
                                  <a:ext cx="742950" cy="295275"/>
                                </a:xfrm>
                                <a:prstGeom prst="rect">
                                  <a:avLst/>
                                </a:prstGeom>
                                <a:noFill/>
                                <a:ln w="12700" algn="ctr">
                                  <a:solidFill>
                                    <a:srgbClr val="000000"/>
                                  </a:solidFill>
                                  <a:miter lim="800000"/>
                                </a:ln>
                              </wps:spPr>
                              <wps:txbx>
                                <w:txbxContent>
                                  <w:p w14:paraId="6BF96994">
                                    <w:pPr>
                                      <w:jc w:val="center"/>
                                      <w:rPr>
                                        <w:kern w:val="0"/>
                                        <w:sz w:val="24"/>
                                      </w:rPr>
                                    </w:pPr>
                                    <w:r>
                                      <w:rPr>
                                        <w:rFonts w:hint="eastAsia"/>
                                        <w:color w:val="000000"/>
                                        <w:szCs w:val="21"/>
                                      </w:rPr>
                                      <w:t>切粒</w:t>
                                    </w:r>
                                  </w:p>
                                </w:txbxContent>
                              </wps:txbx>
                              <wps:bodyPr rot="0" vert="horz" wrap="square" lIns="91440" tIns="45720" rIns="91440" bIns="45720" anchor="ctr" anchorCtr="0" upright="1">
                                <a:noAutofit/>
                              </wps:bodyPr>
                            </wps:wsp>
                            <wps:wsp>
                              <wps:cNvPr id="25" name="矩形 12"/>
                              <wps:cNvSpPr>
                                <a:spLocks noChangeArrowheads="1"/>
                              </wps:cNvSpPr>
                              <wps:spPr bwMode="auto">
                                <a:xfrm>
                                  <a:off x="1208700" y="2959642"/>
                                  <a:ext cx="742950" cy="295275"/>
                                </a:xfrm>
                                <a:prstGeom prst="rect">
                                  <a:avLst/>
                                </a:prstGeom>
                                <a:noFill/>
                                <a:ln w="12700" algn="ctr">
                                  <a:solidFill>
                                    <a:srgbClr val="000000"/>
                                  </a:solidFill>
                                  <a:miter lim="800000"/>
                                </a:ln>
                              </wps:spPr>
                              <wps:txbx>
                                <w:txbxContent>
                                  <w:p w14:paraId="3D9B09AD">
                                    <w:pPr>
                                      <w:jc w:val="center"/>
                                      <w:rPr>
                                        <w:rFonts w:hint="eastAsia" w:eastAsia="宋体"/>
                                        <w:kern w:val="0"/>
                                        <w:sz w:val="24"/>
                                        <w:lang w:eastAsia="zh-CN"/>
                                      </w:rPr>
                                    </w:pPr>
                                    <w:r>
                                      <w:rPr>
                                        <w:rFonts w:hint="eastAsia"/>
                                        <w:color w:val="000000"/>
                                        <w:szCs w:val="21"/>
                                        <w:lang w:eastAsia="zh-CN"/>
                                      </w:rPr>
                                      <w:t>包装出厂</w:t>
                                    </w:r>
                                  </w:p>
                                  <w:p w14:paraId="675C58A3">
                                    <w:pPr>
                                      <w:jc w:val="center"/>
                                      <w:rPr>
                                        <w:rFonts w:hint="eastAsia" w:eastAsia="宋体"/>
                                        <w:kern w:val="0"/>
                                        <w:sz w:val="24"/>
                                        <w:lang w:eastAsia="zh-CN"/>
                                      </w:rPr>
                                    </w:pPr>
                                  </w:p>
                                </w:txbxContent>
                              </wps:txbx>
                              <wps:bodyPr rot="0" vert="horz" wrap="square" lIns="91440" tIns="45720" rIns="91440" bIns="45720" anchor="ctr" anchorCtr="0" upright="1">
                                <a:noAutofit/>
                              </wps:bodyPr>
                            </wps:wsp>
                            <wps:wsp>
                              <wps:cNvPr id="26" name="直接箭头连接符 13"/>
                              <wps:cNvCnPr>
                                <a:cxnSpLocks noChangeShapeType="1"/>
                              </wps:cNvCnPr>
                              <wps:spPr bwMode="auto">
                                <a:xfrm>
                                  <a:off x="1961175" y="834696"/>
                                  <a:ext cx="553425" cy="0"/>
                                </a:xfrm>
                                <a:prstGeom prst="straightConnector1">
                                  <a:avLst/>
                                </a:prstGeom>
                                <a:noFill/>
                                <a:ln w="6350" algn="ctr">
                                  <a:solidFill>
                                    <a:srgbClr val="000000"/>
                                  </a:solidFill>
                                  <a:prstDash val="dash"/>
                                  <a:miter lim="800000"/>
                                  <a:tailEnd type="triangle" w="med" len="med"/>
                                </a:ln>
                              </wps:spPr>
                              <wps:bodyPr/>
                            </wps:wsp>
                            <wps:wsp>
                              <wps:cNvPr id="27" name="文本框 4"/>
                              <wps:cNvSpPr txBox="1">
                                <a:spLocks noChangeArrowheads="1"/>
                              </wps:cNvSpPr>
                              <wps:spPr bwMode="auto">
                                <a:xfrm>
                                  <a:off x="2514600" y="691515"/>
                                  <a:ext cx="2534920" cy="504190"/>
                                </a:xfrm>
                                <a:prstGeom prst="rect">
                                  <a:avLst/>
                                </a:prstGeom>
                                <a:noFill/>
                                <a:ln>
                                  <a:noFill/>
                                </a:ln>
                              </wps:spPr>
                              <wps:txbx>
                                <w:txbxContent>
                                  <w:p w14:paraId="72E3933E">
                                    <w:pPr>
                                      <w:rPr>
                                        <w:rFonts w:hint="eastAsia"/>
                                        <w:kern w:val="0"/>
                                        <w:szCs w:val="21"/>
                                        <w:lang w:eastAsia="zh-CN"/>
                                      </w:rPr>
                                    </w:pPr>
                                    <w:r>
                                      <w:rPr>
                                        <w:rFonts w:hint="eastAsia"/>
                                        <w:kern w:val="0"/>
                                        <w:szCs w:val="21"/>
                                      </w:rPr>
                                      <w:t>投料</w:t>
                                    </w:r>
                                    <w:r>
                                      <w:rPr>
                                        <w:kern w:val="0"/>
                                        <w:szCs w:val="21"/>
                                      </w:rPr>
                                      <w:t>废气G</w:t>
                                    </w:r>
                                    <w:r>
                                      <w:rPr>
                                        <w:kern w:val="0"/>
                                        <w:szCs w:val="21"/>
                                        <w:vertAlign w:val="subscript"/>
                                      </w:rPr>
                                      <w:t>1</w:t>
                                    </w:r>
                                    <w:r>
                                      <w:rPr>
                                        <w:rFonts w:hint="eastAsia"/>
                                        <w:kern w:val="0"/>
                                        <w:szCs w:val="21"/>
                                      </w:rPr>
                                      <w:t>、搅拌</w:t>
                                    </w:r>
                                    <w:r>
                                      <w:rPr>
                                        <w:kern w:val="0"/>
                                        <w:szCs w:val="21"/>
                                      </w:rPr>
                                      <w:t>废气G</w:t>
                                    </w:r>
                                    <w:r>
                                      <w:rPr>
                                        <w:kern w:val="0"/>
                                        <w:szCs w:val="21"/>
                                        <w:vertAlign w:val="subscript"/>
                                      </w:rPr>
                                      <w:t>2</w:t>
                                    </w:r>
                                    <w:r>
                                      <w:rPr>
                                        <w:rFonts w:hint="eastAsia"/>
                                        <w:kern w:val="0"/>
                                        <w:szCs w:val="21"/>
                                      </w:rPr>
                                      <w:t>、噪声N</w:t>
                                    </w:r>
                                    <w:r>
                                      <w:rPr>
                                        <w:rFonts w:hint="eastAsia"/>
                                        <w:kern w:val="0"/>
                                        <w:szCs w:val="21"/>
                                        <w:lang w:eastAsia="zh-CN"/>
                                      </w:rPr>
                                      <w:t>、</w:t>
                                    </w:r>
                                  </w:p>
                                  <w:p w14:paraId="00E8121D">
                                    <w:pPr>
                                      <w:rPr>
                                        <w:rFonts w:hint="eastAsia" w:eastAsia="宋体"/>
                                        <w:kern w:val="0"/>
                                        <w:szCs w:val="21"/>
                                        <w:lang w:eastAsia="zh-CN"/>
                                      </w:rPr>
                                    </w:pPr>
                                    <w:r>
                                      <w:rPr>
                                        <w:rFonts w:hint="eastAsia"/>
                                        <w:szCs w:val="21"/>
                                        <w:lang w:eastAsia="zh-CN"/>
                                      </w:rPr>
                                      <w:t>废包装袋</w:t>
                                    </w:r>
                                    <w:r>
                                      <w:rPr>
                                        <w:szCs w:val="21"/>
                                      </w:rPr>
                                      <w:t>S</w:t>
                                    </w:r>
                                    <w:r>
                                      <w:rPr>
                                        <w:szCs w:val="21"/>
                                        <w:vertAlign w:val="subscript"/>
                                      </w:rPr>
                                      <w:t>1</w:t>
                                    </w:r>
                                  </w:p>
                                </w:txbxContent>
                              </wps:txbx>
                              <wps:bodyPr rot="0" vert="horz" wrap="square" lIns="91440" tIns="45720" rIns="91440" bIns="45720" anchor="t" anchorCtr="0" upright="1">
                                <a:noAutofit/>
                              </wps:bodyPr>
                            </wps:wsp>
                            <wps:wsp>
                              <wps:cNvPr id="28" name="直接箭头连接符 15"/>
                              <wps:cNvCnPr>
                                <a:cxnSpLocks noChangeShapeType="1"/>
                              </wps:cNvCnPr>
                              <wps:spPr bwMode="auto">
                                <a:xfrm>
                                  <a:off x="1951650" y="837225"/>
                                  <a:ext cx="553085" cy="0"/>
                                </a:xfrm>
                                <a:prstGeom prst="straightConnector1">
                                  <a:avLst/>
                                </a:prstGeom>
                                <a:noFill/>
                                <a:ln w="6350" algn="ctr">
                                  <a:solidFill>
                                    <a:srgbClr val="000000"/>
                                  </a:solidFill>
                                  <a:prstDash val="dash"/>
                                  <a:miter lim="800000"/>
                                  <a:tailEnd type="triangle" w="med" len="med"/>
                                </a:ln>
                              </wps:spPr>
                              <wps:bodyPr/>
                            </wps:wsp>
                            <wps:wsp>
                              <wps:cNvPr id="29" name="直接箭头连接符 17"/>
                              <wps:cNvCnPr>
                                <a:cxnSpLocks noChangeShapeType="1"/>
                              </wps:cNvCnPr>
                              <wps:spPr bwMode="auto">
                                <a:xfrm>
                                  <a:off x="1961515" y="1433796"/>
                                  <a:ext cx="553085" cy="0"/>
                                </a:xfrm>
                                <a:prstGeom prst="straightConnector1">
                                  <a:avLst/>
                                </a:prstGeom>
                                <a:ln>
                                  <a:prstDash val="dash"/>
                                  <a:tailEnd type="triangle" w="med" len="med"/>
                                </a:ln>
                              </wps:spPr>
                              <wps:style>
                                <a:lnRef idx="1">
                                  <a:schemeClr val="dk1"/>
                                </a:lnRef>
                                <a:fillRef idx="0">
                                  <a:schemeClr val="dk1"/>
                                </a:fillRef>
                                <a:effectRef idx="0">
                                  <a:schemeClr val="dk1"/>
                                </a:effectRef>
                                <a:fontRef idx="minor">
                                  <a:schemeClr val="tx1"/>
                                </a:fontRef>
                              </wps:style>
                              <wps:bodyPr/>
                            </wps:wsp>
                            <wps:wsp>
                              <wps:cNvPr id="30" name="文本框 4"/>
                              <wps:cNvSpPr txBox="1">
                                <a:spLocks noChangeArrowheads="1"/>
                              </wps:cNvSpPr>
                              <wps:spPr bwMode="auto">
                                <a:xfrm>
                                  <a:off x="2533650" y="1290571"/>
                                  <a:ext cx="2333541" cy="367407"/>
                                </a:xfrm>
                                <a:prstGeom prst="rect">
                                  <a:avLst/>
                                </a:prstGeom>
                                <a:noFill/>
                                <a:ln>
                                  <a:noFill/>
                                </a:ln>
                              </wps:spPr>
                              <wps:txbx>
                                <w:txbxContent>
                                  <w:p w14:paraId="459FFB02">
                                    <w:pPr>
                                      <w:rPr>
                                        <w:rFonts w:hint="eastAsia" w:eastAsia="宋体"/>
                                        <w:kern w:val="0"/>
                                        <w:sz w:val="24"/>
                                        <w:lang w:eastAsia="zh-CN"/>
                                      </w:rPr>
                                    </w:pPr>
                                    <w:r>
                                      <w:rPr>
                                        <w:rFonts w:hint="eastAsia"/>
                                        <w:szCs w:val="21"/>
                                      </w:rPr>
                                      <w:t>挤出</w:t>
                                    </w:r>
                                    <w:r>
                                      <w:rPr>
                                        <w:szCs w:val="21"/>
                                      </w:rPr>
                                      <w:t>废气G</w:t>
                                    </w:r>
                                    <w:r>
                                      <w:rPr>
                                        <w:szCs w:val="21"/>
                                        <w:vertAlign w:val="subscript"/>
                                      </w:rPr>
                                      <w:t>3</w:t>
                                    </w:r>
                                    <w:r>
                                      <w:rPr>
                                        <w:rFonts w:hint="eastAsia"/>
                                        <w:szCs w:val="21"/>
                                      </w:rPr>
                                      <w:t>、</w:t>
                                    </w:r>
                                    <w:r>
                                      <w:rPr>
                                        <w:szCs w:val="21"/>
                                      </w:rPr>
                                      <w:t>噪声</w:t>
                                    </w:r>
                                    <w:r>
                                      <w:rPr>
                                        <w:rFonts w:hint="eastAsia"/>
                                        <w:szCs w:val="21"/>
                                      </w:rPr>
                                      <w:t>N</w:t>
                                    </w:r>
                                  </w:p>
                                </w:txbxContent>
                              </wps:txbx>
                              <wps:bodyPr rot="0" vert="horz" wrap="square" lIns="91440" tIns="45720" rIns="91440" bIns="45720" anchor="t" anchorCtr="0" upright="1">
                                <a:noAutofit/>
                              </wps:bodyPr>
                            </wps:wsp>
                            <wps:wsp>
                              <wps:cNvPr id="31" name="矩形 19"/>
                              <wps:cNvSpPr>
                                <a:spLocks noChangeArrowheads="1"/>
                              </wps:cNvSpPr>
                              <wps:spPr bwMode="auto">
                                <a:xfrm>
                                  <a:off x="4286250" y="2586355"/>
                                  <a:ext cx="962025" cy="962025"/>
                                </a:xfrm>
                                <a:prstGeom prst="rect">
                                  <a:avLst/>
                                </a:prstGeom>
                                <a:noFill/>
                                <a:ln w="12700" algn="ctr">
                                  <a:solidFill>
                                    <a:srgbClr val="000000"/>
                                  </a:solidFill>
                                  <a:miter lim="800000"/>
                                </a:ln>
                              </wps:spPr>
                              <wps:bodyPr rot="0" vert="horz" wrap="square" lIns="91440" tIns="45720" rIns="91440" bIns="45720" anchor="ctr" anchorCtr="0" upright="1">
                                <a:noAutofit/>
                              </wps:bodyPr>
                            </wps:wsp>
                            <wps:wsp>
                              <wps:cNvPr id="32" name="文本框 4"/>
                              <wps:cNvSpPr txBox="1">
                                <a:spLocks noChangeArrowheads="1"/>
                              </wps:cNvSpPr>
                              <wps:spPr bwMode="auto">
                                <a:xfrm>
                                  <a:off x="4186555" y="2583180"/>
                                  <a:ext cx="1009650" cy="952500"/>
                                </a:xfrm>
                                <a:prstGeom prst="rect">
                                  <a:avLst/>
                                </a:prstGeom>
                                <a:noFill/>
                                <a:ln>
                                  <a:noFill/>
                                </a:ln>
                              </wps:spPr>
                              <wps:txbx>
                                <w:txbxContent>
                                  <w:p w14:paraId="26CD191C">
                                    <w:pPr>
                                      <w:ind w:firstLine="420" w:firstLineChars="200"/>
                                      <w:rPr>
                                        <w:szCs w:val="21"/>
                                      </w:rPr>
                                    </w:pPr>
                                    <w:r>
                                      <w:rPr>
                                        <w:rFonts w:hint="eastAsia"/>
                                        <w:szCs w:val="21"/>
                                      </w:rPr>
                                      <w:t>图例：</w:t>
                                    </w:r>
                                  </w:p>
                                  <w:p w14:paraId="3CB37F37">
                                    <w:pPr>
                                      <w:ind w:firstLine="420" w:firstLineChars="200"/>
                                      <w:rPr>
                                        <w:szCs w:val="21"/>
                                      </w:rPr>
                                    </w:pPr>
                                    <w:r>
                                      <w:rPr>
                                        <w:rFonts w:hint="eastAsia"/>
                                        <w:szCs w:val="21"/>
                                      </w:rPr>
                                      <w:t>G</w:t>
                                    </w:r>
                                    <w:r>
                                      <w:rPr>
                                        <w:szCs w:val="21"/>
                                      </w:rPr>
                                      <w:t>—</w:t>
                                    </w:r>
                                    <w:r>
                                      <w:rPr>
                                        <w:rFonts w:hint="eastAsia"/>
                                        <w:szCs w:val="21"/>
                                      </w:rPr>
                                      <w:t>废气</w:t>
                                    </w:r>
                                  </w:p>
                                  <w:p w14:paraId="57C4642F">
                                    <w:pPr>
                                      <w:ind w:firstLine="420" w:firstLineChars="200"/>
                                      <w:rPr>
                                        <w:szCs w:val="21"/>
                                      </w:rPr>
                                    </w:pPr>
                                    <w:r>
                                      <w:rPr>
                                        <w:rFonts w:hint="eastAsia"/>
                                        <w:szCs w:val="21"/>
                                      </w:rPr>
                                      <w:t>S</w:t>
                                    </w:r>
                                    <w:r>
                                      <w:rPr>
                                        <w:szCs w:val="21"/>
                                      </w:rPr>
                                      <w:t>—</w:t>
                                    </w:r>
                                    <w:r>
                                      <w:rPr>
                                        <w:rFonts w:hint="eastAsia"/>
                                        <w:szCs w:val="21"/>
                                      </w:rPr>
                                      <w:t>固废</w:t>
                                    </w:r>
                                  </w:p>
                                  <w:p w14:paraId="04EC4703">
                                    <w:pPr>
                                      <w:ind w:firstLine="420" w:firstLineChars="200"/>
                                      <w:rPr>
                                        <w:kern w:val="0"/>
                                        <w:sz w:val="24"/>
                                      </w:rPr>
                                    </w:pPr>
                                    <w:r>
                                      <w:rPr>
                                        <w:rFonts w:hint="eastAsia"/>
                                        <w:szCs w:val="21"/>
                                      </w:rPr>
                                      <w:t>N</w:t>
                                    </w:r>
                                    <w:r>
                                      <w:rPr>
                                        <w:szCs w:val="21"/>
                                      </w:rPr>
                                      <w:t>—</w:t>
                                    </w:r>
                                    <w:r>
                                      <w:rPr>
                                        <w:rFonts w:hint="eastAsia"/>
                                        <w:szCs w:val="21"/>
                                      </w:rPr>
                                      <w:t>噪声</w:t>
                                    </w:r>
                                  </w:p>
                                </w:txbxContent>
                              </wps:txbx>
                              <wps:bodyPr rot="0" vert="horz" wrap="square" lIns="91440" tIns="45720" rIns="91440" bIns="45720" anchor="t" anchorCtr="0" upright="1">
                                <a:noAutofit/>
                              </wps:bodyPr>
                            </wps:wsp>
                            <wps:wsp>
                              <wps:cNvPr id="33" name="直接箭头连接符 115"/>
                              <wps:cNvCnPr/>
                              <wps:spPr>
                                <a:xfrm flipH="1">
                                  <a:off x="715645" y="2012315"/>
                                  <a:ext cx="4927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直接箭头连接符 119"/>
                              <wps:cNvCnPr>
                                <a:stCxn id="77" idx="3"/>
                              </wps:cNvCnPr>
                              <wps:spPr>
                                <a:xfrm flipV="1">
                                  <a:off x="1951650" y="2544640"/>
                                  <a:ext cx="627415" cy="68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36" name="矩形 120"/>
                              <wps:cNvSpPr/>
                              <wps:spPr>
                                <a:xfrm>
                                  <a:off x="2465984" y="2420470"/>
                                  <a:ext cx="810961" cy="283948"/>
                                </a:xfrm>
                                <a:prstGeom prst="rect">
                                  <a:avLst/>
                                </a:prstGeom>
                                <a:solidFill>
                                  <a:schemeClr val="lt1">
                                    <a:alpha val="0"/>
                                  </a:schemeClr>
                                </a:solidFill>
                                <a:ln>
                                  <a:solidFill>
                                    <a:schemeClr val="dk1">
                                      <a:alpha val="0"/>
                                    </a:schemeClr>
                                  </a:solidFill>
                                </a:ln>
                              </wps:spPr>
                              <wps:style>
                                <a:lnRef idx="2">
                                  <a:schemeClr val="dk1"/>
                                </a:lnRef>
                                <a:fillRef idx="1">
                                  <a:schemeClr val="lt1"/>
                                </a:fillRef>
                                <a:effectRef idx="0">
                                  <a:schemeClr val="dk1"/>
                                </a:effectRef>
                                <a:fontRef idx="minor">
                                  <a:schemeClr val="dk1"/>
                                </a:fontRef>
                              </wps:style>
                              <wps:txbx>
                                <w:txbxContent>
                                  <w:p w14:paraId="51B464E9">
                                    <w:pPr>
                                      <w:jc w:val="center"/>
                                    </w:pPr>
                                    <w:r>
                                      <w:rPr>
                                        <w:rFonts w:hint="eastAsia"/>
                                      </w:rPr>
                                      <w:t>噪声</w:t>
                                    </w:r>
                                    <w:r>
                                      <w:t>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8" name="直接箭头连接符 17"/>
                              <wps:cNvCnPr>
                                <a:cxnSpLocks noChangeShapeType="1"/>
                              </wps:cNvCnPr>
                              <wps:spPr bwMode="auto">
                                <a:xfrm>
                                  <a:off x="1960880" y="1989455"/>
                                  <a:ext cx="553085" cy="0"/>
                                </a:xfrm>
                                <a:prstGeom prst="straightConnector1">
                                  <a:avLst/>
                                </a:prstGeom>
                                <a:ln>
                                  <a:prstDash val="dash"/>
                                  <a:tailEnd type="triangle" w="med" len="med"/>
                                </a:ln>
                              </wps:spPr>
                              <wps:style>
                                <a:lnRef idx="1">
                                  <a:schemeClr val="dk1"/>
                                </a:lnRef>
                                <a:fillRef idx="0">
                                  <a:schemeClr val="dk1"/>
                                </a:fillRef>
                                <a:effectRef idx="0">
                                  <a:schemeClr val="dk1"/>
                                </a:effectRef>
                                <a:fontRef idx="minor">
                                  <a:schemeClr val="tx1"/>
                                </a:fontRef>
                              </wps:style>
                              <wps:bodyPr/>
                            </wps:wsp>
                            <wps:wsp>
                              <wps:cNvPr id="39" name="文本框 4"/>
                              <wps:cNvSpPr txBox="1">
                                <a:spLocks noChangeArrowheads="1"/>
                              </wps:cNvSpPr>
                              <wps:spPr bwMode="auto">
                                <a:xfrm>
                                  <a:off x="2532380" y="1818005"/>
                                  <a:ext cx="2333625" cy="367665"/>
                                </a:xfrm>
                                <a:prstGeom prst="rect">
                                  <a:avLst/>
                                </a:prstGeom>
                                <a:noFill/>
                                <a:ln>
                                  <a:noFill/>
                                </a:ln>
                              </wps:spPr>
                              <wps:txbx>
                                <w:txbxContent>
                                  <w:p w14:paraId="3E351591">
                                    <w:pPr>
                                      <w:rPr>
                                        <w:rFonts w:hint="default" w:eastAsia="宋体"/>
                                        <w:kern w:val="0"/>
                                        <w:sz w:val="24"/>
                                        <w:lang w:val="en-US" w:eastAsia="zh-CN"/>
                                      </w:rPr>
                                    </w:pPr>
                                    <w:r>
                                      <w:rPr>
                                        <w:rFonts w:hint="eastAsia"/>
                                        <w:szCs w:val="21"/>
                                        <w:lang w:eastAsia="zh-CN"/>
                                      </w:rPr>
                                      <w:t>冷却废水</w:t>
                                    </w:r>
                                    <w:r>
                                      <w:rPr>
                                        <w:rFonts w:hint="eastAsia"/>
                                        <w:szCs w:val="21"/>
                                        <w:lang w:val="en-US" w:eastAsia="zh-CN"/>
                                      </w:rPr>
                                      <w:t>W1</w:t>
                                    </w:r>
                                  </w:p>
                                </w:txbxContent>
                              </wps:txbx>
                              <wps:bodyPr rot="0" vert="horz" wrap="square" lIns="91440" tIns="45720" rIns="91440" bIns="45720" anchor="t" anchorCtr="0" upright="1">
                                <a:noAutofit/>
                              </wps:bodyPr>
                            </wps:wsp>
                            <wps:wsp>
                              <wps:cNvPr id="37" name="矩形 12"/>
                              <wps:cNvSpPr>
                                <a:spLocks noChangeArrowheads="1"/>
                              </wps:cNvSpPr>
                              <wps:spPr bwMode="auto">
                                <a:xfrm>
                                  <a:off x="57150" y="1846580"/>
                                  <a:ext cx="676275" cy="295275"/>
                                </a:xfrm>
                                <a:prstGeom prst="rect">
                                  <a:avLst/>
                                </a:prstGeom>
                                <a:noFill/>
                                <a:ln w="12700" algn="ctr">
                                  <a:solidFill>
                                    <a:srgbClr val="000000"/>
                                  </a:solidFill>
                                  <a:miter lim="800000"/>
                                </a:ln>
                              </wps:spPr>
                              <wps:txbx>
                                <w:txbxContent>
                                  <w:p w14:paraId="325088BA">
                                    <w:pPr>
                                      <w:jc w:val="center"/>
                                      <w:rPr>
                                        <w:rFonts w:hint="eastAsia" w:eastAsia="宋体"/>
                                        <w:kern w:val="0"/>
                                        <w:sz w:val="24"/>
                                        <w:lang w:eastAsia="zh-CN"/>
                                      </w:rPr>
                                    </w:pPr>
                                    <w:r>
                                      <w:rPr>
                                        <w:rFonts w:hint="eastAsia"/>
                                        <w:color w:val="000000"/>
                                        <w:szCs w:val="21"/>
                                        <w:lang w:eastAsia="zh-CN"/>
                                      </w:rPr>
                                      <w:t>粉碎</w:t>
                                    </w:r>
                                  </w:p>
                                </w:txbxContent>
                              </wps:txbx>
                              <wps:bodyPr rot="0" vert="horz" wrap="square" lIns="91440" tIns="45720" rIns="91440" bIns="45720" anchor="ctr" anchorCtr="0" upright="1">
                                <a:noAutofit/>
                              </wps:bodyPr>
                            </wps:wsp>
                            <wps:wsp>
                              <wps:cNvPr id="44" name="直接箭头连接符 119"/>
                              <wps:cNvCnPr/>
                              <wps:spPr>
                                <a:xfrm>
                                  <a:off x="398145" y="2152015"/>
                                  <a:ext cx="0" cy="30797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45" name="文本框 4"/>
                              <wps:cNvSpPr txBox="1">
                                <a:spLocks noChangeArrowheads="1"/>
                              </wps:cNvSpPr>
                              <wps:spPr bwMode="auto">
                                <a:xfrm>
                                  <a:off x="0" y="2475230"/>
                                  <a:ext cx="944245" cy="538480"/>
                                </a:xfrm>
                                <a:prstGeom prst="rect">
                                  <a:avLst/>
                                </a:prstGeom>
                                <a:noFill/>
                                <a:ln>
                                  <a:noFill/>
                                </a:ln>
                              </wps:spPr>
                              <wps:txbx>
                                <w:txbxContent>
                                  <w:p w14:paraId="7B812C22">
                                    <w:pPr>
                                      <w:rPr>
                                        <w:rFonts w:hint="eastAsia"/>
                                        <w:szCs w:val="21"/>
                                      </w:rPr>
                                    </w:pPr>
                                    <w:r>
                                      <w:rPr>
                                        <w:rFonts w:hint="eastAsia"/>
                                        <w:szCs w:val="21"/>
                                        <w:lang w:eastAsia="zh-CN"/>
                                      </w:rPr>
                                      <w:t>粉碎</w:t>
                                    </w:r>
                                    <w:r>
                                      <w:rPr>
                                        <w:szCs w:val="21"/>
                                      </w:rPr>
                                      <w:t>废气G</w:t>
                                    </w:r>
                                    <w:r>
                                      <w:rPr>
                                        <w:rFonts w:hint="eastAsia"/>
                                        <w:szCs w:val="21"/>
                                        <w:vertAlign w:val="subscript"/>
                                        <w:lang w:val="en-US" w:eastAsia="zh-CN"/>
                                      </w:rPr>
                                      <w:t>4</w:t>
                                    </w:r>
                                    <w:r>
                                      <w:rPr>
                                        <w:rFonts w:hint="eastAsia"/>
                                        <w:szCs w:val="21"/>
                                      </w:rPr>
                                      <w:t>、</w:t>
                                    </w:r>
                                  </w:p>
                                  <w:p w14:paraId="7CBF90C0">
                                    <w:pPr>
                                      <w:rPr>
                                        <w:rFonts w:hint="eastAsia" w:eastAsia="宋体"/>
                                        <w:kern w:val="0"/>
                                        <w:sz w:val="24"/>
                                        <w:lang w:eastAsia="zh-CN"/>
                                      </w:rPr>
                                    </w:pPr>
                                    <w:r>
                                      <w:rPr>
                                        <w:szCs w:val="21"/>
                                      </w:rPr>
                                      <w:t>噪声</w:t>
                                    </w:r>
                                    <w:r>
                                      <w:rPr>
                                        <w:rFonts w:hint="eastAsia"/>
                                        <w:szCs w:val="21"/>
                                      </w:rPr>
                                      <w:t>N</w:t>
                                    </w:r>
                                  </w:p>
                                </w:txbxContent>
                              </wps:txbx>
                              <wps:bodyPr rot="0" vert="horz" wrap="square" lIns="91440" tIns="45720" rIns="91440" bIns="45720" anchor="t" anchorCtr="0" upright="1">
                                <a:noAutofit/>
                              </wps:bodyPr>
                            </wps:wsp>
                            <wps:wsp>
                              <wps:cNvPr id="48" name="直接箭头连接符 5"/>
                              <wps:cNvCnPr>
                                <a:cxnSpLocks noChangeShapeType="1"/>
                              </wps:cNvCnPr>
                              <wps:spPr bwMode="auto">
                                <a:xfrm flipV="1">
                                  <a:off x="408305" y="1372870"/>
                                  <a:ext cx="0" cy="454660"/>
                                </a:xfrm>
                                <a:prstGeom prst="straightConnector1">
                                  <a:avLst/>
                                </a:prstGeom>
                                <a:noFill/>
                                <a:ln w="6350" algn="ctr">
                                  <a:solidFill>
                                    <a:srgbClr val="000000"/>
                                  </a:solidFill>
                                  <a:miter lim="800000"/>
                                  <a:tailEnd type="triangle" w="med" len="med"/>
                                </a:ln>
                              </wps:spPr>
                              <wps:bodyPr/>
                            </wps:wsp>
                            <wps:wsp>
                              <wps:cNvPr id="49" name="直接箭头连接符 115"/>
                              <wps:cNvCnPr/>
                              <wps:spPr>
                                <a:xfrm flipV="1">
                                  <a:off x="408305" y="1391920"/>
                                  <a:ext cx="745490" cy="6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id="_x0000_s1026" o:spid="_x0000_s1026" o:spt="203" style="position:absolute;left:0pt;margin-left:10.25pt;margin-top:1.9pt;height:285.4pt;width:420.65pt;mso-wrap-distance-bottom:0pt;mso-wrap-distance-top:0pt;z-index:251659264;mso-width-relative:page;mso-height-relative:page;" coordsize="5342255,3624580" editas="canvas" o:gfxdata="UEsDBAoAAAAAAIdO4kAAAAAAAAAAAAAAAAAEAAAAZHJzL1BLAwQUAAAACACHTuJASEIbetkAAAAI&#10;AQAADwAAAGRycy9kb3ducmV2LnhtbE2PwU7DMBBE70j8g7VIXBC1U2ioQpweKiEqhFSRQs9uvCQR&#10;8TqN3aT8PcsJbjua0eybfHV2nRhxCK0nDclMgUCqvG2p1vC+e7pdggjRkDWdJ9TwjQFWxeVFbjLr&#10;J3rDsYy14BIKmdHQxNhnUoaqQWfCzPdI7H36wZnIcqilHczE5a6Tc6VS6UxL/KExPa4brL7Kk9Mw&#10;Vdtxv3t9ltub/cbTcXNclx8vWl9fJeoRRMRz/AvDLz6jQ8FMB38iG0SnYa4WnNRwxwPYXqYJHwcN&#10;i4f7FGSRy/8Dih9QSwMEFAAAAAgAh07iQKfUVqBtCAAA6kQAAA4AAABkcnMvZTJvRG9jLnhtbO1c&#10;TY/byBG9B9j/QPC+FrvZ/BI8XsyO104AJ2vAm82ZQ1ESEYrNNDmWvNcAyS2nIJcECRIkARbY5LSH&#10;AEGwv8b2/ox9/UFKojWjsT1DyRn6MCZFimxWP76qelWt+5+sFrn1PBVVxosTm9xzbCstEj7JitmJ&#10;/fMvHn0c2lZVx8UkznmRntgv0sr+5MFHP7q/LMcp5XOeT1Jh4SJFNV6WJ/a8rsvxaFQl83QRV/d4&#10;mRY4OOViEdfYFbPRRMRLXH2Rj6jj+KMlF5NS8CStKnz6UB+0zRXFdS7Ip9MsSR/y5GKRFrW+qkjz&#10;uMYjVfOsrOwHarTTaZrUn0+nVVpb+YmNJ63VX9wE2+fy7+jB/Xg8E3E5zxIzhPg6Q+g80yLOCty0&#10;vdTDuI6tC5G9calFlghe8Wl9L+GLkX4QZRE8BXE6tnks+EWpnmU2Xs7K1uiYqI7V3/myyc+ePxVW&#10;Njmxw8C2iniBGX/9+/++/M+vLXwA6yzL2RgnPRbls/KpMB/M9J584NVULOT/eBRrpez6orVruqqt&#10;BB96LqPU82wrwTHXp8wLjeWTOabnje8l88/2fHPU3Hgkx9cOZ1kCk9XaUNX7GerZPC5TZf9K2sAY&#10;irV2+svXL//3N4tqM6lTpI2kNaryCU9+WVkFP5vHxSw9FYIv52k8wYiIPB/j3viC3KnwVet8+VM+&#10;wRTEFzVXeOqYl1AnDByAF4YkIWzqq0mKx42pA0YjD8elpbFFA0/drTFXPC5FVT9O+cKSGye2wBui&#10;bhQ/f1LVcmDrU+SDFPxRluf4PB7nhbXEXam6f5zPwB5JLdSXK55nE3mienYxOz/LhfU8lu+c+mfG&#10;sHXaIqvBI3m2APQ2T8oLYx1pEIm/alyvzlcKedX4nE9ewE6C6zcZPIaNORdf2dYSb/GJXf3qIhap&#10;beU/KWDriDAmX3u1w7yAYkdsHjnfPBIXCS6lH8vSO2e1JouLUmSzOe5F1AMX/BQzNM2UxeQQ9bjM&#10;yAFBPfBbx+L6nf3jt69+94/X//7Xy79/+/13f5bb3/zTcjegeVZoaCar4lkHnQrnX7woAbwtcOqv&#10;XB+cXkiIBB+wx1zmM1/efo3NBpZeQPbBsqpFLO19xosCCOVCm/26IPVdOYxbwmg8ruMs/6yYWLUy&#10;WS0yvOI5MIfXY5FOgL0U74bc0u/TDkRruMjD0rr94QW+XXP8qz/89tWfvnn1199YbAMjkr6sevUp&#10;B2lri98ekYVB5GM4ksh8ElHFU2usBJHjASS3w2NbxAbC2zFBfVNODbgq9jlywiF7GEdNo8Q0/GUP&#10;jONLd+gqFFHCnNCLBsqRLnwHog9FOaTlnNc6XlJewUCkz3gpcKIIodOWSxrCpTsVLsnwz+Q4O+Ml&#10;k/H0yV4mXkJUzYJQ+eK1ExwCpjYFOBR7UXI1YsKN6KkHf7cRYRPH8Uig4vUBMUfk7yhtEaP9nQpJ&#10;evN3UAUQS6uwmgYk7AJkcHh3y+EhNr7K4REVD/UXr3tREEkhUGZ9XuD7XXgOHu/wHq+rbxLlY3oj&#10;sLXASd0odNxOTDQQ2N0iMJCFITDtTcmh5Hao6ZHP1N3X8daAxruFRr9F4878kfQsuEc+kVK6dKch&#10;BPeoI7h7svCGw7IYpBx9WzZbF3lMHehIBHdZlHoYV3NdPJpgS+s1O4tFH7IQT1sd9dBKPPUI801J&#10;0Y+IRzpKPAWIIimcSBR5DiPRHii9VUlxkOKv0Qewuw5N18LqbjLqWYuPPOIbNSt0A5mFbkmtICPo&#10;8wMZHWFVkEZ73FrPuijcmqQhlSUy10Wh8LBQSmRjwRT9RUDvopygyaCYXb+8/Ej9k08A97vVAnFn&#10;vJ3b6u6H93au27AUobLI3FFQqeu6HoPqq3uVAuYo8F8eOQ3uTvXo3Hqri7tW4k0m2Kewymjo06ZW&#10;44VoMOm4t8inThNrm239xjcdXB9i45WuugzdVqbzz22l/UPTGCOh7xkhlXqhS5qGyqYPENWhSPGc&#10;pDH0AXq68j3Q2KE79tx9irzOvzYkedCI3NPtkLqR05rmWfnjpkfLtN4GxPOZjprQS0zdbiKHLC7w&#10;TR63J4W7ETWgn6hJBVTvIhJodj6iwqGLubuyVkM2HV5TbK7qs1WhGrgDSArZBJ17SoRqGoy3ezhl&#10;ui0dkgLQlx0AkY0MjnoMDZwKJmu106cBk3G55BQ/VKXvywnlA8LQu+pMxwehtT7ZqOVqCjeKNzvY&#10;RILCcAhlvhehDUWmXpRR9KR0IBAS+BUTHdPQjdgeFOyLjrfyoWqzc9ykTXJwcV7OY9NP3uRR+tQ3&#10;c6qtLvX3oyDTu/62I9jO6vbxE16gHRx0eftpVSaPMqikT+KqfhoLLFYBpcs2+M/xZ5pz9CBzs2Vb&#10;sjF+1+c32zZfXCzOOHr9AQuMTm1iTKLOm82p4ItfYNXPqWzWx6Er+uyxbihJT0/VaVDGyrh+gnb1&#10;pGGqY+m7d/dpb70rJk6IEFApJlEYsW520rf49n4v3qCY2G4ryR061YD+T90GWyESDaeT+UrFBLlx&#10;q5j4vjrh8shgn0/YWnMk2bf94G3J8mZ5rqGtD6VX321rTKbzutfaOZQ1o5eQEFFFN0H1A0STBjTD&#10;QrX/+4VqbN1VtLtY9UZyc3WgitYg0iS7xEO+2yEl+EIl4DpB1Mtas+N2eEeXqMip07nuod2bDpoo&#10;CzyKKgUMtU53I8awVFkDyXNDpils8GuHltCQc14plCgq2BDQ5Jze8KrXnfoJ1p+5CI5UEI4COFam&#10;bePJcBLzmA8dTr+Tl1QHbkQ8Gda/Yq22wYFR8FkbVr++xA11wbPDDe2f/AgLWjuTH2Da0TmjtbMI&#10;jRC3P//9+KR9AselXVraADvEjx1rfdTPPOAnMJTeY36uQ/7GxuY+tjd/ouTB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8KAABbQ29udGVudF9U&#10;eXBlc10ueG1sUEsBAhQACgAAAAAAh07iQAAAAAAAAAAAAAAAAAYAAAAAAAAAAAAQAAAAwQkAAF9y&#10;ZWxzL1BLAQIUABQAAAAIAIdO4kCKFGY80QAAAJQBAAALAAAAAAAAAAEAIAAAAOUJAABfcmVscy8u&#10;cmVsc1BLAQIUAAoAAAAAAIdO4kAAAAAAAAAAAAAAAAAEAAAAAAAAAAAAEAAAAAAAAABkcnMvUEsB&#10;AhQAFAAAAAgAh07iQEhCG3rZAAAACAEAAA8AAAAAAAAAAQAgAAAAIgAAAGRycy9kb3ducmV2Lnht&#10;bFBLAQIUABQAAAAIAIdO4kCn1FagbQgAAOpEAAAOAAAAAAAAAAEAIAAAACgBAABkcnMvZTJvRG9j&#10;LnhtbFBLBQYAAAAABgAGAFkBAAAHDAAAAAA=&#10;">
                      <o:lock v:ext="edit" aspectratio="f"/>
                      <v:shape id="_x0000_s1026" o:spid="_x0000_s1026" style="position:absolute;left:0;top:0;height:3624580;width:5342255;" filled="f" stroked="f" coordsize="21600,21600" o:gfxdata="UEsDBAoAAAAAAIdO4kAAAAAAAAAAAAAAAAAEAAAAZHJzL1BLAwQUAAAACACHTuJASEIbetkAAAAI&#10;AQAADwAAAGRycy9kb3ducmV2LnhtbE2PwU7DMBBE70j8g7VIXBC1U2ioQpweKiEqhFSRQs9uvCQR&#10;8TqN3aT8PcsJbjua0eybfHV2nRhxCK0nDclMgUCqvG2p1vC+e7pdggjRkDWdJ9TwjQFWxeVFbjLr&#10;J3rDsYy14BIKmdHQxNhnUoaqQWfCzPdI7H36wZnIcqilHczE5a6Tc6VS6UxL/KExPa4brL7Kk9Mw&#10;Vdtxv3t9ltub/cbTcXNclx8vWl9fJeoRRMRz/AvDLz6jQ8FMB38iG0SnYa4WnNRwxwPYXqYJHwcN&#10;i4f7FGSRy/8Dih9QSwMEFAAAAAgAh07iQKQrugcrCAAAZUQAAA4AAABkcnMvZTJvRG9jLnhtbO1c&#10;TY/jShXdI/EfLO+ZdpXLX9FknpoeBpAG3kjzgHW14yQWtsuU3Z3M+wGwY8kGBAIBEtKD1dsifs2b&#10;4Wdw6iPpxJN0et50Oxnas+gpx45drjp17r3n3srTz5Zl4VxnsslFNXbJE891sioVk7yajd2fffHi&#10;e7HrNC2vJrwQVTZ232SN+9mz737n6aIeZVTMRTHJpIObVM1oUY/dedvWo7OzJp1nJW+eiDqrcHIq&#10;ZMlbHMrZ2UTyBe5eFmfU88KzhZCTWoo0axp8+tycdO0d5V1uKKbTPM2ei/SqzKrW3FVmBW/xSs08&#10;rxv3me7tdJql7efTaZO1TjF28aat/ouHoH2p/p49e8pHM8nreZ7aLvC7dKHzTiXPKzx0favnvOXO&#10;lczfu1WZp1I0Yto+SUV5Zl5Ejwjegnidsbng1TU3L5NirFcdROse73s5U/2uxIu8KDAaZ7j7SH2m&#10;/l9gtjN1uqi2LzKf6GvtNYsacGjqNTCaj+vi6zmvMz2NzSj96fUr6eSTsctcp+IlQPnuT//45t9/&#10;caiaP/VkXPK6fiVVJ5v6pUh/2TiVuJjzapadSykW84xP0COirkevN76gDhp81blc/ERMcGt+1Qo9&#10;lcupLNUNMUnOEt+lXhx5wM0btGMaBGFk0JMtWyfFBRGjSYDzKS5Ai0aBfhofrW5Uy6b9YSZKRzXG&#10;rgQ49YP49cumVR3jo9UlW6OtBttZqB7o5/NihoWbtlJ/uRFFPlFzp99dzi4vCulccwV3/c/2Yeuy&#10;Mm+xhIu8HLvx5kVqlvXoqAExA9suL5d2jC/F5A3GSQqziEAhaMyF/NJ1FlhAY7f51RWXmesUP64w&#10;1glhTK04fcCCiOJAbp653DzDqxS3Mq/lmIOL1qzTq1rmszmeRfQLV+IcMzTN9Yip2TP9sj0HBE3H&#10;HxyL0RqLv//67W//9u5f//zmr1//9z9/VO2v/u74auAt0i4qA810Wb3uoFPj/Is3NYC3BU7zlbuD&#10;M4gJUeAD9pjPQhZuY3MFyyAih2DZtJKr8b4QVQWECmmG/a4gDX3VjQfCKB+1PC9+UE2cVg9ZK3Ms&#10;8QKYw/Ioswmwl2FtqJZZTzsQbeCiTqvR7Q8vMKuGu97+7jdv//DV2z//2mEbGFH05bTL7wtFNWZl&#10;d6Byf0QWR0mI7igiC0lCNU/x0ZrHEi8ASB6Gx7aIDYS3Y4L6ppwWcNXsc+KEQw4wjp7G/hgnVObQ&#10;1yiihHlxkAyUo0z4DkQfi3LImnOsv6StgoVIn/5S5CUJXCeQ7gbNDO7SY3KXlPtnffed/pJ2pvtl&#10;L+svwatmUaxt8Q06B4dpHQIci70ouR0x8Yb31K+HTTwvIJH21wfEnJC9o3SNGKMPaJekN3sHVQC+&#10;tHaraUTiLkAGfeBR6QMUvvFtBo9of6g/ixckURJYeAZRGHbhOVi841u8rr5JtI3pjcBuBE7qJ7Hn&#10;d3yigcAeF4GBLLbUdnIsuR1qehIy/fQbf2tA4+NCY7hG4874kfQsuCchUVK68vZiCO5JR3APAp8p&#10;Z1Alg7ShhzK0Jw90IoK7Sj09583cJI8maBm9Zmey6FMW4ulaRz22Ek8DwkKbUgwTEpCOEk8BokQJ&#10;JwpFgcdIcgBKH5RSHKT4O6Tgd+eh6Y2wupuMetbik4CEVs2K/UhFoVtSK8gI+vxARieYFaTJAbPW&#10;sy4Ks6ZoSIsYzPeRKDwulFJVWDBFaQ/QW9YTFBlUs7unl1/of+oNYH63SiAejbXz17r78a2d769Y&#10;ilCVZO4oqNT3/YBB9VXmzg8j5mnw7/ecBnOnK0wevNTFv1Hija5K+hRWGY1DusrVBDEKTDrmLQmp&#10;t/K1bdus+D0O9wfB5liFVybrMlRb2co/fy3tH5vGGInDwAqpNIh9EncS28gOJZrnFI2hDjAwme+B&#10;xo5dsecfUuRN/LUhyYNG1JEphzQBvDMt8vpHqxotWxsakSBkxmtCGS/1u4EcorgotHHcgRDuXtSA&#10;frwm7VB9G5HAsPMJJQ59zN2tuZotg7dKNjftxbLSdckRJIV8gso9LUKtCoy3azhVuK0MkgbQzzsA&#10;IhsRHA0YCjg7pBLSiCm/XHFKGOvU935C+YQw9G11ptOD0I0+aX0kCDeWP2x1+g42UaCwHEJZGCQo&#10;Q1GhF2UUNSkdCMQEdsV6xzT2E3YABYfcnK14qNmsHLdhk+ocL+o5t/XkqzjKXPp+TLVVpf5xFGRr&#10;1z+0B9tR3SF+wgLawUH7y0+bOn2RQyV9yZv2FZfYJwJKV2Xwn+PPtBCoQRa25TqqMH7X5/dbNl9d&#10;lRcCtf6ABXqnm+iTbItVcypF+QtsuDlXxfo4dUudPbbspNn5ub4MyljN25coV8dWk9Oqu/cPaW+9&#10;KyZeDBdQKyZJnLBudNK3+PZxC29QTFx/LckdO9SA/k/9FbZiBBpeJ/JVigli47ViEob6gv2ewSGb&#10;sN4GZqhxc1/YB5Ll/fLcirY+lVp9f51jspXXvebOoaxZvYTE8Cq6AWoYwZu0oBk2qv3fb1RjN1VF&#10;u5NV7wU3tzuqKA0iq2CXBIh3O6QEW6gFXC9KetlrdtoG7+QCFTV1JtY9tnkzThNlUUCRpcBA3RT3&#10;JIxR1VEFpMCPmaGwwa4dW0JDzHmrUKKpYENAU3N6z7ted+on2H/mwznSTjgS4NiZto0ny0ksYCF0&#10;OLMm92QH7kU8Gfa/YgurxYFV8NnarX63xwx1wbPDDB2e/AQbWjuTH2HaUTljtLMEhRAPP//92KRD&#10;AsfeKi0zADvEjx17faBm6h+f0HqP/aUM9fMWm8dob/46yLP/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0KAABbQ29udGVudF9UeXBlc10ueG1s&#10;UEsBAhQACgAAAAAAh07iQAAAAAAAAAAAAAAAAAYAAAAAAAAAAAAQAAAAfwkAAF9yZWxzL1BLAQIU&#10;ABQAAAAIAIdO4kCKFGY80QAAAJQBAAALAAAAAAAAAAEAIAAAAKMJAABfcmVscy8ucmVsc1BLAQIU&#10;AAoAAAAAAIdO4kAAAAAAAAAAAAAAAAAEAAAAAAAAAAAAEAAAAAAAAABkcnMvUEsBAhQAFAAAAAgA&#10;h07iQEhCG3rZAAAACAEAAA8AAAAAAAAAAQAgAAAAIgAAAGRycy9kb3ducmV2LnhtbFBLAQIUABQA&#10;AAAIAIdO4kCkK7oHKwgAAGVEAAAOAAAAAAAAAAEAIAAAACgBAABkcnMvZTJvRG9jLnhtbFBLBQYA&#10;AAAABgAGAFkBAADFCwAAAAA=&#10;">
                        <v:fill on="f" focussize="0,0"/>
                        <v:stroke on="f"/>
                        <v:imagedata o:title=""/>
                        <o:lock v:ext="edit" aspectratio="f"/>
                      </v:shape>
                      <v:rect id="矩形 2" o:spid="_x0000_s1026" o:spt="1" style="position:absolute;left:1208700;top:1825567;height:295275;width:742950;v-text-anchor:middle;" filled="f" stroked="t" coordsize="21600,21600" o:gfxdata="UEsDBAoAAAAAAIdO4kAAAAAAAAAAAAAAAAAEAAAAZHJzL1BLAwQUAAAACACHTuJAd+VXztcAAAAI&#10;AQAADwAAAGRycy9kb3ducmV2LnhtbE2PwU7DMBBE70j8g7VI3Kid0qRVyKaHIA4IJETh0ts2MUkg&#10;tiPbScrfs5zgtqMZzb4p9mcziFn70DuLkKwUCG1r1/S2RXh/e7jZgQiRbEODsxrhWwfYl5cXBeWN&#10;W+yrng+xFVxiQ04IXYxjLmWoO20orNyoLXsfzhuKLH0rG08Ll5tBrpXKpKHe8oeORl11uv46TAbh&#10;mH7Kl75aaHp+vH9KZ+9UtXGI11eJugMR9Tn+heEXn9GhZKaTm2wTxICwViknEW55ANu7LOHjhJBu&#10;NxnIspD/B5Q/UEsDBBQAAAAIAIdO4kDu+ZoLQQIAAGoEAAAOAAAAZHJzL2Uyb0RvYy54bWytVMFu&#10;2zAMvQ/YPwi6L06MpEmNOkXRoMOAbivQ7QMUWbaFyaJGKXG6nxmw2z6inzPsN0bJbpd2lx7mgyGa&#10;1CPfI+mz80Nn2F6h12BLPptMOVNWQqVtU/LPn67erDjzQdhKGLCq5HfK8/P161dnvStUDi2YSiEj&#10;EOuL3pW8DcEVWeZlqzrhJ+CUJWcN2IlAJjZZhaIn9M5k+XR6kvWAlUOQynv6uhmcfETElwBCXWup&#10;NiB3nbJhQEVlRCBKvtXO83Wqtq6VDB/r2qvATMmJaUhvSkLnbXxn6zNRNChcq+VYgnhJCc84dUJb&#10;SvoItRFBsB3qf6A6LRE81GEiocsGIkkRYjGbPtPmthVOJS4ktXePovv/Bys/7G+Q6arkc86s6Kjh&#10;v7///HX/g+VRm975gkJu3Q1Gdt5dg/zimYXLVthGXSBC3ypRUUWzGJ89uRANT1fZtn8PFUGLXYAk&#10;06HGLgKSAOxAd/PpajmlntzReZUvFifLoTPqEJikgOU8P12QX1IAnfLlImUTxQOQQx/eKuhYPJQc&#10;qfEpkdhf+xALE8VDSMxr4Uobk5pvLOtjBSm/MA0thQyYLnswuoqBiTs220uDbC/iKKVnrOFJWKcD&#10;rYfRXclXx0HGjupEQQZhw2F7GDXeQnVHOiEMA0rrSYcW8BtnPQ1nyf3XnUDFmXlnSevT2XwepzkZ&#10;88UyJwOPPdtjj7CSoAZabDAuw7ADO4e6aSnXLBG2cEEdqnVSLHZvqGusnEYwCTmuS5zxYztF/f1F&#10;r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VXztcAAAAIAQAADwAAAAAAAAABACAAAAAiAAAA&#10;ZHJzL2Rvd25yZXYueG1sUEsBAhQAFAAAAAgAh07iQO75mgtBAgAAagQAAA4AAAAAAAAAAQAgAAAA&#10;JgEAAGRycy9lMm9Eb2MueG1sUEsFBgAAAAAGAAYAWQEAANkFAAAAAA==&#10;">
                        <v:fill on="f" focussize="0,0"/>
                        <v:stroke weight="1pt" color="#000000" miterlimit="8" joinstyle="miter"/>
                        <v:imagedata o:title=""/>
                        <o:lock v:ext="edit" aspectratio="f"/>
                        <v:textbox>
                          <w:txbxContent>
                            <w:p w14:paraId="2F10A9C1">
                              <w:pPr>
                                <w:jc w:val="center"/>
                                <w:rPr>
                                  <w:color w:val="000000"/>
                                </w:rPr>
                              </w:pPr>
                              <w:r>
                                <w:rPr>
                                  <w:rFonts w:hint="eastAsia"/>
                                  <w:color w:val="000000"/>
                                  <w:szCs w:val="21"/>
                                </w:rPr>
                                <w:t>冷却</w:t>
                              </w:r>
                            </w:p>
                          </w:txbxContent>
                        </v:textbox>
                      </v:rect>
                      <v:shape id="直接箭头连接符 3" o:spid="_x0000_s1026" o:spt="32" type="#_x0000_t32" style="position:absolute;left:1581150;top:434646;height:257175;width:0;" filled="f" stroked="t" coordsize="21600,21600" o:gfxdata="UEsDBAoAAAAAAIdO4kAAAAAAAAAAAAAAAAAEAAAAZHJzL1BLAwQUAAAACACHTuJAs5p6ktYAAAAI&#10;AQAADwAAAGRycy9kb3ducmV2LnhtbE2PwU7DMBBE70j8g7VI3KidhoY0xOkBKTeERCmc3XibhMbr&#10;KHbT8vcsJ3rb0Yxm35SbixvEjFPoPWlIFgoEUuNtT62G3Uf9kIMI0ZA1gyfU8IMBNtXtTWkK68/0&#10;jvM2toJLKBRGQxfjWEgZmg6dCQs/IrF38JMzkeXUSjuZM5e7QS6VyqQzPfGHzoz40mFz3J6chte3&#10;db47JvNc183XdzpRbVL5qfX9XaKeQUS8xP8w/OEzOlTMtPcnskEMGpZqxUkNKQ9gO88SPvYaVk+P&#10;GciqlNcDql9QSwMEFAAAAAgAh07iQOpTy3MmAgAADgQAAA4AAABkcnMvZTJvRG9jLnhtbK1TzW4T&#10;MRC+I/EOlu9ks/nXqpseEsqlQKSWB3C83l0L22PZTjZ5CV4AiRNwAk698zRQHoOxkwZaLj2wB2u8&#10;M983M9+Mz853WpGtcF6CKWne61MiDIdKmqakb64vns0o8YGZiikwoqR74en5/OmTs84WYgAtqEo4&#10;giTGF50taRuCLbLM81Zo5ntghUFnDU6zgFfXZJVjHbJrlQ36/UnWgausAy68x7/Lg5MeGd1jCKGu&#10;JRdL4BstTDiwOqFYwJZ8K62n81RtXQseXte1F4GokmKnIZ2YBO11PLP5GSsax2wr+bEE9pgSHvSk&#10;mTSY9ES1ZIGRjZP/UGnJHXioQ4+Dzg6NJEWwi7z/QJurllmRekGpvT2J7v8fLX+1XTkiq5JOKTFM&#10;48Bv39/8fPfp9tvXHx9vfn3/EO0vn8kwStVZXyBiYVYuNst35speAn/riYFFy0wjUsnXe4s8eURk&#10;9yDx4i0mXHcvocIYtgmQdNvVTkdKVITsEDue5fkYh7Qv6Wg4mowmh0mJXSAc/ejh6BqMp/l0nPKw&#10;4o7COh9eCNAkGiX1wTHZtGEBxuA6gMtTQra99CEWyIo7QMxv4EIqlbZCGdKVdDKMZTDV4GPhwSWs&#10;ByWrGBcR3jXrhXJky+KKpe9Y0L0wLQM+GyV1SWenIFYEJtVzU5GQJAtOoohK0JhZi4oSJTBvtA6l&#10;KnOUNKp4mMcaqv3K3UmNa5J6Oq503MO/7wn95xnP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mnqS1gAAAAgBAAAPAAAAAAAAAAEAIAAAACIAAABkcnMvZG93bnJldi54bWxQSwECFAAUAAAACACH&#10;TuJA6lPLcyYCAAAOBAAADgAAAAAAAAABACAAAAAlAQAAZHJzL2Uyb0RvYy54bWxQSwUGAAAAAAYA&#10;BgBZAQAAvQUAAAAA&#10;">
                        <v:fill on="f" focussize="0,0"/>
                        <v:stroke weight="0.5pt" color="#000000" miterlimit="8" joinstyle="miter" endarrow="block"/>
                        <v:imagedata o:title=""/>
                        <o:lock v:ext="edit" aspectratio="f"/>
                      </v:shape>
                      <v:shape id="文本框 4" o:spid="_x0000_s1026" o:spt="202" type="#_x0000_t202" style="position:absolute;left:1287968;top:161925;height:295275;width:790575;" filled="f" stroked="f" coordsize="21600,21600" o:gfxdata="UEsDBAoAAAAAAIdO4kAAAAAAAAAAAAAAAAAEAAAAZHJzL1BLAwQUAAAACACHTuJABnua9dYAAAAI&#10;AQAADwAAAGRycy9kb3ducmV2LnhtbE2PwU7DMBBE70j8g7VI3Kid0qQlZNMDiCuIApW4uck2iYjX&#10;Uew24e9ZTnDb0Yxm3xTb2fXqTGPoPCMkCwOKuPJ1xw3C+9vTzQZUiJZr23smhG8KsC0vLwqb137i&#10;VzrvYqOkhENuEdoYh1zrULXkbFj4gVi8ox+djSLHRtejnaTc9XppTKad7Vg+tHagh5aqr93JIXw8&#10;Hz/3K/PSPLp0mPxsNLs7jXh9lZh7UJHm+BeGX3xBh1KYDv7EdVA9wtKkkkS4lQFib7JEjgNCul5l&#10;oMtC/x9Q/gBQSwMEFAAAAAgAh07iQJQ3R38fAgAAHwQAAA4AAABkcnMvZTJvRG9jLnhtbK1TS27b&#10;MBDdF+gdCO5r2YI/sWA5SGOkKJC2AdIegKYoi6jEYYe0JfcA7Q2y6qb7nsvnyJByEjfdZNENMeQM&#10;38x7fFycd03NdgqdBpPz0WDImTISCm02Of/y+erNGWfOC1OIGozK+V45fr58/WrR2kylUEFdKGQE&#10;YlzW2pxX3tssSZysVCPcAKwylCwBG+Fpi5ukQNESelMn6XA4TVrAwiJI5RydrvokPyLiSwChLLVU&#10;K5DbRhnfo6KqhSdKrtLW8WWctiyV9J/K0inP6pwTUx9XakLxOqzJciGyDQpbaXkcQbxkhGecGqEN&#10;NX2EWgkv2Bb1P1CNlggOSj+Q0CQ9kagIsRgNn2lzWwmrIheS2tlH0d3/g5UfdzfIdJFzenYjGnrw&#10;w93Pw68/h98/2DjI01qXUdWtpTrfvYWOTBOpOnsN8qtjBi4rYTbqAhHaSomCxhuFm8nJ1R7HBZB1&#10;+wEK6iO2HiJQV2ITtCM1WEBPz2bzKY2zp3g6mqeT/pVU55mk/Gw+nMwmnEnKp/NJSnFoJrIHHIvO&#10;v1PQsBDkHMkEsY/YXTvflz6UhLYGrnRd07nIavPXAWGGk8gjjN6T8N26o+pAbg3Fnhgh9L6iX0VB&#10;Bfids5Y8lXP3bStQcVa/N6TKfDQeBxPGzXgyS2mDp5n1aUYYSVA595z14aXvjbu1qDcVderfwcAF&#10;KVnqSO1pquPc5JsoztHjwZin+1j19K+X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Z7mvXWAAAA&#10;CAEAAA8AAAAAAAAAAQAgAAAAIgAAAGRycy9kb3ducmV2LnhtbFBLAQIUABQAAAAIAIdO4kCUN0d/&#10;HwIAAB8EAAAOAAAAAAAAAAEAIAAAACUBAABkcnMvZTJvRG9jLnhtbFBLBQYAAAAABgAGAFkBAAC2&#10;BQAAAAA=&#10;">
                        <v:fill on="f" focussize="0,0"/>
                        <v:stroke on="f"/>
                        <v:imagedata o:title=""/>
                        <o:lock v:ext="edit" aspectratio="f"/>
                        <v:textbox>
                          <w:txbxContent>
                            <w:p w14:paraId="75565929">
                              <w:r>
                                <w:rPr>
                                  <w:rFonts w:hint="eastAsia"/>
                                </w:rPr>
                                <w:t>原辅料</w:t>
                              </w:r>
                            </w:p>
                          </w:txbxContent>
                        </v:textbox>
                      </v:shape>
                      <v:shape id="直接箭头连接符 5" o:spid="_x0000_s1026" o:spt="32" type="#_x0000_t32" style="position:absolute;left:1608703;top:2140859;height:257175;width:0;" filled="f" stroked="t" coordsize="21600,21600" o:gfxdata="UEsDBAoAAAAAAIdO4kAAAAAAAAAAAAAAAAAEAAAAZHJzL1BLAwQUAAAACACHTuJAs5p6ktYAAAAI&#10;AQAADwAAAGRycy9kb3ducmV2LnhtbE2PwU7DMBBE70j8g7VI3KidhoY0xOkBKTeERCmc3XibhMbr&#10;KHbT8vcsJ3rb0Yxm35SbixvEjFPoPWlIFgoEUuNtT62G3Uf9kIMI0ZA1gyfU8IMBNtXtTWkK68/0&#10;jvM2toJLKBRGQxfjWEgZmg6dCQs/IrF38JMzkeXUSjuZM5e7QS6VyqQzPfGHzoz40mFz3J6chte3&#10;db47JvNc183XdzpRbVL5qfX9XaKeQUS8xP8w/OEzOlTMtPcnskEMGpZqxUkNKQ9gO88SPvYaVk+P&#10;GciqlNcDql9QSwMEFAAAAAgAh07iQHnjiQgqAgAAEAQAAA4AAABkcnMvZTJvRG9jLnhtbK1TS44T&#10;MRDdI3EHy3vSnQz50EpnFgnDZoBIMxzAcbu7LWyXZTvp5BJcAIkVsAJWs+c0MByDsvNhGDazoBdW&#10;uavqVb1X5en5ViuyEc5LMCXt93JKhOFQSdOU9M31xZMJJT4wUzEFRpR0Jzw9nz1+NO1sIQbQgqqE&#10;IwhifNHZkrYh2CLLPG+FZr4HVhh01uA0C3h1TVY51iG6Vtkgz0dZB66yDrjwHv8u9k56QHQPAYS6&#10;llwsgK+1MGGP6oRiASn5VlpPZ6nbuhY8vK5rLwJRJUWmIZ1YBO1VPLPZlBWNY7aV/NACe0gL9zhp&#10;Jg0WPUEtWGBk7eQ/UFpyBx7q0OOgsz2RpAiy6Of3tLlqmRWJC0rt7Ul0//9g+avN0hFZ4SaMKTFM&#10;48Rv39/8fPfp9tvXHx9vfn3/EO0vn8kwatVZX2DK3CxdZMu35speAn/riYF5y0wjUs/XO4s4/ZiR&#10;/ZUSL95ixVX3EiqMYesASbht7XSEREnIFnNH+WScn1GyK+mg/zSfDJ/tZyW2gXAMwAHy6BuO++PU&#10;WsaKI4Z1PrwQoEk0SuqDY7JpwxyMwYUA108V2ebSh9ghK44JsQEDF1KptBfKkK6ko7MhFmOqwefC&#10;g0u5HpSsYlzM8K5ZzZUjGxaXLH2JOXruhmkZ8OEoqUs6OQWxIjCpnpuKhKRZcBJVVILGylpUlCiB&#10;daO1b1WZg6ZRxv1AVlDtlu6oNS5K4nRY6riJd+8p+89Dnv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5p6ktYAAAAIAQAADwAAAAAAAAABACAAAAAiAAAAZHJzL2Rvd25yZXYueG1sUEsBAhQAFAAA&#10;AAgAh07iQHnjiQgqAgAAEAQAAA4AAAAAAAAAAQAgAAAAJQEAAGRycy9lMm9Eb2MueG1sUEsFBgAA&#10;AAAGAAYAWQEAAMEFAAAAAA==&#10;">
                        <v:fill on="f" focussize="0,0"/>
                        <v:stroke weight="0.5pt" color="#000000" miterlimit="8" joinstyle="miter" endarrow="block"/>
                        <v:imagedata o:title=""/>
                        <o:lock v:ext="edit" aspectratio="f"/>
                      </v:shape>
                      <v:rect id="矩形 6" o:spid="_x0000_s1026" o:spt="1" style="position:absolute;left:1208700;top:709900;height:295275;width:742950;v-text-anchor:middle;" filled="f" stroked="t" coordsize="21600,21600" o:gfxdata="UEsDBAoAAAAAAIdO4kAAAAAAAAAAAAAAAAAEAAAAZHJzL1BLAwQUAAAACACHTuJAd+VXztcAAAAI&#10;AQAADwAAAGRycy9kb3ducmV2LnhtbE2PwU7DMBBE70j8g7VI3Kid0qRVyKaHIA4IJETh0ts2MUkg&#10;tiPbScrfs5zgtqMZzb4p9mcziFn70DuLkKwUCG1r1/S2RXh/e7jZgQiRbEODsxrhWwfYl5cXBeWN&#10;W+yrng+xFVxiQ04IXYxjLmWoO20orNyoLXsfzhuKLH0rG08Ll5tBrpXKpKHe8oeORl11uv46TAbh&#10;mH7Kl75aaHp+vH9KZ+9UtXGI11eJugMR9Tn+heEXn9GhZKaTm2wTxICwViknEW55ANu7LOHjhJBu&#10;NxnIspD/B5Q/UEsDBBQAAAAIAIdO4kByRxsYQAIAAGoEAAAOAAAAZHJzL2Uyb0RvYy54bWytVMFu&#10;2zAMvQ/YPwi6r3aCtGmMOEXRosOAbivQ7QMUWbaFSaJGKXG6nxmw2z5inzPsN0bJaZt2lx7mgyGa&#10;1CPfI+nl2c4atlUYNLiaT45KzpST0GjX1fzzp6s3p5yFKFwjDDhV8zsV+Nnq9avl4Cs1hR5Mo5AR&#10;iAvV4Gvex+irogiyV1aEI/DKkbMFtCKSiV3RoBgI3ZpiWpYnxQDYeASpQqCvl6OT7xHxJYDQtlqq&#10;S5Abq1wcUVEZEYlS6LUPfJWrbVsl48e2DSoyU3NiGvObktB5nd7FaimqDoXvtdyXIF5SwjNOVmhH&#10;SR+gLkUUbIP6HyirJUKANh5JsMVIJCtCLCblM21ue+FV5kJSB/8gevh/sPLD9gaZbmgSqO9OWOr4&#10;n+8/f//6wU6SOIMPFcXc+htM9IK/BvklMAcXvXCdOkeEoVeioZImKb54ciEZga6y9fAeGoIWmwhZ&#10;p12LNgGSAmxHd6fl6bykptzVfF4uFnTMnVG7yCT557Pp4pjckvx0ms6PczJR3eN4DPGtAsvSoeZI&#10;jc95xPY6xFSXqO5DUloHV9qYnMI4NqQCcnphOloKGTFfDmB0kwIzdezWFwbZVqRRys++hidhVkda&#10;D6NtzU8Pg4zbi5P0GHWNu/WOSkgiraG5I5kQxgGl9aRDD/iNs4GGs+bh60ag4sy8cyT1YjKbpWnO&#10;xux4PiUDDz3rQ49wkqBGWmw0LuK4AxuPuusp1yQTdnBODWp1Vuyxrn3lNIJZyP26pBk/tHPU4y9i&#10;9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35VfO1wAAAAgBAAAPAAAAAAAAAAEAIAAAACIAAABk&#10;cnMvZG93bnJldi54bWxQSwECFAAUAAAACACHTuJAckcbGEACAABqBAAADgAAAAAAAAABACAAAAAm&#10;AQAAZHJzL2Uyb0RvYy54bWxQSwUGAAAAAAYABgBZAQAA2AUAAAAA&#10;">
                        <v:fill on="f" focussize="0,0"/>
                        <v:stroke weight="1pt" color="#000000" miterlimit="8" joinstyle="miter"/>
                        <v:imagedata o:title=""/>
                        <o:lock v:ext="edit" aspectratio="f"/>
                        <v:textbox>
                          <w:txbxContent>
                            <w:p w14:paraId="408330B3">
                              <w:pPr>
                                <w:jc w:val="center"/>
                                <w:rPr>
                                  <w:kern w:val="0"/>
                                  <w:sz w:val="24"/>
                                </w:rPr>
                              </w:pPr>
                              <w:r>
                                <w:rPr>
                                  <w:rFonts w:hint="eastAsia"/>
                                  <w:color w:val="000000"/>
                                  <w:szCs w:val="21"/>
                                </w:rPr>
                                <w:t>混料</w:t>
                              </w:r>
                            </w:p>
                          </w:txbxContent>
                        </v:textbox>
                      </v:rect>
                      <v:shape id="直接箭头连接符 7" o:spid="_x0000_s1026" o:spt="32" type="#_x0000_t32" style="position:absolute;left:1608750;top:2704784;height:257175;width:0;" filled="f" stroked="t" coordsize="21600,21600" o:gfxdata="UEsDBAoAAAAAAIdO4kAAAAAAAAAAAAAAAAAEAAAAZHJzL1BLAwQUAAAACACHTuJAs5p6ktYAAAAI&#10;AQAADwAAAGRycy9kb3ducmV2LnhtbE2PwU7DMBBE70j8g7VI3KidhoY0xOkBKTeERCmc3XibhMbr&#10;KHbT8vcsJ3rb0Yxm35SbixvEjFPoPWlIFgoEUuNtT62G3Uf9kIMI0ZA1gyfU8IMBNtXtTWkK68/0&#10;jvM2toJLKBRGQxfjWEgZmg6dCQs/IrF38JMzkeXUSjuZM5e7QS6VyqQzPfGHzoz40mFz3J6chte3&#10;db47JvNc183XdzpRbVL5qfX9XaKeQUS8xP8w/OEzOlTMtPcnskEMGpZqxUkNKQ9gO88SPvYaVk+P&#10;GciqlNcDql9QSwMEFAAAAAgAh07iQHlmSCQmAgAAEAQAAA4AAABkcnMvZTJvRG9jLnhtbK1TS44T&#10;MRDdI3EHy3vSSZiko1Y6s0gYNgNEmuEAFbe728I/2U46uQQXQGIFrAZWs+c0MByDsvOBGTazoBeW&#10;3VXv1avn8vR8qyTZcOeF0SUd9PqUcM1MJXRT0rfXF88mlPgAugJpNC/pjnt6Pnv6ZNrZgg9Na2TF&#10;HUES7YvOlrQNwRZZ5lnLFfiesVxjsDZOQcCja7LKQYfsSmbDfn+cdcZV1hnGvce/i32QHhjdYwhN&#10;XQvGF4atFddhz+q4hIAt+VZYT2dJbV1zFt7UteeByJJipyGtWAT3q7hmsykUjQPbCnaQAI+R8KAn&#10;BUJj0RPVAgKQtRP/UCnBnPGmDj1mVLZvJDmCXQz6D7y5asHy1Ata7e3JdP//aNnrzdIRUZV0iJZo&#10;UHjjdx9uf77/fPft649Pt7++f4z7my8kj1511hcImeuli92yrb6yl4a980SbeQu64Unz9c4izyAi&#10;snuQePAWK666V6bCHFgHk4zb1k5FSrSEbBE77k/yEUraobK8f5ZPzvZ3xbeBMEzAEIuxUT7IR6kQ&#10;FEcO63x4yY0icVNSHxyIpg1zozUOhHGDVBE2lz5EhVAcAVGANhdCyjQXUpOupOPnUQfIBp8LCy5h&#10;vZGiinkR4V2zmktHNhCHLH0HQffSlAj4cKRQJZ2ckqAIIOQLXZGQPAtOoIuS01hZ8YoSybFu3O2l&#10;Sn3wNNq4v5CVqXZLd/QaByX1dBjqOIl/nxP6z0Oe/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mnqS1gAAAAgBAAAPAAAAAAAAAAEAIAAAACIAAABkcnMvZG93bnJldi54bWxQSwECFAAUAAAACACH&#10;TuJAeWZIJCYCAAAQBAAADgAAAAAAAAABACAAAAAlAQAAZHJzL2Uyb0RvYy54bWxQSwUGAAAAAAYA&#10;BgBZAQAAvQUAAAAA&#10;">
                        <v:fill on="f" focussize="0,0"/>
                        <v:stroke weight="0.5pt" color="#000000" miterlimit="8" joinstyle="miter" endarrow="block"/>
                        <v:imagedata o:title=""/>
                        <o:lock v:ext="edit" aspectratio="f"/>
                      </v:shape>
                      <v:shape id="直接箭头连接符 8" o:spid="_x0000_s1026" o:spt="32" type="#_x0000_t32" style="position:absolute;left:1581150;top:1005171;height:257175;width:0;" filled="f" stroked="t" coordsize="21600,21600" o:gfxdata="UEsDBAoAAAAAAIdO4kAAAAAAAAAAAAAAAAAEAAAAZHJzL1BLAwQUAAAACACHTuJAs5p6ktYAAAAI&#10;AQAADwAAAGRycy9kb3ducmV2LnhtbE2PwU7DMBBE70j8g7VI3KidhoY0xOkBKTeERCmc3XibhMbr&#10;KHbT8vcsJ3rb0Yxm35SbixvEjFPoPWlIFgoEUuNtT62G3Uf9kIMI0ZA1gyfU8IMBNtXtTWkK68/0&#10;jvM2toJLKBRGQxfjWEgZmg6dCQs/IrF38JMzkeXUSjuZM5e7QS6VyqQzPfGHzoz40mFz3J6chte3&#10;db47JvNc183XdzpRbVL5qfX9XaKeQUS8xP8w/OEzOlTMtPcnskEMGpZqxUkNKQ9gO88SPvYaVk+P&#10;GciqlNcDql9QSwMEFAAAAAgAh07iQIi5ba0mAgAAEAQAAA4AAABkcnMvZTJvRG9jLnhtbK1TS44T&#10;MRDdI3EHy3vS3UGZRK10ZpEwbAaINMMBKm53t4V/sp10cgkugMQKWDGsZs9pYDgGZecDM2xmQS+s&#10;crveq1fP5en5Vkmy4c4LoytaDHJKuGamFrqt6Nvri2cTSnwAXYM0mld0xz09nz19Mu1tyYemM7Lm&#10;jiCJ9mVvK9qFYMss86zjCvzAWK7xsDFOQcCta7PaQY/sSmbDPD/LeuNq6wzj3uPfxf6QHhjdYwhN&#10;0wjGF4atFddhz+q4hIAt+U5YT2dJbdNwFt40jeeByIpipyGtWATjVVyz2RTK1oHtBDtIgMdIeNCT&#10;AqGx6IlqAQHI2ol/qJRgznjThAEzKts3khzBLor8gTdXHVieekGrvT2Z7v8fLXu9WToi6ooOC0o0&#10;KLzxuw+3P99/vvt28+PT7a/vH2P89QuZRK9660uEzPXSxW7ZVl/ZS8PeeaLNvAPd8qT5emeRp4iI&#10;7B4kbrzFiqv+lakxB9bBJOO2jVOREi0hW8SOJkUxwlvaYZzno2Kc2KDk20AYJuARw7PhaFyMR6kQ&#10;lEcO63x4yY0iMaioDw5E24W50RoHwrgiVYTNpQ9RIZRHQBSgzYWQMs2F1KSv6NnzqANki8+FBZew&#10;3khRx7yI8K5dzaUjG4hDlr6DoHtpSgR8OFKoik5OSVAGEPKFrklIngUn0EXJaayseE2J5Fg3Rnup&#10;Uh88jTbuL2Rl6t3SHb3GQUk9HYY6TuLf+4T+85Bn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mnqS1gAAAAgBAAAPAAAAAAAAAAEAIAAAACIAAABkcnMvZG93bnJldi54bWxQSwECFAAUAAAACACH&#10;TuJAiLltrSYCAAAQBAAADgAAAAAAAAABACAAAAAlAQAAZHJzL2Uyb0RvYy54bWxQSwUGAAAAAAYA&#10;BgBZAQAAvQUAAAAA&#10;">
                        <v:fill on="f" focussize="0,0"/>
                        <v:stroke weight="0.5pt" color="#000000" miterlimit="8" joinstyle="miter" endarrow="block"/>
                        <v:imagedata o:title=""/>
                        <o:lock v:ext="edit" aspectratio="f"/>
                      </v:shape>
                      <v:rect id="矩形 9" o:spid="_x0000_s1026" o:spt="1" style="position:absolute;left:1218225;top:1271871;height:295275;width:742950;v-text-anchor:middle;" filled="f" stroked="t" coordsize="21600,21600" o:gfxdata="UEsDBAoAAAAAAIdO4kAAAAAAAAAAAAAAAAAEAAAAZHJzL1BLAwQUAAAACACHTuJAd+VXztcAAAAI&#10;AQAADwAAAGRycy9kb3ducmV2LnhtbE2PwU7DMBBE70j8g7VI3Kid0qRVyKaHIA4IJETh0ts2MUkg&#10;tiPbScrfs5zgtqMZzb4p9mcziFn70DuLkKwUCG1r1/S2RXh/e7jZgQiRbEODsxrhWwfYl5cXBeWN&#10;W+yrng+xFVxiQ04IXYxjLmWoO20orNyoLXsfzhuKLH0rG08Ll5tBrpXKpKHe8oeORl11uv46TAbh&#10;mH7Kl75aaHp+vH9KZ+9UtXGI11eJugMR9Tn+heEXn9GhZKaTm2wTxICwViknEW55ANu7LOHjhJBu&#10;NxnIspD/B5Q/UEsDBBQAAAAIAIdO4kDpuAzVQQIAAGsEAAAOAAAAZHJzL2Uyb0RvYy54bWytVMFu&#10;1DAQvSPxD5bvNJtol92Nmq2qVkVIBSoVPsDrOImF4zFj72bLzyBx4yP4HMRvMHbSsi2XHsghmonH&#10;b+a9mcnp2aE3bK/Qa7AVz09mnCkroda2rfinj1evVpz5IGwtDFhV8Tvl+dnm5YvTwZWqgA5MrZAR&#10;iPXl4CreheDKLPOyU73wJ+CUpcMGsBeBXGyzGsVA6L3JitnsdTYA1g5BKu/p6+V4yCdEfA4gNI2W&#10;6hLkrlc2jKiojAhEyXfaeb5J1TaNkuFD03gVmKk4MQ3pTUnI3sZ3tjkVZYvCdVpOJYjnlPCEUy+0&#10;paQPUJciCLZD/Q9UryWChyacSOizkUhShFjksyfa3HbCqcSFpPbuQXT//2Dl+/0NMl1XvCg4s6Kn&#10;jv/+9uPXz+9sHcUZnC8p5tbdYKTn3TXIz55ZuOiEbdU5IgydEjWVlMf47NGF6Hi6yrbDO6gJWuwC&#10;JJ0ODfYRkBRgB7pb5KuiWHB2F+1lvlomNFGqQ2CSApbzYr2gpkkKIKtYLlI2Ud4DOfThjYKeRaPi&#10;SJ1PicT+2odYmCjvQ2JeC1famNR9Y9mQss4IX5iWtkIGTJc9GF3HwMQd2+2FQbYXcZbSM9XwKKzX&#10;gfbD6L7iq+MgYyd1oiCjsOGwPUwab6G+I50Qxgml/SSjA/zK2UDTWXH/ZSdQcWbeWtJ6nc/ncZyT&#10;M18sC3Lw+GR7fCKsJKiRFhudizAuwc6hbjvKlSfCFs6pQ41OisXujXVNldMMJiGnfYlDfuynqL//&#10;i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VXztcAAAAIAQAADwAAAAAAAAABACAAAAAiAAAA&#10;ZHJzL2Rvd25yZXYueG1sUEsBAhQAFAAAAAgAh07iQOm4DNVBAgAAawQAAA4AAAAAAAAAAQAgAAAA&#10;JgEAAGRycy9lMm9Eb2MueG1sUEsFBgAAAAAGAAYAWQEAANkFAAAAAA==&#10;">
                        <v:fill on="f" focussize="0,0"/>
                        <v:stroke weight="1pt" color="#000000" miterlimit="8" joinstyle="miter"/>
                        <v:imagedata o:title=""/>
                        <o:lock v:ext="edit" aspectratio="f"/>
                        <v:textbox>
                          <w:txbxContent>
                            <w:p w14:paraId="0F4C62E6">
                              <w:pPr>
                                <w:jc w:val="center"/>
                                <w:rPr>
                                  <w:kern w:val="0"/>
                                  <w:sz w:val="24"/>
                                </w:rPr>
                              </w:pPr>
                              <w:r>
                                <w:rPr>
                                  <w:rFonts w:hint="eastAsia"/>
                                  <w:color w:val="000000"/>
                                  <w:szCs w:val="21"/>
                                </w:rPr>
                                <w:t>挤出</w:t>
                              </w:r>
                            </w:p>
                          </w:txbxContent>
                        </v:textbox>
                      </v:rect>
                      <v:shape id="直接箭头连接符 10" o:spid="_x0000_s1026" o:spt="32" type="#_x0000_t32" style="position:absolute;left:1597955;top:1576671;height:257175;width:0;" filled="f" stroked="t" coordsize="21600,21600" o:gfxdata="UEsDBAoAAAAAAIdO4kAAAAAAAAAAAAAAAAAEAAAAZHJzL1BLAwQUAAAACACHTuJAs5p6ktYAAAAI&#10;AQAADwAAAGRycy9kb3ducmV2LnhtbE2PwU7DMBBE70j8g7VI3KidhoY0xOkBKTeERCmc3XibhMbr&#10;KHbT8vcsJ3rb0Yxm35SbixvEjFPoPWlIFgoEUuNtT62G3Uf9kIMI0ZA1gyfU8IMBNtXtTWkK68/0&#10;jvM2toJLKBRGQxfjWEgZmg6dCQs/IrF38JMzkeXUSjuZM5e7QS6VyqQzPfGHzoz40mFz3J6chte3&#10;db47JvNc183XdzpRbVL5qfX9XaKeQUS8xP8w/OEzOlTMtPcnskEMGpZqxUkNKQ9gO88SPvYaVk+P&#10;GciqlNcDql9QSwMEFAAAAAgAh07iQL7Pq4opAgAAEQQAAA4AAABkcnMvZTJvRG9jLnhtbK1TS3IT&#10;MRDdU8UdVNrj8Tg1djLlcRY2YRMgVQkHaGs0Myr0K0n22JfgAlSxAlbAKntOA+EYtOQPJGyyYBaq&#10;1qj7vddPren5Rkmy5s4LoyuaD4aUcM1MLXRb0Tc3F89OKfEBdA3SaF7RLff0fPb0ybS3JR+Zzsia&#10;O4Ig2pe9rWgXgi2zzLOOK/ADY7nGw8Y4BQG3rs1qBz2iK5mNhsNx1htXW2cY9x7/LnaHdI/oHgNo&#10;mkYwvjBspbgOO1THJQRsyXfCejpLapuGs/C6aTwPRFYUOw1pRRKMl3HNZlMoWwe2E2wvAR4j4UFP&#10;CoRG0iPUAgKQlRP/QCnBnPGmCQNmVLZrJDmCXeTDB95cd2B56gWt9vZouv9/sOzV+soRUVd0dEKJ&#10;BoU3fvf+9ue7T3ffvv74ePvr+4cYf/lM8mRWb32JNXN95WK7bKOv7aVhbz3RZt6BbnkSfbO1CJRH&#10;e7N7JXHjLVIu+5emxhxYBZOc2zRORUj0hGywtjibnBUFJdsYT8bjSUKDkm8CYZiAN8jwbFRM8kmR&#10;iKA8YFjnwwtuFIlBRX1wINouzI3WOBHG5YkR1pc+RIVQHgqiAG0uhJRpMKQmfUXHJwWSgWzxvbDg&#10;Uq03UtQxL1Z41y7n0pE1xClL317QvTQlAr4cKVRFT49JUAYQ8rmuSUieBSfQRclpZFa8pkRy5I3R&#10;TqrUe0+jjXHOfbk09fbKHbzGSUk97ac6juLf+1T95yXP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mnqS1gAAAAgBAAAPAAAAAAAAAAEAIAAAACIAAABkcnMvZG93bnJldi54bWxQSwECFAAUAAAA&#10;CACHTuJAvs+riikCAAARBAAADgAAAAAAAAABACAAAAAlAQAAZHJzL2Uyb0RvYy54bWxQSwUGAAAA&#10;AAYABgBZAQAAwAUAAAAA&#10;">
                        <v:fill on="f" focussize="0,0"/>
                        <v:stroke weight="0.5pt" color="#000000" miterlimit="8" joinstyle="miter" endarrow="block"/>
                        <v:imagedata o:title=""/>
                        <o:lock v:ext="edit" aspectratio="f"/>
                      </v:shape>
                      <v:rect id="矩形 11" o:spid="_x0000_s1026" o:spt="1" style="position:absolute;left:1208700;top:2398034;height:295275;width:742950;v-text-anchor:middle;" filled="f" stroked="t" coordsize="21600,21600" o:gfxdata="UEsDBAoAAAAAAIdO4kAAAAAAAAAAAAAAAAAEAAAAZHJzL1BLAwQUAAAACACHTuJAd+VXztcAAAAI&#10;AQAADwAAAGRycy9kb3ducmV2LnhtbE2PwU7DMBBE70j8g7VI3Kid0qRVyKaHIA4IJETh0ts2MUkg&#10;tiPbScrfs5zgtqMZzb4p9mcziFn70DuLkKwUCG1r1/S2RXh/e7jZgQiRbEODsxrhWwfYl5cXBeWN&#10;W+yrng+xFVxiQ04IXYxjLmWoO20orNyoLXsfzhuKLH0rG08Ll5tBrpXKpKHe8oeORl11uv46TAbh&#10;mH7Kl75aaHp+vH9KZ+9UtXGI11eJugMR9Tn+heEXn9GhZKaTm2wTxICwViknEW55ANu7LOHjhJBu&#10;NxnIspD/B5Q/UEsDBBQAAAAIAIdO4kBDAyLZQgIAAGwEAAAOAAAAZHJzL2Uyb0RvYy54bWytVM1u&#10;2zAMvg/YOwi6r3bcZPlBnKJI0WFAtxXo9gCKLNvCZFGjlDjdywzYbQ+xxxn2GqPkpEu7Sw/zwRBN&#10;6uPHj6SXF/vOsJ1Cr8GWfHSWc6ashErbpuSfPl6/mnHmg7CVMGBVye+V5xerly+WvVuoAlowlUJG&#10;INYvelfyNgS3yDIvW9UJfwZOWXLWgJ0IZGKTVSh6Qu9MVuT566wHrByCVN7T16vByQ+I+BxAqGst&#10;1RXIbadsGFBRGRGoJN9q5/kqsa1rJcOHuvYqMFNyqjSkNyWh8ya+s9VSLBoUrtXyQEE8h8KTmjqh&#10;LSV9gLoSQbAt6n+gOi0RPNThTEKXDYUkRaiKUf5Em7tWOJVqIam9exDd/z9Y+X53i0xXJS/GnFnR&#10;Ucd/f/vx6+d3NhpFdXrnFxR0524x1ufdDcjPnllYt8I26hIR+laJijil+OzRhWh4uso2/TuoCFts&#10;AySh9jV2EZAkYHu6W+SzaU5duScm5/NZfj4eeqP2gUkKmI6L+YT8MgbMJ8V0Ev2ZWByBHPrwRkHH&#10;4qHkSK1PicTuxoch9BgS81q41sak9hvL+sgg5RemobWQAdNlD0ZXMTDVjs1mbZDtRBym9Bw4PArr&#10;dKAFMbor+ew0yFjiexRkEDbsN/uDxhuo7kknhGFEaUHp0AJ+5ayn8Sy5/7IVqDgzby1pPR+Nx3Ge&#10;kzGeTAsy8NSzOfUIKwlqKIsNxjoMW7B1qJuWco1SwRYuqUO1TopFsgOvA3MawqT5YWHilJ/aKerv&#10;T2L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flV87XAAAACAEAAA8AAAAAAAAAAQAgAAAAIgAA&#10;AGRycy9kb3ducmV2LnhtbFBLAQIUABQAAAAIAIdO4kBDAyLZQgIAAGwEAAAOAAAAAAAAAAEAIAAA&#10;ACYBAABkcnMvZTJvRG9jLnhtbFBLBQYAAAAABgAGAFkBAADaBQAAAAA=&#10;">
                        <v:fill on="f" focussize="0,0"/>
                        <v:stroke weight="1pt" color="#000000" miterlimit="8" joinstyle="miter"/>
                        <v:imagedata o:title=""/>
                        <o:lock v:ext="edit" aspectratio="f"/>
                        <v:textbox>
                          <w:txbxContent>
                            <w:p w14:paraId="6BF96994">
                              <w:pPr>
                                <w:jc w:val="center"/>
                                <w:rPr>
                                  <w:kern w:val="0"/>
                                  <w:sz w:val="24"/>
                                </w:rPr>
                              </w:pPr>
                              <w:r>
                                <w:rPr>
                                  <w:rFonts w:hint="eastAsia"/>
                                  <w:color w:val="000000"/>
                                  <w:szCs w:val="21"/>
                                </w:rPr>
                                <w:t>切粒</w:t>
                              </w:r>
                            </w:p>
                          </w:txbxContent>
                        </v:textbox>
                      </v:rect>
                      <v:rect id="矩形 12" o:spid="_x0000_s1026" o:spt="1" style="position:absolute;left:1208700;top:2959642;height:295275;width:742950;v-text-anchor:middle;" filled="f" stroked="t" coordsize="21600,21600" o:gfxdata="UEsDBAoAAAAAAIdO4kAAAAAAAAAAAAAAAAAEAAAAZHJzL1BLAwQUAAAACACHTuJAd+VXztcAAAAI&#10;AQAADwAAAGRycy9kb3ducmV2LnhtbE2PwU7DMBBE70j8g7VI3Kid0qRVyKaHIA4IJETh0ts2MUkg&#10;tiPbScrfs5zgtqMZzb4p9mcziFn70DuLkKwUCG1r1/S2RXh/e7jZgQiRbEODsxrhWwfYl5cXBeWN&#10;W+yrng+xFVxiQ04IXYxjLmWoO20orNyoLXsfzhuKLH0rG08Ll5tBrpXKpKHe8oeORl11uv46TAbh&#10;mH7Kl75aaHp+vH9KZ+9UtXGI11eJugMR9Tn+heEXn9GhZKaTm2wTxICwViknEW55ANu7LOHjhJBu&#10;NxnIspD/B5Q/UEsDBBQAAAAIAIdO4kDHymcDQQIAAGwEAAAOAAAAZHJzL2Uyb0RvYy54bWytVM1u&#10;2zAMvg/YOwi6r06MpGmNOkXRosOA/RTo9gCKLNvCJFGjlDjdywzYbQ+xxxn2GqNkt0u7Sw/zwRBN&#10;6uPHj6TPzvfWsJ3CoMHVfH4040w5CY12Xc0/fbx+dcJZiMI1woBTNb9TgZ+vX744G3ylSujBNAoZ&#10;gbhQDb7mfYy+Kooge2VFOAKvHDlbQCsimdgVDYqB0K0pytnsuBgAG48gVQj09Wp08gkRnwMIbaul&#10;ugK5tcrFERWVEZFKCr32ga8z27ZVMn5o26AiMzWnSmN+UxI6b9K7WJ+JqkPhey0nCuI5FJ7UZIV2&#10;lPQB6kpEwbao/4GyWiIEaOORBFuMhWRFqIr57Ik2t73wKtdCUgf/IHr4f7Dy/e4GmW5qXi45c8JS&#10;x39/+/Hr53c2L5M6gw8VBd36G0z1Bf8W5OfAHFz2wnXqAhGGXomGOM1TfPHoQjICXWWb4R00hC22&#10;EbJQ+xZtAiQJ2J7ulrOT1Yy6ckdMTpenx4ucXVRqH5mkgNWCPpNfjgHlapmzieoeyGOIrxVYlg41&#10;R2p9TiR2b0NMxER1H5LyOrjWxuT2G8eGxCDnF6ajtZAR8+UARjcpMNeO3ebSINuJNEz5mTg8CrM6&#10;0oIYbWt+chhk3KROEmQUNu43+0njDTR3pBPCOKK0oHToAb9yNtB41jx82QpUnJk3jrQ+nS8WaZ6z&#10;sViuSjLw0LM59AgnCWosi43GZRy3YOtRdz3lmueCHVxQh1qdFUvdG3lNzGkIs5DTwqQpP7Rz1N+f&#10;xP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VXztcAAAAIAQAADwAAAAAAAAABACAAAAAiAAAA&#10;ZHJzL2Rvd25yZXYueG1sUEsBAhQAFAAAAAgAh07iQMfKZwNBAgAAbAQAAA4AAAAAAAAAAQAgAAAA&#10;JgEAAGRycy9lMm9Eb2MueG1sUEsFBgAAAAAGAAYAWQEAANkFAAAAAA==&#10;">
                        <v:fill on="f" focussize="0,0"/>
                        <v:stroke weight="1pt" color="#000000" miterlimit="8" joinstyle="miter"/>
                        <v:imagedata o:title=""/>
                        <o:lock v:ext="edit" aspectratio="f"/>
                        <v:textbox>
                          <w:txbxContent>
                            <w:p w14:paraId="3D9B09AD">
                              <w:pPr>
                                <w:jc w:val="center"/>
                                <w:rPr>
                                  <w:rFonts w:hint="eastAsia" w:eastAsia="宋体"/>
                                  <w:kern w:val="0"/>
                                  <w:sz w:val="24"/>
                                  <w:lang w:eastAsia="zh-CN"/>
                                </w:rPr>
                              </w:pPr>
                              <w:r>
                                <w:rPr>
                                  <w:rFonts w:hint="eastAsia"/>
                                  <w:color w:val="000000"/>
                                  <w:szCs w:val="21"/>
                                  <w:lang w:eastAsia="zh-CN"/>
                                </w:rPr>
                                <w:t>包装出厂</w:t>
                              </w:r>
                            </w:p>
                            <w:p w14:paraId="675C58A3">
                              <w:pPr>
                                <w:jc w:val="center"/>
                                <w:rPr>
                                  <w:rFonts w:hint="eastAsia" w:eastAsia="宋体"/>
                                  <w:kern w:val="0"/>
                                  <w:sz w:val="24"/>
                                  <w:lang w:eastAsia="zh-CN"/>
                                </w:rPr>
                              </w:pPr>
                            </w:p>
                          </w:txbxContent>
                        </v:textbox>
                      </v:rect>
                      <v:shape id="直接箭头连接符 13" o:spid="_x0000_s1026" o:spt="32" type="#_x0000_t32" style="position:absolute;left:1961175;top:834696;height:0;width:553425;" filled="f" stroked="t" coordsize="21600,21600" o:gfxdata="UEsDBAoAAAAAAIdO4kAAAAAAAAAAAAAAAAAEAAAAZHJzL1BLAwQUAAAACACHTuJA9OTAitgAAAAI&#10;AQAADwAAAGRycy9kb3ducmV2LnhtbE2PzU7DMBCE70i8g7VI3Kid0oY2xKkEUhA3lICqHp14iaPE&#10;dhS7P7w9y6ncdjSj2W/y3cWO7IRz6L2TkCwEMHSt173rJHx9lg8bYCEqp9XoHUr4wQC74vYmV5n2&#10;Z1fhqY4doxIXMiXBxDhlnIfWoFVh4Sd05H372apIcu64ntWZyu3Il0Kk3Kre0QejJnw12A710Uqo&#10;X5Lte2iG7eFNDx+lqcpqvyqlvL9LxDOwiJd4DcMfPqFDQUyNPzod2ChhKdaUlPBIA8jepAkdjYT1&#10;0yoFXuT8/4DiF1BLAwQUAAAACACHTuJAj3fHzjQCAAAoBAAADgAAAGRycy9lMm9Eb2MueG1srVPN&#10;ctMwEL4zwztodKeOk8a0njg9JJRLgc60PMBGlm0N+htJjZOX4AWY4QQ9AafeeRooj8FKTkMplx7I&#10;wbPK6vt2v29Xs5ONkmTNnRdGVzQ/GFHCNTO10G1F316ePjuixAfQNUijeUW33NOT+dMns96WfGw6&#10;I2vuCJJoX/a2ol0ItswyzzquwB8YyzUmG+MUBDy6Nqsd9MiuZDYejYqsN662zjDuPf67HJJ0x+ge&#10;Q2iaRjC+NOxKcR0GVsclBJTkO2E9nadum4az8KZpPA9EVhSVhvTFIhiv4jebz6BsHdhOsF0L8JgW&#10;HmhSIDQW3VMtIQC5cuIfKiWYM9404YAZlQ1CkiOoIh898OaiA8uTFrTa273p/v/Rstfrc0dEXdFx&#10;QYkGhRO//XDz8/3n229ff3y6+fX9Y4y/XJN8Es3qrS8Rs9DnLsplG31hzwx754k2iw50y1PTl1uL&#10;RHlEZH9B4sFbLLnqX5ka78BVMMm5TeNUpERPyAaxx0WeP59Ssq3o0eSwOC6GWfFNIAzz0+nkcIxp&#10;hvk0xgzKOwrrfHjJjSIxqKgPDkTbhYXRGhfCuDwVhPWZD7FBKO8Asb42p0LKtBdSk76ixWSK2wKy&#10;xefCgktYb6So472I8K5dLaQja4hLln5JOGbuX4tFluC74V6N0aBIiYAPSgqFQvdgKAMI+ULXJCQr&#10;gxNoruQ0dqR4TYnk2E+MBglS76yO7g5zWpl6e+7uRoALlLTulj1u6P1zQv954P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OTAitgAAAAIAQAADwAAAAAAAAABACAAAAAiAAAAZHJzL2Rvd25yZXYu&#10;eG1sUEsBAhQAFAAAAAgAh07iQI93x840AgAAKAQAAA4AAAAAAAAAAQAgAAAAJwEAAGRycy9lMm9E&#10;b2MueG1sUEsFBgAAAAAGAAYAWQEAAM0FAAAAAA==&#10;">
                        <v:fill on="f" focussize="0,0"/>
                        <v:stroke weight="0.5pt" color="#000000" miterlimit="8" joinstyle="miter" dashstyle="dash" endarrow="block"/>
                        <v:imagedata o:title=""/>
                        <o:lock v:ext="edit" aspectratio="f"/>
                      </v:shape>
                      <v:shape id="文本框 4" o:spid="_x0000_s1026" o:spt="202" type="#_x0000_t202" style="position:absolute;left:2514600;top:691515;height:504190;width:2534920;" filled="f" stroked="f" coordsize="21600,21600" o:gfxdata="UEsDBAoAAAAAAIdO4kAAAAAAAAAAAAAAAAAEAAAAZHJzL1BLAwQUAAAACACHTuJABnua9dYAAAAI&#10;AQAADwAAAGRycy9kb3ducmV2LnhtbE2PwU7DMBBE70j8g7VI3Kid0qQlZNMDiCuIApW4uck2iYjX&#10;Uew24e9ZTnDb0Yxm3xTb2fXqTGPoPCMkCwOKuPJ1xw3C+9vTzQZUiJZr23smhG8KsC0vLwqb137i&#10;VzrvYqOkhENuEdoYh1zrULXkbFj4gVi8ox+djSLHRtejnaTc9XppTKad7Vg+tHagh5aqr93JIXw8&#10;Hz/3K/PSPLp0mPxsNLs7jXh9lZh7UJHm+BeGX3xBh1KYDv7EdVA9wtKkkkS4lQFib7JEjgNCul5l&#10;oMtC/x9Q/gBQSwMEFAAAAAgAh07iQIARoj0iAgAAIQQAAA4AAABkcnMvZTJvRG9jLnhtbK1TzY7T&#10;MBC+I/EOlu80SUm7NGq6WrZahLT8SAsP4DpOY5F4zNhtsjwAvAEnLtx5rj4HY6e7lOWyBy6W7Rl/&#10;M983n5fnQ9eyvUKnwZQ8m6ScKSOh0mZb8o8frp694Mx5YSrRglElv1WOn6+ePln2tlBTaKCtFDIC&#10;Ma7obckb722RJE42qhNuAlYZCtaAnfB0xG1SoegJvWuTaZrOkx6wsghSOUe36zHIj4j4GECoay3V&#10;GuSuU8aPqKha4YmSa7R1fBW7rWsl/bu6dsqztuTE1MeVitB+E9ZktRTFFoVttDy2IB7TwgNOndCG&#10;it5DrYUXbIf6H6hOSwQHtZ9I6JKRSFSEWGTpA21uGmFV5EJSO3svuvt/sPLt/j0yXZV8esaZER1N&#10;/PD92+HHr8PPrywP+vTWFZR2YynRDy9hINdErs5eg/zkmIHLRpitukCEvlGiov6y8DI5eTriuACy&#10;6d9ARXXEzkMEGmrsgngkByP06SzL5ylN6Lbk80U2y2bjmNTgmYzx5/liSnFJCbM0zxZxjoko7oAs&#10;Ov9KQcfCpuRINoiFxP7a+dCYKO5SQl0DV7ptoxVa89cFJYabSCT0PrLww2Y4CrOB6pYoIYzOon9F&#10;mwbwC2c9uark7vNOoOKsfW1IlkWW58GG8ZDPzgILPI1sTiPCSIIqueds3F760bo7i3rbUKVxEAYu&#10;SMpaR2pB87GrY9/knMj46PJgzdNzzPrzs1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Z7mvXW&#10;AAAACAEAAA8AAAAAAAAAAQAgAAAAIgAAAGRycy9kb3ducmV2LnhtbFBLAQIUABQAAAAIAIdO4kCA&#10;EaI9IgIAACEEAAAOAAAAAAAAAAEAIAAAACUBAABkcnMvZTJvRG9jLnhtbFBLBQYAAAAABgAGAFkB&#10;AAC5BQAAAAA=&#10;">
                        <v:fill on="f" focussize="0,0"/>
                        <v:stroke on="f"/>
                        <v:imagedata o:title=""/>
                        <o:lock v:ext="edit" aspectratio="f"/>
                        <v:textbox>
                          <w:txbxContent>
                            <w:p w14:paraId="72E3933E">
                              <w:pPr>
                                <w:rPr>
                                  <w:rFonts w:hint="eastAsia"/>
                                  <w:kern w:val="0"/>
                                  <w:szCs w:val="21"/>
                                  <w:lang w:eastAsia="zh-CN"/>
                                </w:rPr>
                              </w:pPr>
                              <w:r>
                                <w:rPr>
                                  <w:rFonts w:hint="eastAsia"/>
                                  <w:kern w:val="0"/>
                                  <w:szCs w:val="21"/>
                                </w:rPr>
                                <w:t>投料</w:t>
                              </w:r>
                              <w:r>
                                <w:rPr>
                                  <w:kern w:val="0"/>
                                  <w:szCs w:val="21"/>
                                </w:rPr>
                                <w:t>废气G</w:t>
                              </w:r>
                              <w:r>
                                <w:rPr>
                                  <w:kern w:val="0"/>
                                  <w:szCs w:val="21"/>
                                  <w:vertAlign w:val="subscript"/>
                                </w:rPr>
                                <w:t>1</w:t>
                              </w:r>
                              <w:r>
                                <w:rPr>
                                  <w:rFonts w:hint="eastAsia"/>
                                  <w:kern w:val="0"/>
                                  <w:szCs w:val="21"/>
                                </w:rPr>
                                <w:t>、搅拌</w:t>
                              </w:r>
                              <w:r>
                                <w:rPr>
                                  <w:kern w:val="0"/>
                                  <w:szCs w:val="21"/>
                                </w:rPr>
                                <w:t>废气G</w:t>
                              </w:r>
                              <w:r>
                                <w:rPr>
                                  <w:kern w:val="0"/>
                                  <w:szCs w:val="21"/>
                                  <w:vertAlign w:val="subscript"/>
                                </w:rPr>
                                <w:t>2</w:t>
                              </w:r>
                              <w:r>
                                <w:rPr>
                                  <w:rFonts w:hint="eastAsia"/>
                                  <w:kern w:val="0"/>
                                  <w:szCs w:val="21"/>
                                </w:rPr>
                                <w:t>、噪声N</w:t>
                              </w:r>
                              <w:r>
                                <w:rPr>
                                  <w:rFonts w:hint="eastAsia"/>
                                  <w:kern w:val="0"/>
                                  <w:szCs w:val="21"/>
                                  <w:lang w:eastAsia="zh-CN"/>
                                </w:rPr>
                                <w:t>、</w:t>
                              </w:r>
                            </w:p>
                            <w:p w14:paraId="00E8121D">
                              <w:pPr>
                                <w:rPr>
                                  <w:rFonts w:hint="eastAsia" w:eastAsia="宋体"/>
                                  <w:kern w:val="0"/>
                                  <w:szCs w:val="21"/>
                                  <w:lang w:eastAsia="zh-CN"/>
                                </w:rPr>
                              </w:pPr>
                              <w:r>
                                <w:rPr>
                                  <w:rFonts w:hint="eastAsia"/>
                                  <w:szCs w:val="21"/>
                                  <w:lang w:eastAsia="zh-CN"/>
                                </w:rPr>
                                <w:t>废包装袋</w:t>
                              </w:r>
                              <w:r>
                                <w:rPr>
                                  <w:szCs w:val="21"/>
                                </w:rPr>
                                <w:t>S</w:t>
                              </w:r>
                              <w:r>
                                <w:rPr>
                                  <w:szCs w:val="21"/>
                                  <w:vertAlign w:val="subscript"/>
                                </w:rPr>
                                <w:t>1</w:t>
                              </w:r>
                            </w:p>
                          </w:txbxContent>
                        </v:textbox>
                      </v:shape>
                      <v:shape id="直接箭头连接符 15" o:spid="_x0000_s1026" o:spt="32" type="#_x0000_t32" style="position:absolute;left:1951650;top:837225;height:0;width:553085;" filled="f" stroked="t" coordsize="21600,21600" o:gfxdata="UEsDBAoAAAAAAIdO4kAAAAAAAAAAAAAAAAAEAAAAZHJzL1BLAwQUAAAACACHTuJA9OTAitgAAAAI&#10;AQAADwAAAGRycy9kb3ducmV2LnhtbE2PzU7DMBCE70i8g7VI3Kid0oY2xKkEUhA3lICqHp14iaPE&#10;dhS7P7w9y6ncdjSj2W/y3cWO7IRz6L2TkCwEMHSt173rJHx9lg8bYCEqp9XoHUr4wQC74vYmV5n2&#10;Z1fhqY4doxIXMiXBxDhlnIfWoFVh4Sd05H372apIcu64ntWZyu3Il0Kk3Kre0QejJnw12A710Uqo&#10;X5Lte2iG7eFNDx+lqcpqvyqlvL9LxDOwiJd4DcMfPqFDQUyNPzod2ChhKdaUlPBIA8jepAkdjYT1&#10;0yoFXuT8/4DiF1BLAwQUAAAACACHTuJAy68wGjMCAAAoBAAADgAAAGRycy9lMm9Eb2MueG1srVNL&#10;jhMxEN0jcQfLe9L5qENopTOLhGEzwEgzHKDidndb+CfbSSeX4AJIrIAVsJo9p4HhGJTdSRiGzSzI&#10;olVO+b2q96o8P9spSbbceWF0SUeDISVcM1MJ3ZT0zfX5kxklPoCuQBrNS7rnnp4tHj+ad7bgY9Ma&#10;WXFHkET7orMlbUOwRZZ51nIFfmAs15isjVMQ8OiarHLQIbuS2Xg4nGadcZV1hnHv8d9Vn6QHRvcQ&#10;QlPXgvGVYRvFdehZHZcQUJJvhfV0kbqta87C67r2PBBZUlQa0heLYLyO32wxh6JxYFvBDi3AQ1q4&#10;p0mB0Fj0RLWCAGTjxD9USjBnvKnDgBmV9UKSI6hiNLznzVULlictaLW3J9P9/6Nlr7aXjoiqpGOc&#10;uwaFE799f/Pz3afbb19/fLz59f1DjL98JqM8mtVZXyBmqS9dlMt2+speGPbWE22WLeiGp6av9xaJ&#10;RhGR/QWJB2+x5Lp7aSq8A5tgknO72qlIiZ6QHWKf5aNpjmPal3Q2eToep/JQ8F0gDPN5PhnOckoY&#10;5tMYMyiOFNb58IIbRWJQUh8ciKYNS6M1LoRxo1QQthc+xAahOAJifW3OhZRpL6QmXUmnk9gGyAaf&#10;CwsuYb2Roor3IsK7Zr2UjmwhLln6JeGYuXstFlmBb/t7FUb99ikR8EFJoVDoCQxFACGf64qEZGVw&#10;As2VnMaOFK8okRz7iVEvQeqD1dHdfk5rU+0v3XEEuEBJ62HZ44bePSf0nwe++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05MCK2AAAAAgBAAAPAAAAAAAAAAEAIAAAACIAAABkcnMvZG93bnJldi54&#10;bWxQSwECFAAUAAAACACHTuJAy68wGjMCAAAoBAAADgAAAAAAAAABACAAAAAnAQAAZHJzL2Uyb0Rv&#10;Yy54bWxQSwUGAAAAAAYABgBZAQAAzAUAAAAA&#10;">
                        <v:fill on="f" focussize="0,0"/>
                        <v:stroke weight="0.5pt" color="#000000" miterlimit="8" joinstyle="miter" dashstyle="dash" endarrow="block"/>
                        <v:imagedata o:title=""/>
                        <o:lock v:ext="edit" aspectratio="f"/>
                      </v:shape>
                      <v:shape id="直接箭头连接符 17" o:spid="_x0000_s1026" o:spt="32" type="#_x0000_t32" style="position:absolute;left:1961515;top:1433796;height:0;width:553085;" filled="f" stroked="t" coordsize="21600,21600" o:gfxdata="UEsDBAoAAAAAAIdO4kAAAAAAAAAAAAAAAAAEAAAAZHJzL1BLAwQUAAAACACHTuJA9OTAitgAAAAI&#10;AQAADwAAAGRycy9kb3ducmV2LnhtbE2PzU7DMBCE70i8g7VI3Kid0oY2xKkEUhA3lICqHp14iaPE&#10;dhS7P7w9y6ncdjSj2W/y3cWO7IRz6L2TkCwEMHSt173rJHx9lg8bYCEqp9XoHUr4wQC74vYmV5n2&#10;Z1fhqY4doxIXMiXBxDhlnIfWoFVh4Sd05H372apIcu64ntWZyu3Il0Kk3Kre0QejJnw12A710Uqo&#10;X5Lte2iG7eFNDx+lqcpqvyqlvL9LxDOwiJd4DcMfPqFDQUyNPzod2ChhKdaUlPBIA8jepAkdjYT1&#10;0yoFXuT8/4DiF1BLAwQUAAAACACHTuJA3LHmEkMCAAA/BAAADgAAAGRycy9lMm9Eb2MueG1srVPN&#10;ctMwEL4zwztodKeOE5Imnjg9JJRLgc60PMBGlm0N+htJiZOX4AWY4QQ9AafeeRooj8FKTksplx7w&#10;QbOydr/d79vd+clOSbLlzgujS5ofDSjhmplK6Kakby9Pn00p8QF0BdJoXtI99/Rk8fTJvLMFH5rW&#10;yIo7giDaF50taRuCLbLMs5Yr8EfGco2PtXEKAl5dk1UOOkRXMhsOBpOsM66yzjDuPf5d9Y/0gOge&#10;A2jqWjC+MmyjuA49quMSAlLyrbCeLlK1dc1ZeFPXngciS4pMQzoxCdrreGaLORSNA9sKdigBHlPC&#10;A04KhMakd1ArCEA2TvwDpQRzxps6HDGjsp5IUgRZ5IMH2ly0YHniglJ7eye6/3+w7PX23BFRlXQ4&#10;o0SDwo7ffLj++f7zzbevPz5d//r+Mdpfrkh+HMXqrC8wZqnPXaTLdvrCnhn2zhNtli3ohqeiL/cW&#10;gfIYkf0VEi/eYsp198pU6AObYJJyu9qpCImakB3Gzib5OB9Tskf7+Wh0PJv0zeK7QBg6jMejwRTf&#10;GTqkPmZQ3GJY58NLbhSJRkl9cCCaNiyN1jgRxuUpI2zPfIgVQnEbEAvQ5lRImQZDatKVdDIa47gw&#10;wGGvccjQVBYF87qhBGSDW8SCS4jeSFHF6IjjXbNeSke2EGcvfUkPfLnvFlOvwLe9X4VWz1OJgHsm&#10;hSrp9C4YigBCvtAVCUnh4ARqLjmNdSpeUSI51hOtnpjUhw5E0fv2rU21P3e3ncG5SgocdiAO7v17&#10;iv6z94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9OTAitgAAAAIAQAADwAAAAAAAAABACAAAAAi&#10;AAAAZHJzL2Rvd25yZXYueG1sUEsBAhQAFAAAAAgAh07iQNyx5hJDAgAAPwQAAA4AAAAAAAAAAQAg&#10;AAAAJwEAAGRycy9lMm9Eb2MueG1sUEsFBgAAAAAGAAYAWQEAANwFAAAAAA==&#10;">
                        <v:fill on="f" focussize="0,0"/>
                        <v:stroke weight="0.5pt" color="#000000 [3200]" miterlimit="8" joinstyle="miter" dashstyle="dash" endarrow="block"/>
                        <v:imagedata o:title=""/>
                        <o:lock v:ext="edit" aspectratio="f"/>
                      </v:shape>
                      <v:shape id="文本框 4" o:spid="_x0000_s1026" o:spt="202" type="#_x0000_t202" style="position:absolute;left:2533650;top:1290571;height:367407;width:2333541;" filled="f" stroked="f" coordsize="21600,21600" o:gfxdata="UEsDBAoAAAAAAIdO4kAAAAAAAAAAAAAAAAAEAAAAZHJzL1BLAwQUAAAACACHTuJABnua9dYAAAAI&#10;AQAADwAAAGRycy9kb3ducmV2LnhtbE2PwU7DMBBE70j8g7VI3Kid0qQlZNMDiCuIApW4uck2iYjX&#10;Uew24e9ZTnDb0Yxm3xTb2fXqTGPoPCMkCwOKuPJ1xw3C+9vTzQZUiJZr23smhG8KsC0vLwqb137i&#10;VzrvYqOkhENuEdoYh1zrULXkbFj4gVi8ox+djSLHRtejnaTc9XppTKad7Vg+tHagh5aqr93JIXw8&#10;Hz/3K/PSPLp0mPxsNLs7jXh9lZh7UJHm+BeGX3xBh1KYDv7EdVA9wtKkkkS4lQFib7JEjgNCul5l&#10;oMtC/x9Q/gBQSwMEFAAAAAgAh07iQE0/UAYjAgAAIgQAAA4AAABkcnMvZTJvRG9jLnhtbK1TS27b&#10;MBTcF+gdCO5ryZY/jWA5SGOkKJB+gLQHoCnKIirxsY+0pfQAzQ266qb7nsvn6CPlpG66yaIbgp/H&#10;eTPD4fK8bxu2V+g0mIKPRylnykgotdkW/NPHqxcvOXNemFI0YFTBb5Xj56vnz5adzdUEamhKhYxA&#10;jMs7W/Dae5sniZO1aoUbgVWGDivAVnha4jYpUXSE3jbJJE3nSQdYWgSpnKPd9XDIj4j4FECoKi3V&#10;GuSuVcYPqKga4UmSq7V1fBXZVpWS/n1VOeVZU3BS6uNITWi+CWOyWop8i8LWWh4piKdQeKSpFdpQ&#10;0weotfCC7VD/A9VqieCg8iMJbTIIiY6QinH6yJubWlgVtZDVzj6Y7v4frHy3/4BMlwXPyBIjWnrx&#10;w/e7w49fh5/f2DT401mXU9mNpULfv4KeUhO1OnsN8rNjBi5rYbbqAhG6WomS+I3DzeTk6oDjAsim&#10;ewsl9RE7DxGor7AN5pEdjNAnsyybz4jOLeFMztLZIqKJXPWeyVCQZdlsOuZMUkU2X0zTRWwn8nsk&#10;i86/VtCyMCk4Ug5iJ7G/dj4wE/l9SWhs4Eo3TcxCY/7aoMKwE5UE8oMM32/6ozMbKG9JE8IQLfpY&#10;NKkBv3LWUawK7r7sBCrOmjeGfDkbT6chh3ExnS0mtMDTk83piTCSoAruORuml37I7s6i3tbUaXgJ&#10;AxfkZaWjtGD6wOrIm6ITFR9jHrJ5uo5Vf772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Ge5r1&#10;1gAAAAgBAAAPAAAAAAAAAAEAIAAAACIAAABkcnMvZG93bnJldi54bWxQSwECFAAUAAAACACHTuJA&#10;TT9QBiMCAAAiBAAADgAAAAAAAAABACAAAAAlAQAAZHJzL2Uyb0RvYy54bWxQSwUGAAAAAAYABgBZ&#10;AQAAugUAAAAA&#10;">
                        <v:fill on="f" focussize="0,0"/>
                        <v:stroke on="f"/>
                        <v:imagedata o:title=""/>
                        <o:lock v:ext="edit" aspectratio="f"/>
                        <v:textbox>
                          <w:txbxContent>
                            <w:p w14:paraId="459FFB02">
                              <w:pPr>
                                <w:rPr>
                                  <w:rFonts w:hint="eastAsia" w:eastAsia="宋体"/>
                                  <w:kern w:val="0"/>
                                  <w:sz w:val="24"/>
                                  <w:lang w:eastAsia="zh-CN"/>
                                </w:rPr>
                              </w:pPr>
                              <w:r>
                                <w:rPr>
                                  <w:rFonts w:hint="eastAsia"/>
                                  <w:szCs w:val="21"/>
                                </w:rPr>
                                <w:t>挤出</w:t>
                              </w:r>
                              <w:r>
                                <w:rPr>
                                  <w:szCs w:val="21"/>
                                </w:rPr>
                                <w:t>废气G</w:t>
                              </w:r>
                              <w:r>
                                <w:rPr>
                                  <w:szCs w:val="21"/>
                                  <w:vertAlign w:val="subscript"/>
                                </w:rPr>
                                <w:t>3</w:t>
                              </w:r>
                              <w:r>
                                <w:rPr>
                                  <w:rFonts w:hint="eastAsia"/>
                                  <w:szCs w:val="21"/>
                                </w:rPr>
                                <w:t>、</w:t>
                              </w:r>
                              <w:r>
                                <w:rPr>
                                  <w:szCs w:val="21"/>
                                </w:rPr>
                                <w:t>噪声</w:t>
                              </w:r>
                              <w:r>
                                <w:rPr>
                                  <w:rFonts w:hint="eastAsia"/>
                                  <w:szCs w:val="21"/>
                                </w:rPr>
                                <w:t>N</w:t>
                              </w:r>
                            </w:p>
                          </w:txbxContent>
                        </v:textbox>
                      </v:shape>
                      <v:rect id="矩形 19" o:spid="_x0000_s1026" o:spt="1" style="position:absolute;left:4286250;top:2586355;height:962025;width:962025;v-text-anchor:middle;" filled="f" stroked="t" coordsize="21600,21600" o:gfxdata="UEsDBAoAAAAAAIdO4kAAAAAAAAAAAAAAAAAEAAAAZHJzL1BLAwQUAAAACACHTuJAd+VXztcAAAAI&#10;AQAADwAAAGRycy9kb3ducmV2LnhtbE2PwU7DMBBE70j8g7VI3Kid0qRVyKaHIA4IJETh0ts2MUkg&#10;tiPbScrfs5zgtqMZzb4p9mcziFn70DuLkKwUCG1r1/S2RXh/e7jZgQiRbEODsxrhWwfYl5cXBeWN&#10;W+yrng+xFVxiQ04IXYxjLmWoO20orNyoLXsfzhuKLH0rG08Ll5tBrpXKpKHe8oeORl11uv46TAbh&#10;mH7Kl75aaHp+vH9KZ+9UtXGI11eJugMR9Tn+heEXn9GhZKaTm2wTxICwViknEW55ANu7LOHjhJBu&#10;NxnIspD/B5Q/UEsDBBQAAAAIAIdO4kBMwnzNQAIAAGEEAAAOAAAAZHJzL2Uyb0RvYy54bWytVEFu&#10;2zAQvBfoHwjeG1mK7ThC5CCwkaJA2gZI+wCaoiSiFJdd0pbTzxTorY/oc4p+o0vKSd30kkN1ELji&#10;cHZndqmLy31v2E6h12Arnp9MOFNWQq1tW/GPH65fLTjzQdhaGLCq4vfK88vlyxcXgytVAR2YWiEj&#10;EuvLwVW8C8GVWeZlp3rhT8ApS5sNYC8ChdhmNYqB2HuTFZPJPBsAa4cglff0dT1u8gMjPocQmkZL&#10;tQa57ZUNIysqIwJJ8p12ni9TtU2jZHjfNF4FZipOSkN6UxJab+I7W16IskXhOi0PJYjnlPBEUy+0&#10;paSPVGsRBNui/oeq1xLBQxNOJPTZKCQ5QiryyRNv7jrhVNJCVnv3aLr/f7Ty3e4Wma4rfppzZkVP&#10;Hf/19fvPH99Yfh7dGZwvCXTnbjHq8+4G5CfPLKw6YVt1hQhDp0RNNeURn/11IAaejrLN8BZq4hbb&#10;AMmofYN9JCQL2L7i02IxL2bUlfuKF7PF/HQ2G3uj9oFJApzPi0kx40wS4LCO2UT5QOTQh9cKehYX&#10;FUdqfUokdjc+jNAHSMxr4VobQ99FaSwbqPribEL5hWnpWsiA6bAHo+sITNqx3awMsp2Iw5SepJhc&#10;OYb1OtAFMbqv+OIYZOzBnWjIaOwG6nsyB2GcS7qVtOgAv3A20ExW3H/eClScmTeWDD7Pp9M4xCmY&#10;zs4KCvB4Z3O8I6wkqlELG4NVGEd/61C3HeXKk0oLV9SWRiebYsvGug7l0uQlow+3JI72cZxQf/4M&#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35VfO1wAAAAgBAAAPAAAAAAAAAAEAIAAAACIAAABk&#10;cnMvZG93bnJldi54bWxQSwECFAAUAAAACACHTuJATMJ8zUACAABhBAAADgAAAAAAAAABACAAAAAm&#10;AQAAZHJzL2Uyb0RvYy54bWxQSwUGAAAAAAYABgBZAQAA2AUAAAAA&#10;">
                        <v:fill on="f" focussize="0,0"/>
                        <v:stroke weight="1pt" color="#000000" miterlimit="8" joinstyle="miter"/>
                        <v:imagedata o:title=""/>
                        <o:lock v:ext="edit" aspectratio="f"/>
                      </v:rect>
                      <v:shape id="文本框 4" o:spid="_x0000_s1026" o:spt="202" type="#_x0000_t202" style="position:absolute;left:4186555;top:2583180;height:952500;width:1009650;" filled="f" stroked="f" coordsize="21600,21600" o:gfxdata="UEsDBAoAAAAAAIdO4kAAAAAAAAAAAAAAAAAEAAAAZHJzL1BLAwQUAAAACACHTuJABnua9dYAAAAI&#10;AQAADwAAAGRycy9kb3ducmV2LnhtbE2PwU7DMBBE70j8g7VI3Kid0qQlZNMDiCuIApW4uck2iYjX&#10;Uew24e9ZTnDb0Yxm3xTb2fXqTGPoPCMkCwOKuPJ1xw3C+9vTzQZUiJZr23smhG8KsC0vLwqb137i&#10;VzrvYqOkhENuEdoYh1zrULXkbFj4gVi8ox+djSLHRtejnaTc9XppTKad7Vg+tHagh5aqr93JIXw8&#10;Hz/3K/PSPLp0mPxsNLs7jXh9lZh7UJHm+BeGX3xBh1KYDv7EdVA9wtKkkkS4lQFib7JEjgNCul5l&#10;oMtC/x9Q/gBQSwMEFAAAAAgAh07iQMVT0ZckAgAAIgQAAA4AAABkcnMvZTJvRG9jLnhtbK1TS27b&#10;MBDdF+gdCO5rfWK5tmA5SGOkKJA2BdIegKYoi6jEYUnaknuA5gZdddN9zuVzdEgpqZtusuiG4JDD&#10;N/PePC7P+7Yhe2GsBFXQZBJTIhSHUqptQT9/uno1p8Q6pkrWgBIFPQhLz1cvXyw7nYsUamhKYQiC&#10;KJt3uqC1czqPIstr0TI7AS0UXlZgWuYwNNuoNKxD9LaJ0jieRR2YUhvgwlo8XQ+XdEQ0zwGEqpJc&#10;rIHvWqHcgGpEwxxSsrXUlq5Ct1UluLupKiscaQqKTF1YsQjuN36NVkuWbw3TteRjC+w5LTzh1DKp&#10;sOgj1Jo5RnZG/gPVSm7AQuUmHNpoIBIUQRZJ/ESb25ppEbig1FY/im7/Hyz/sP9oiCwLepZSoliL&#10;Ez/+uDv+vD/++k6mXp9O2xzTbjUmuv4N9OiawNXqa+BfLFFwWTO1FRfGQFcLVmJ/iX8ZnTwdcKwH&#10;2XTvocQ6bOcgAPWVab14KAdB9Gkyn2VZRsmhoGk2P0vm45xE7wj35eN4MctwhBwzFlmaxSEhYvkD&#10;kjbWvRXQEr8pqEEfhEpsf22d74zlDym+sIIr2TTBC4366wAT/Ulg4psfaLh+04/KbKA8ICcDg7Xw&#10;Y+GmBvONkg5tVVD7dceMoKR5p1CXRTKdeh+GYJq9TjEwpzeb0xumOEIV1FEybC/d4N2dNnJbY6Vh&#10;EgouUMtKBmpe9KGrsW+0TmA82tx78zQOWX++9u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nua&#10;9dYAAAAIAQAADwAAAAAAAAABACAAAAAiAAAAZHJzL2Rvd25yZXYueG1sUEsBAhQAFAAAAAgAh07i&#10;QMVT0ZckAgAAIgQAAA4AAAAAAAAAAQAgAAAAJQEAAGRycy9lMm9Eb2MueG1sUEsFBgAAAAAGAAYA&#10;WQEAALsFAAAAAA==&#10;">
                        <v:fill on="f" focussize="0,0"/>
                        <v:stroke on="f"/>
                        <v:imagedata o:title=""/>
                        <o:lock v:ext="edit" aspectratio="f"/>
                        <v:textbox>
                          <w:txbxContent>
                            <w:p w14:paraId="26CD191C">
                              <w:pPr>
                                <w:ind w:firstLine="420" w:firstLineChars="200"/>
                                <w:rPr>
                                  <w:szCs w:val="21"/>
                                </w:rPr>
                              </w:pPr>
                              <w:r>
                                <w:rPr>
                                  <w:rFonts w:hint="eastAsia"/>
                                  <w:szCs w:val="21"/>
                                </w:rPr>
                                <w:t>图例：</w:t>
                              </w:r>
                            </w:p>
                            <w:p w14:paraId="3CB37F37">
                              <w:pPr>
                                <w:ind w:firstLine="420" w:firstLineChars="200"/>
                                <w:rPr>
                                  <w:szCs w:val="21"/>
                                </w:rPr>
                              </w:pPr>
                              <w:r>
                                <w:rPr>
                                  <w:rFonts w:hint="eastAsia"/>
                                  <w:szCs w:val="21"/>
                                </w:rPr>
                                <w:t>G</w:t>
                              </w:r>
                              <w:r>
                                <w:rPr>
                                  <w:szCs w:val="21"/>
                                </w:rPr>
                                <w:t>—</w:t>
                              </w:r>
                              <w:r>
                                <w:rPr>
                                  <w:rFonts w:hint="eastAsia"/>
                                  <w:szCs w:val="21"/>
                                </w:rPr>
                                <w:t>废气</w:t>
                              </w:r>
                            </w:p>
                            <w:p w14:paraId="57C4642F">
                              <w:pPr>
                                <w:ind w:firstLine="420" w:firstLineChars="200"/>
                                <w:rPr>
                                  <w:szCs w:val="21"/>
                                </w:rPr>
                              </w:pPr>
                              <w:r>
                                <w:rPr>
                                  <w:rFonts w:hint="eastAsia"/>
                                  <w:szCs w:val="21"/>
                                </w:rPr>
                                <w:t>S</w:t>
                              </w:r>
                              <w:r>
                                <w:rPr>
                                  <w:szCs w:val="21"/>
                                </w:rPr>
                                <w:t>—</w:t>
                              </w:r>
                              <w:r>
                                <w:rPr>
                                  <w:rFonts w:hint="eastAsia"/>
                                  <w:szCs w:val="21"/>
                                </w:rPr>
                                <w:t>固废</w:t>
                              </w:r>
                            </w:p>
                            <w:p w14:paraId="04EC4703">
                              <w:pPr>
                                <w:ind w:firstLine="420" w:firstLineChars="200"/>
                                <w:rPr>
                                  <w:kern w:val="0"/>
                                  <w:sz w:val="24"/>
                                </w:rPr>
                              </w:pPr>
                              <w:r>
                                <w:rPr>
                                  <w:rFonts w:hint="eastAsia"/>
                                  <w:szCs w:val="21"/>
                                </w:rPr>
                                <w:t>N</w:t>
                              </w:r>
                              <w:r>
                                <w:rPr>
                                  <w:szCs w:val="21"/>
                                </w:rPr>
                                <w:t>—</w:t>
                              </w:r>
                              <w:r>
                                <w:rPr>
                                  <w:rFonts w:hint="eastAsia"/>
                                  <w:szCs w:val="21"/>
                                </w:rPr>
                                <w:t>噪声</w:t>
                              </w:r>
                            </w:p>
                          </w:txbxContent>
                        </v:textbox>
                      </v:shape>
                      <v:shape id="直接箭头连接符 115" o:spid="_x0000_s1026" o:spt="32" type="#_x0000_t32" style="position:absolute;left:715645;top:2012315;flip:x;height:0;width:492760;" filled="f" stroked="t" coordsize="21600,21600" o:gfxdata="UEsDBAoAAAAAAIdO4kAAAAAAAAAAAAAAAAAEAAAAZHJzL1BLAwQUAAAACACHTuJA8hnMT9gAAAAI&#10;AQAADwAAAGRycy9kb3ducmV2LnhtbE2PwU7DMBBE70j8g7VIXCpqJ9BQQpweCggkJASFD3DjJYmw&#10;11HsNuHvWU5w29GMZt9Um9k7ccQx9oE0ZEsFAqkJtqdWw8f7w8UaREyGrHGBUMM3RtjUpyeVKW2Y&#10;6A2Pu9QKLqFYGg1dSkMpZWw69CYuw4DE3mcYvUksx1ba0Uxc7p3MlSqkNz3xh84MuO2w+dodvIZZ&#10;3t88qUXzeEfPU24b9/K6nRZan59l6hZEwjn9heEXn9GhZqZ9OJCNwmnI1YqTGi55ANvrIuNjr2F1&#10;fVWArCv5f0D9A1BLAwQUAAAACACHTuJA9Ty+dRwCAAD4AwAADgAAAGRycy9lMm9Eb2MueG1srVNL&#10;jhMxEN0jcQfLe9L5TDJDK51ZJAwsEIwEHKDidndb8k8uTz6X4AJIrIDVwGr2nAaGY1B2hwDDZhb0&#10;olX+1Kt6r57n5zuj2UYGVM5WfDQYciatcLWybcXfvL54dMYZRrA1aGdlxfcS+fni4YP51pdy7Dqn&#10;axkYgVgst77iXYy+LAoUnTSAA+elpcPGBQORlqEt6gBbQje6GA+Hs2LrQu2DExKRdlf9IT8ghvsA&#10;uqZRQq6cuDLSxh41SA2RKGGnPPJF7rZppIgvmwZlZLrixDTmPxWheJ3+xWIOZRvAd0ocWoD7tHCH&#10;kwFlqegRagUR2FVQ/0AZJYJD18SBcKboiWRFiMVoeEebVx14mbmQ1OiPouP/gxUvNpeBqbrikwln&#10;FgxN/Pbdzfe3H2+/fP724ebH1/cpvv7ERqNpUmvrsaSkpb0MhxX6y5Co75pgWKOVf0a2ymIQPbar&#10;+OloOjuZcravOJEcT3ogKOUuMkHnJ4/HpzMaiKALeSJFD5ZAfcD4VDrDUlBxjAFU28Wls5Zm60Jf&#10;CDbPMVI7lPgrISVbd6G0ziPWlm0rPptMUx0g2zZkFwqNJ+poW85At/QeRAy5dXRa1Sk74WBo10sd&#10;2AaSi/KXpKBqf11LpVeAXX8vH/X+MirSk9HKVPzsmA1lBKWf2JrFvSfVY1BgWy0PyNpSgSR2L2+K&#10;1q7eZ9XzPhkit3Awb3Lcn+uc/fvBLn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hnMT9gAAAAI&#10;AQAADwAAAAAAAAABACAAAAAiAAAAZHJzL2Rvd25yZXYueG1sUEsBAhQAFAAAAAgAh07iQPU8vnUc&#10;AgAA+AMAAA4AAAAAAAAAAQAgAAAAJwEAAGRycy9lMm9Eb2MueG1sUEsFBgAAAAAGAAYAWQEAALUF&#10;AAAAAA==&#10;">
                        <v:fill on="f" focussize="0,0"/>
                        <v:stroke weight="0.5pt" color="#000000 [3200]" miterlimit="8" joinstyle="miter" endarrow="block"/>
                        <v:imagedata o:title=""/>
                        <o:lock v:ext="edit" aspectratio="f"/>
                      </v:shape>
                      <v:shape id="直接箭头连接符 119" o:spid="_x0000_s1026" o:spt="32" type="#_x0000_t32" style="position:absolute;left:1951650;top:2544640;flip:y;height:688;width:627415;" filled="f" stroked="t" coordsize="21600,21600" o:gfxdata="UEsDBAoAAAAAAIdO4kAAAAAAAAAAAAAAAAAEAAAAZHJzL1BLAwQUAAAACACHTuJAy/oefdgAAAAI&#10;AQAADwAAAGRycy9kb3ducmV2LnhtbE2PzU7DMBCE70i8g7VI3KidQkMJcXooqirxc6Bw4OjE2yRq&#10;vI5stylvz3KC245mNPtNuTq7QZwwxN6ThmymQCA13vbUavj82NwsQcRkyJrBE2r4xgir6vKiNIX1&#10;E73jaZdawSUUC6OhS2kspIxNh87EmR+R2Nv74ExiGVppg5m43A1yrlQunemJP3RmxHWHzWF3dBo2&#10;b/WaDi8P0+sThec99fn2a5trfX2VqUcQCc/pLwy/+IwOFTPV/kg2ikHDXC04qeGWB7C9zDM+ag2L&#10;+7scZFXK/wOqH1BLAwQUAAAACACHTuJALVw+TCwCAAAhBAAADgAAAGRycy9lMm9Eb2MueG1srVNL&#10;jtQwEN0jcQfLezqdnv5N1OlZdDNsELTEZ1/tOIkl/2R7+nMJLoDEClgBq9lzGhiOQdkJPcywmQVZ&#10;OOWk3vOrV+XFxUFJsuPOC6NLmg+GlHDNTCV0U9I3ry+fzCnxAXQF0mhe0iP39GL5+NFibws+Mq2R&#10;FXcESbQv9rakbQi2yDLPWq7AD4zlGn/WxikIuHVNVjnYI7uS2Wg4nGZ74yrrDOPe49d195P2jO4h&#10;hKauBeNrw64U16FjdVxCwJJ8K6yny6S2rjkLL+va80BkSbHSkFY8BONtXLPlAorGgW0F6yXAQyTc&#10;q0mB0HjoiWoNAciVE/9QKcGc8aYOA2ZU1hWSHMEq8uE9b161YHmqBa329mS6/3+07MVu44ioSno2&#10;oUSDwo7fvL/++e7TzbevPz5e//r+IcZfPpM8P49u7a0vELTSGxfr9WF10Ak/m1F8H5AopmV38uLG&#10;2w5xqJ0itRT2LU5f8gxdIIjLzyf5dIKNOZZ0NBmPp+O+PfwQCMOE6Wg2zlElw4TpfJ6OgSLyRSXW&#10;+fCMG0ViUFIfHIimDSujNU6Bcd1ZsHvuQ9R3C4hgbS6FlGkYpCZ75D+LShjggNc4WBgqiyZ53VAC&#10;ssGbw4JL6r2RooroZIdrtivpyA7ivKWnl3knLUpcg2+7vAqjmAWFEgHvlhSqpPMTGIoAQj7VFQlH&#10;i+0JToBuJO+Jpe7d7gyOVm9Nddy4P13AyUn19lMeR/PvfULf3uz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v6Hn3YAAAACAEAAA8AAAAAAAAAAQAgAAAAIgAAAGRycy9kb3ducmV2LnhtbFBLAQIU&#10;ABQAAAAIAIdO4kAtXD5MLAIAACEEAAAOAAAAAAAAAAEAIAAAACcBAABkcnMvZTJvRG9jLnhtbFBL&#10;BQYAAAAABgAGAFkBAADFBQAAAAA=&#10;">
                        <v:fill on="f" focussize="0,0"/>
                        <v:stroke weight="0.5pt" color="#000000 [3200]" miterlimit="8" joinstyle="miter" dashstyle="dash" endarrow="block"/>
                        <v:imagedata o:title=""/>
                        <o:lock v:ext="edit" aspectratio="f"/>
                      </v:shape>
                      <v:rect id="矩形 120" o:spid="_x0000_s1026" o:spt="1" style="position:absolute;left:2465984;top:2420470;height:283948;width:810961;v-text-anchor:middle;" fillcolor="#FFFFFF [3201]" filled="t" stroked="t" coordsize="21600,21600" o:gfxdata="UEsDBAoAAAAAAIdO4kAAAAAAAAAAAAAAAAAEAAAAZHJzL1BLAwQUAAAACACHTuJA2hCGANkAAAAI&#10;AQAADwAAAGRycy9kb3ducmV2LnhtbE2PwU7DMBBE70j8g7VI3Kid0oYqxKkgEgeEVInCB7ixSdLa&#10;68h2k4avZznBbUczmn1Tbi/OstGE2HuUkC0EMION1z22Ej4/Xu42wGJSqJX1aCTMJsK2ur4qVaH9&#10;hO9m3KeWUQnGQknoUhoKzmPTGafiwg8GyfvywalEMrRcBzVRubN8KUTOneqRPnRqMHVnmtP+7CTY&#10;p/n7eJqPb6/1WK+mfBeG3XOQ8vYmE4/AkrmkvzD84hM6VMR08GfUkVkJS7GmpIR7GkD2Js/oOEhY&#10;P6xy4FXJ/w+ofgBQSwMEFAAAAAgAh07iQNRDBSKQAgAARwUAAA4AAABkcnMvZTJvRG9jLnhtbK1U&#10;S27bMBDdF+gdCO4byY7i2EbkwIjhokDQBEiLrmmKsgjw1yFtOb1Mge56iB6n6DU6JJVvu0iBakHN&#10;iKM3nDdveHZ+0IrsBXhpTU1HRyUlwnDbSLOt6ccP6zdTSnxgpmHKGlHTW+Hp+eL1q7PezcXYdlY1&#10;AgiCGD/vXU27ENy8KDzvhGb+yDphcLO1oFlAF7ZFA6xHdK2KcVlOit5C48By4T1+XeVNOiDCSwBt&#10;20ouVpbvtDAho4JQLGBJvpPO00U6bdsKHq7a1otAVE2x0pBWTIL2Jq7F4ozNt8BcJ/lwBPaSIzyr&#10;STNpMOk91IoFRnYg/4DSkoP1tg1H3OoiF5IYwSpG5TNubjrmRKoFqfbunnT//2D5+/01ENnU9HhC&#10;iWEaO/7r6/efP76R0TjR0zs/x6gbdw1IVvQ8mrHWQws6vrEKcqjpuJqczKYVJbfRHpfV6UCvOATC&#10;MWA6KmeTESU8BkyPZ9U00l88ADnw4a2wmkSjpoDdS6Sy/aUPOfQuJOb1VslmLZVKDmw3FwrInmGn&#10;1+nJ/yrXsfw1HQfT+RyaUj/BUIb0OBLj0xLlwRmKu0VRoakdEuTNlhKmtjg1PEACf/L3ADvkKuPz&#10;zyeI5a2Y7zJIgs8S1TLg1CmpkcYMnflQBst4aEq0wmFzGDq1sc0tthds1r13fC0xwyXz4ZoBCh3r&#10;xKsgXOHSKovF28GipLPw5W/fYzzqD3cp6XFwkJjPOwaCEvXOoDJno6qKk5ac6uQUVUTg8c7m8Y7Z&#10;6QuLHUNZ4OmSGeODujNbsPoT3hjLmBW3mOGYO7dgcC5CHmi8c7hYLlMYTpdj4dLcOB7Bo0KMXe6C&#10;bWVSUiQqszPwh/OVBDHcBXGAH/sp6uH+W/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2hCGANkA&#10;AAAIAQAADwAAAAAAAAABACAAAAAiAAAAZHJzL2Rvd25yZXYueG1sUEsBAhQAFAAAAAgAh07iQNRD&#10;BSKQAgAARwUAAA4AAAAAAAAAAQAgAAAAKAEAAGRycy9lMm9Eb2MueG1sUEsFBgAAAAAGAAYAWQEA&#10;ACoGAAAAAA==&#10;">
                        <v:fill on="t" opacity="0f" focussize="0,0"/>
                        <v:stroke weight="1pt" color="#000000 [3200]" opacity="0f" miterlimit="8" joinstyle="miter"/>
                        <v:imagedata o:title=""/>
                        <o:lock v:ext="edit" aspectratio="f"/>
                        <v:textbox>
                          <w:txbxContent>
                            <w:p w14:paraId="51B464E9">
                              <w:pPr>
                                <w:jc w:val="center"/>
                              </w:pPr>
                              <w:r>
                                <w:rPr>
                                  <w:rFonts w:hint="eastAsia"/>
                                </w:rPr>
                                <w:t>噪声</w:t>
                              </w:r>
                              <w:r>
                                <w:t>N</w:t>
                              </w:r>
                            </w:p>
                          </w:txbxContent>
                        </v:textbox>
                      </v:rect>
                      <v:shape id="直接箭头连接符 17" o:spid="_x0000_s1026" o:spt="32" type="#_x0000_t32" style="position:absolute;left:1960880;top:1989455;height:0;width:553085;" filled="f" stroked="t" coordsize="21600,21600" o:gfxdata="UEsDBAoAAAAAAIdO4kAAAAAAAAAAAAAAAAAEAAAAZHJzL1BLAwQUAAAACACHTuJA9OTAitgAAAAI&#10;AQAADwAAAGRycy9kb3ducmV2LnhtbE2PzU7DMBCE70i8g7VI3Kid0oY2xKkEUhA3lICqHp14iaPE&#10;dhS7P7w9y6ncdjSj2W/y3cWO7IRz6L2TkCwEMHSt173rJHx9lg8bYCEqp9XoHUr4wQC74vYmV5n2&#10;Z1fhqY4doxIXMiXBxDhlnIfWoFVh4Sd05H372apIcu64ntWZyu3Il0Kk3Kre0QejJnw12A710Uqo&#10;X5Lte2iG7eFNDx+lqcpqvyqlvL9LxDOwiJd4DcMfPqFDQUyNPzod2ChhKdaUlPBIA8jepAkdjYT1&#10;0yoFXuT8/4DiF1BLAwQUAAAACACHTuJAlYHLb0ICAAA/BAAADgAAAGRycy9lMm9Eb2MueG1srVNL&#10;chMxEN1TxR1U2uMZxzg4Ux5nYRM2AVyVcIC2RjOjQr+SZI99CS5AFStgBayy5zQQjkFLY5sQNlng&#10;xVTL6n793uvW9HyrJNlw54XRJR0Ockq4ZqYSuinpm+uLJxNKfABdgTSal3THPT2fPX407WzBT0xr&#10;ZMUdQRDti86WtA3BFlnmWcsV+IGxXONlbZyCgEfXZJWDDtGVzE7y/DTrjKusM4x7j/8u+ku6R3QP&#10;ATR1LRhfGLZWXIce1XEJASX5VlhPZ4ltXXMWXte154HIkqLSkL7YBONV/GazKRSNA9sKtqcAD6Fw&#10;T5MCobHpEWoBAcjaiX+glGDOeFOHATMq64UkR1DFML/nzVULlictaLW3R9P9/4NlrzZLR0RV0hHO&#10;XYPCid++v/n57tPtt68/Pt78+v4hxl8+k+GzaFZnfYE1c710US7b6it7adhbT7SZt6Abnkhf7ywC&#10;DWNF9ldJPHiLLVfdS1NhDqyDSc5ta6ciJHpCtlh7dppPJjimXYwnZ0/H435YfBsIw4TxeJRPxpQw&#10;TEhzzKA4YFjnwwtuFIlBSX1wIJo2zI3WuBHGDVNH2Fz6EBlCcSiIBLS5EFKmxZCadCU9HY2RBwNc&#10;9hqXDENl0TCvG0pANviKWHAJ0RspqlgdcbxrVnPpyAbi7qVf8gNv7qbF1gvwbZ9XYdTrVCLgO5NC&#10;lXRyLIYigJDPdUVCcjg4gZ5LTiNPxStKJEc+MeqFSb2fQDS9H9/KVLulO0wG9yo5sH8DcXHvnlP1&#10;n3c/+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05MCK2AAAAAgBAAAPAAAAAAAAAAEAIAAAACIA&#10;AABkcnMvZG93bnJldi54bWxQSwECFAAUAAAACACHTuJAlYHLb0ICAAA/BAAADgAAAAAAAAABACAA&#10;AAAnAQAAZHJzL2Uyb0RvYy54bWxQSwUGAAAAAAYABgBZAQAA2wUAAAAA&#10;">
                        <v:fill on="f" focussize="0,0"/>
                        <v:stroke weight="0.5pt" color="#000000 [3200]" miterlimit="8" joinstyle="miter" dashstyle="dash" endarrow="block"/>
                        <v:imagedata o:title=""/>
                        <o:lock v:ext="edit" aspectratio="f"/>
                      </v:shape>
                      <v:shape id="文本框 4" o:spid="_x0000_s1026" o:spt="202" type="#_x0000_t202" style="position:absolute;left:2532380;top:1818005;height:367665;width:2333625;" filled="f" stroked="f" coordsize="21600,21600" o:gfxdata="UEsDBAoAAAAAAIdO4kAAAAAAAAAAAAAAAAAEAAAAZHJzL1BLAwQUAAAACACHTuJABnua9dYAAAAI&#10;AQAADwAAAGRycy9kb3ducmV2LnhtbE2PwU7DMBBE70j8g7VI3Kid0qQlZNMDiCuIApW4uck2iYjX&#10;Uew24e9ZTnDb0Yxm3xTb2fXqTGPoPCMkCwOKuPJ1xw3C+9vTzQZUiJZr23smhG8KsC0vLwqb137i&#10;VzrvYqOkhENuEdoYh1zrULXkbFj4gVi8ox+djSLHRtejnaTc9XppTKad7Vg+tHagh5aqr93JIXw8&#10;Hz/3K/PSPLp0mPxsNLs7jXh9lZh7UJHm+BeGX3xBh1KYDv7EdVA9wtKkkkS4lQFib7JEjgNCul5l&#10;oMtC/x9Q/gBQSwMEFAAAAAgAh07iQLhUT1ElAgAAIgQAAA4AAABkcnMvZTJvRG9jLnhtbK1TS27b&#10;MBDdF+gdCO5ryZbtOILlII2RokD6AdIegKYoi6jEYYe0pfQA7Q266qb7nsvn6JByUjfdZNENwSGH&#10;b+a9eVxe9G3D9gqdBlPw8SjlTBkJpTbbgn/8cP1iwZnzwpSiAaMKfqccv1g9f7bsbK4mUENTKmQE&#10;Ylze2YLX3ts8SZysVSvcCKwydFkBtsJTiNukRNERetskkzSdJx1gaRGkco5O18MlPyLiUwChqrRU&#10;a5C7Vhk/oKJqhCdKrtbW8VXstqqU9O+qyinPmoITUx9XKkL7TViT1VLkWxS21vLYgnhKC484tUIb&#10;KvoAtRZesB3qf6BaLREcVH4koU0GIlERYjFOH2lzWwurIheS2tkH0d3/g5Vv9++R6bLg2TlnRrQ0&#10;8cP3b4cfvw4/v7Jp0KezLqe0W0uJvn8JPbkmcnX2BuQnxwxc1cJs1SUidLUSJfU3Di+Tk6cDjgsg&#10;m+4NlFRH7DxEoL7CNohHcjBCn8yySbagCd0RzmK8SNPZMCfVeyZDQpZl88mMM0kZ2fxsPo8Jicjv&#10;kSw6/0pBy8Km4Eg+iJXE/sb50JnI71NCYQPXummiFxrz1wElhpPIJDQ/0PD9pj8qs4HyjjghDNai&#10;j0WbGvALZx3ZquDu806g4qx5bUiX8/F0GnwYg+nsbEIBnt5sTm+EkQRVcM/ZsL3yg3d3FvW2pkrD&#10;JAxckpaVjtSC6ENXx77JOpHx0ebBm6dxzPrztV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Z7&#10;mvXWAAAACAEAAA8AAAAAAAAAAQAgAAAAIgAAAGRycy9kb3ducmV2LnhtbFBLAQIUABQAAAAIAIdO&#10;4kC4VE9RJQIAACIEAAAOAAAAAAAAAAEAIAAAACUBAABkcnMvZTJvRG9jLnhtbFBLBQYAAAAABgAG&#10;AFkBAAC8BQAAAAA=&#10;">
                        <v:fill on="f" focussize="0,0"/>
                        <v:stroke on="f"/>
                        <v:imagedata o:title=""/>
                        <o:lock v:ext="edit" aspectratio="f"/>
                        <v:textbox>
                          <w:txbxContent>
                            <w:p w14:paraId="3E351591">
                              <w:pPr>
                                <w:rPr>
                                  <w:rFonts w:hint="default" w:eastAsia="宋体"/>
                                  <w:kern w:val="0"/>
                                  <w:sz w:val="24"/>
                                  <w:lang w:val="en-US" w:eastAsia="zh-CN"/>
                                </w:rPr>
                              </w:pPr>
                              <w:r>
                                <w:rPr>
                                  <w:rFonts w:hint="eastAsia"/>
                                  <w:szCs w:val="21"/>
                                  <w:lang w:eastAsia="zh-CN"/>
                                </w:rPr>
                                <w:t>冷却废水</w:t>
                              </w:r>
                              <w:r>
                                <w:rPr>
                                  <w:rFonts w:hint="eastAsia"/>
                                  <w:szCs w:val="21"/>
                                  <w:lang w:val="en-US" w:eastAsia="zh-CN"/>
                                </w:rPr>
                                <w:t>W1</w:t>
                              </w:r>
                            </w:p>
                          </w:txbxContent>
                        </v:textbox>
                      </v:shape>
                      <v:rect id="矩形 12" o:spid="_x0000_s1026" o:spt="1" style="position:absolute;left:57150;top:1846580;height:295275;width:676275;v-text-anchor:middle;" filled="f" stroked="t" coordsize="21600,21600" o:gfxdata="UEsDBAoAAAAAAIdO4kAAAAAAAAAAAAAAAAAEAAAAZHJzL1BLAwQUAAAACACHTuJAd+VXztcAAAAI&#10;AQAADwAAAGRycy9kb3ducmV2LnhtbE2PwU7DMBBE70j8g7VI3Kid0qRVyKaHIA4IJETh0ts2MUkg&#10;tiPbScrfs5zgtqMZzb4p9mcziFn70DuLkKwUCG1r1/S2RXh/e7jZgQiRbEODsxrhWwfYl5cXBeWN&#10;W+yrng+xFVxiQ04IXYxjLmWoO20orNyoLXsfzhuKLH0rG08Ll5tBrpXKpKHe8oeORl11uv46TAbh&#10;mH7Kl75aaHp+vH9KZ+9UtXGI11eJugMR9Tn+heEXn9GhZKaTm2wTxICwViknEW55ANu7LOHjhJBu&#10;NxnIspD/B5Q/UEsDBBQAAAAIAIdO4kCtUXzoQwIAAGoEAAAOAAAAZHJzL2Uyb0RvYy54bWytVM1u&#10;1DAQviPxDpbvbDZh/xo1W1VdFSEVqFR4AK/jJBb+Y+zdbHkZJG59CB4H8RqMnbTdlksP5BB5MuNv&#10;5vtmJqdnB63IXoCX1lQ0n0wpEYbbWpq2ol8+X75ZUeIDMzVT1oiK3gpPz9avX532rhSF7ayqBRAE&#10;Mb7sXUW7EFyZZZ53QjM/sU4YdDYWNAtoQpvVwHpE1yorptNF1luoHVguvMevm8FJR0R4CaBtGsnF&#10;xvKdFiYMqCAUC0jJd9J5uk7VNo3g4VPTeBGIqigyDemNSfC8je9sfcrKFpjrJB9LYC8p4RknzaTB&#10;pA9QGxYY2YH8B0pLDtbbJky41dlAJCmCLPLpM21uOuZE4oJSe/cguv9/sPzj/hqIrCv6dkmJYRo7&#10;/ufH3e9fP0leRHV650sMunHXEPl5d2X5V0+MveiYacU5gO07wWqsKY/x2ZML0fB4lWz7D7ZGbLYL&#10;Ngl1aEBHQJSAHCo6X+Zz7Mktoqxmi/lq7Iw4BMLRvVguiuWcEo4Bxck8nmMuVt7DOPDhnbCaxENF&#10;ARuf0rD9lQ9D6H1IzGrspVQKv7NSGdJj1mI5xfxMtbgUPEC67K2SdQxMzKHdXiggexZHKT1jDU/C&#10;tAy4Hkrqiq6Og5QZtYlyDLKGw/aAJUSNtra+RZXADgOK64mHzsJ3Snoczor6bzsGghL13qDSJ/ls&#10;Fqc5GbP5skADjj3bYw8zHKEGWmQwLsKwAzsHsu0wV54IG3uO/WlkUuyxrrFyHMGk+bguccaP7RT1&#10;+ItY/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35VfO1wAAAAgBAAAPAAAAAAAAAAEAIAAAACIA&#10;AABkcnMvZG93bnJldi54bWxQSwECFAAUAAAACACHTuJArVF86EMCAABqBAAADgAAAAAAAAABACAA&#10;AAAmAQAAZHJzL2Uyb0RvYy54bWxQSwUGAAAAAAYABgBZAQAA2wUAAAAA&#10;">
                        <v:fill on="f" focussize="0,0"/>
                        <v:stroke weight="1pt" color="#000000" miterlimit="8" joinstyle="miter"/>
                        <v:imagedata o:title=""/>
                        <o:lock v:ext="edit" aspectratio="f"/>
                        <v:textbox>
                          <w:txbxContent>
                            <w:p w14:paraId="325088BA">
                              <w:pPr>
                                <w:jc w:val="center"/>
                                <w:rPr>
                                  <w:rFonts w:hint="eastAsia" w:eastAsia="宋体"/>
                                  <w:kern w:val="0"/>
                                  <w:sz w:val="24"/>
                                  <w:lang w:eastAsia="zh-CN"/>
                                </w:rPr>
                              </w:pPr>
                              <w:r>
                                <w:rPr>
                                  <w:rFonts w:hint="eastAsia"/>
                                  <w:color w:val="000000"/>
                                  <w:szCs w:val="21"/>
                                  <w:lang w:eastAsia="zh-CN"/>
                                </w:rPr>
                                <w:t>粉碎</w:t>
                              </w:r>
                            </w:p>
                          </w:txbxContent>
                        </v:textbox>
                      </v:rect>
                      <v:shape id="直接箭头连接符 119" o:spid="_x0000_s1026" o:spt="32" type="#_x0000_t32" style="position:absolute;left:398145;top:2152015;height:307975;width:0;" filled="f" stroked="t" coordsize="21600,21600" o:gfxdata="UEsDBAoAAAAAAIdO4kAAAAAAAAAAAAAAAAAEAAAAZHJzL1BLAwQUAAAACACHTuJA9OTAitgAAAAI&#10;AQAADwAAAGRycy9kb3ducmV2LnhtbE2PzU7DMBCE70i8g7VI3Kid0oY2xKkEUhA3lICqHp14iaPE&#10;dhS7P7w9y6ncdjSj2W/y3cWO7IRz6L2TkCwEMHSt173rJHx9lg8bYCEqp9XoHUr4wQC74vYmV5n2&#10;Z1fhqY4doxIXMiXBxDhlnIfWoFVh4Sd05H372apIcu64ntWZyu3Il0Kk3Kre0QejJnw12A710Uqo&#10;X5Lte2iG7eFNDx+lqcpqvyqlvL9LxDOwiJd4DcMfPqFDQUyNPzod2ChhKdaUlPBIA8jepAkdjYT1&#10;0yoFXuT8/4DiF1BLAwQUAAAACACHTuJANdkHLRUCAADtAwAADgAAAGRycy9lMm9Eb2MueG1srVPN&#10;jtMwEL4j8Q6W7zRNf3bbqOkeWpYLgkqwDzB1nMSS/2R7m/YleAEkTsAJOO2dp2GXx2DslC4slz2Q&#10;gzP2eL6Z75vx4mKvJNlx54XRJc0HQ0q4ZqYSuinp1dvLZzNKfABdgTSal/TAPb1YPn2y6GzBR6Y1&#10;suKOIIj2RWdL2oZgiyzzrOUK/MBYrtFZG6cg4NY1WeWgQ3Qls9FweJZ1xlXWGca9x9N176RHRPcY&#10;QFPXgvG1YdeK69CjOi4hICXfCuvpMlVb15yF13XteSCypMg0pBWToL2Na7ZcQNE4sK1gxxLgMSU8&#10;4KRAaEx6glpDAHLtxD9QSjBnvKnDgBmV9USSIsgiHz7Q5k0LlicuKLW3J9H9/4Nlr3YbR0RV0smE&#10;Eg0KO373/ub23ae7b19/fLz5+f1DtL98Jnk+j2p11hcYtNIbd9x5u3GR+r52Kv6RFNmXdDyf5ZMp&#10;JYeSjvIpspv2YvN9IAz92AGGvvHwfH6eXNk9hHU+vOBGkWiU1AcHomnDymiNHTUuT1rD7qUPWAQG&#10;/g6I+bW5FFKmxkpNupKejacxGeCw1jgkaCqLhL1uKAHZ4CtgwSVEb6SoYnTE8a7ZrqQjO4izk77I&#10;ALP9dS2mXoNv+3sVWj1PJQK+EylUSWenYCgCCPlcVyQcLEodnADdSH4Elhrxo8K9ptHamuqQpE7n&#10;OAWpguPExjH7c5+i71/p8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05MCK2AAAAAgBAAAPAAAA&#10;AAAAAAEAIAAAACIAAABkcnMvZG93bnJldi54bWxQSwECFAAUAAAACACHTuJANdkHLRUCAADtAwAA&#10;DgAAAAAAAAABACAAAAAnAQAAZHJzL2Uyb0RvYy54bWxQSwUGAAAAAAYABgBZAQAArgUAAAAA&#10;">
                        <v:fill on="f" focussize="0,0"/>
                        <v:stroke weight="0.5pt" color="#000000 [3200]" miterlimit="8" joinstyle="miter" dashstyle="dash" endarrow="block"/>
                        <v:imagedata o:title=""/>
                        <o:lock v:ext="edit" aspectratio="f"/>
                      </v:shape>
                      <v:shape id="文本框 4" o:spid="_x0000_s1026" o:spt="202" type="#_x0000_t202" style="position:absolute;left:0;top:2475230;height:538480;width:944245;" filled="f" stroked="f" coordsize="21600,21600" o:gfxdata="UEsDBAoAAAAAAIdO4kAAAAAAAAAAAAAAAAAEAAAAZHJzL1BLAwQUAAAACACHTuJABnua9dYAAAAI&#10;AQAADwAAAGRycy9kb3ducmV2LnhtbE2PwU7DMBBE70j8g7VI3Kid0qQlZNMDiCuIApW4uck2iYjX&#10;Uew24e9ZTnDb0Yxm3xTb2fXqTGPoPCMkCwOKuPJ1xw3C+9vTzQZUiJZr23smhG8KsC0vLwqb137i&#10;VzrvYqOkhENuEdoYh1zrULXkbFj4gVi8ox+djSLHRtejnaTc9XppTKad7Vg+tHagh5aqr93JIXw8&#10;Hz/3K/PSPLp0mPxsNLs7jXh9lZh7UJHm+BeGX3xBh1KYDv7EdVA9wtKkkkS4lQFib7JEjgNCul5l&#10;oMtC/x9Q/gBQSwMEFAAAAAgAh07iQKCp38EdAgAAGwQAAA4AAABkcnMvZTJvRG9jLnhtbK1TS27b&#10;MBDdF+gdCO5r2YrcOILlII2RokD6AdIegKYoi6jEYYe0pfQAzQ266qb7nsvn6JBSUjfdZNGNQHJG&#10;b957fFye923D9gqdBlPw2WTKmTISSm22Bf/08erFgjPnhSlFA0YV/FY5fr56/mzZ2VylUENTKmQE&#10;Ylze2YLX3ts8SZysVSvcBKwyVKwAW+Fpi9ukRNERetsk6XT6MukAS4sglXN0uh6KfETEpwBCVWmp&#10;1iB3rTJ+QEXVCE+SXK2t46vItqqU9O+ryinPmoKTUh+/NITWm/BNVkuRb1HYWsuRgngKhUeaWqEN&#10;DX2AWgsv2A71P1CtlggOKj+R0CaDkOgIqZhNH3lzUwurohay2tkH093/g5Xv9h+Q6bLg2ZwzI1q6&#10;8cP3u8OPX4ef31gW/Omsy6ntxlKj719BT6mJWp29BvnZMQOXtTBbdYEIXa1ESfxm4c/k6NcBxwWQ&#10;TfcWSpojdh4iUF9hG8wjOxih093cFjzNTufpyXhDqvdMUuksy9JAVFLD/GSRLWI9Efk9hEXnXyto&#10;WVgUHCkAcYTYXzsfKIn8viVMNHClmyaGoDF/HVBjOIkSAuuBv+83/WjJBspbEoMwZIpeFC1qwK+c&#10;dZSngrsvO4GKs+aNIUPOZlkWAhg32fw0pQ0eVzbHFWEkQRXcczYsL/0Q2p1Fva1p0nAFBi7IxEpH&#10;acHtgdXImzITFY/5DqE83seuP296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Ge5r11gAAAAgB&#10;AAAPAAAAAAAAAAEAIAAAACIAAABkcnMvZG93bnJldi54bWxQSwECFAAUAAAACACHTuJAoKnfwR0C&#10;AAAbBAAADgAAAAAAAAABACAAAAAlAQAAZHJzL2Uyb0RvYy54bWxQSwUGAAAAAAYABgBZAQAAtAUA&#10;AAAA&#10;">
                        <v:fill on="f" focussize="0,0"/>
                        <v:stroke on="f"/>
                        <v:imagedata o:title=""/>
                        <o:lock v:ext="edit" aspectratio="f"/>
                        <v:textbox>
                          <w:txbxContent>
                            <w:p w14:paraId="7B812C22">
                              <w:pPr>
                                <w:rPr>
                                  <w:rFonts w:hint="eastAsia"/>
                                  <w:szCs w:val="21"/>
                                </w:rPr>
                              </w:pPr>
                              <w:r>
                                <w:rPr>
                                  <w:rFonts w:hint="eastAsia"/>
                                  <w:szCs w:val="21"/>
                                  <w:lang w:eastAsia="zh-CN"/>
                                </w:rPr>
                                <w:t>粉碎</w:t>
                              </w:r>
                              <w:r>
                                <w:rPr>
                                  <w:szCs w:val="21"/>
                                </w:rPr>
                                <w:t>废气G</w:t>
                              </w:r>
                              <w:r>
                                <w:rPr>
                                  <w:rFonts w:hint="eastAsia"/>
                                  <w:szCs w:val="21"/>
                                  <w:vertAlign w:val="subscript"/>
                                  <w:lang w:val="en-US" w:eastAsia="zh-CN"/>
                                </w:rPr>
                                <w:t>4</w:t>
                              </w:r>
                              <w:r>
                                <w:rPr>
                                  <w:rFonts w:hint="eastAsia"/>
                                  <w:szCs w:val="21"/>
                                </w:rPr>
                                <w:t>、</w:t>
                              </w:r>
                            </w:p>
                            <w:p w14:paraId="7CBF90C0">
                              <w:pPr>
                                <w:rPr>
                                  <w:rFonts w:hint="eastAsia" w:eastAsia="宋体"/>
                                  <w:kern w:val="0"/>
                                  <w:sz w:val="24"/>
                                  <w:lang w:eastAsia="zh-CN"/>
                                </w:rPr>
                              </w:pPr>
                              <w:r>
                                <w:rPr>
                                  <w:szCs w:val="21"/>
                                </w:rPr>
                                <w:t>噪声</w:t>
                              </w:r>
                              <w:r>
                                <w:rPr>
                                  <w:rFonts w:hint="eastAsia"/>
                                  <w:szCs w:val="21"/>
                                </w:rPr>
                                <w:t>N</w:t>
                              </w:r>
                            </w:p>
                          </w:txbxContent>
                        </v:textbox>
                      </v:shape>
                      <v:shape id="直接箭头连接符 5" o:spid="_x0000_s1026" o:spt="32" type="#_x0000_t32" style="position:absolute;left:408305;top:1372870;flip:y;height:454660;width:0;" filled="f" stroked="t" coordsize="21600,21600" o:gfxdata="UEsDBAoAAAAAAIdO4kAAAAAAAAAAAAAAAAAEAAAAZHJzL1BLAwQUAAAACACHTuJA8hnMT9gAAAAI&#10;AQAADwAAAGRycy9kb3ducmV2LnhtbE2PwU7DMBBE70j8g7VIXCpqJ9BQQpweCggkJASFD3DjJYmw&#10;11HsNuHvWU5w29GMZt9Um9k7ccQx9oE0ZEsFAqkJtqdWw8f7w8UaREyGrHGBUMM3RtjUpyeVKW2Y&#10;6A2Pu9QKLqFYGg1dSkMpZWw69CYuw4DE3mcYvUksx1ba0Uxc7p3MlSqkNz3xh84MuO2w+dodvIZZ&#10;3t88qUXzeEfPU24b9/K6nRZan59l6hZEwjn9heEXn9GhZqZ9OJCNwmnI1YqTGi55ANvrIuNjr2F1&#10;fVWArCv5f0D9A1BLAwQUAAAACACHTuJARPJiay4CAAAZBAAADgAAAGRycy9lMm9Eb2MueG1srVPN&#10;bhMxEL4j8Q6W72ST5qfRKpseEsqlQKQW7o7Xu2theyzbySYvwQsgcYKegFPvPA2Ux2DsDWkplx7Y&#10;w2rsmfnmm2/Gs7OdVmQrnJdgCjro9SkRhkMpTV3QN1fnz6aU+MBMyRQYUdC98PRs/vTJrLW5OIEG&#10;VCkcQRDj89YWtAnB5lnmeSM08z2wwqCzAqdZwKOrs9KxFtG1yk76/UnWgiutAy68x9tl56QHRPcY&#10;QKgqycUS+EYLEzpUJxQL2JJvpPV0nthWleDhdVV5EYgqKHYa0h+LoL2O/2w+Y3ntmG0kP1Bgj6Hw&#10;oCfNpMGiR6glC4xsnPwHSkvuwEMVehx01jWSFMEuBv0H2lw2zIrUC0rt7VF0//9g+avtyhFZFnSE&#10;czdM48RvP9z8fP/59tvXH59ufn3/GO0v12QctWqtzzFlYVYudst35tJeAH/niYFFw0wtEuervUWc&#10;QczI/kqJB2+x4rp9CSXGsE2AJNyucppUStq3MTGCozhkh7z602F/TMke74enJ9PTw9DELhCOfpwk&#10;R99oPJpMkitjeQSLENb58EKAJtEoqA+OyboJCzAGNwNcV4htL3yIVO8SYrKBc6lUWhBlSFvQyXCM&#10;xZiq8d3w4BJJD0qWMS5meFevF8qRLYvblr4kAXruh2kZ8AUpqQs6PQaxPDCpnpuShCRecBLlVILG&#10;ylqUlCiBdaPVUVXmIG7Us5vMGsr9yv0RHTcm9XTY7riS988p++5Fz3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hnMT9gAAAAIAQAADwAAAAAAAAABACAAAAAiAAAAZHJzL2Rvd25yZXYueG1sUEsB&#10;AhQAFAAAAAgAh07iQETyYmsuAgAAGQQAAA4AAAAAAAAAAQAgAAAAJwEAAGRycy9lMm9Eb2MueG1s&#10;UEsFBgAAAAAGAAYAWQEAAMcFAAAAAA==&#10;">
                        <v:fill on="f" focussize="0,0"/>
                        <v:stroke weight="0.5pt" color="#000000" miterlimit="8" joinstyle="miter" endarrow="block"/>
                        <v:imagedata o:title=""/>
                        <o:lock v:ext="edit" aspectratio="f"/>
                      </v:shape>
                      <v:shape id="直接箭头连接符 115" o:spid="_x0000_s1026" o:spt="32" type="#_x0000_t32" style="position:absolute;left:408305;top:1391920;flip:y;height:6985;width:745490;" filled="f" stroked="t" coordsize="21600,21600" o:gfxdata="UEsDBAoAAAAAAIdO4kAAAAAAAAAAAAAAAAAEAAAAZHJzL1BLAwQUAAAACACHTuJA8hnMT9gAAAAI&#10;AQAADwAAAGRycy9kb3ducmV2LnhtbE2PwU7DMBBE70j8g7VIXCpqJ9BQQpweCggkJASFD3DjJYmw&#10;11HsNuHvWU5w29GMZt9Um9k7ccQx9oE0ZEsFAqkJtqdWw8f7w8UaREyGrHGBUMM3RtjUpyeVKW2Y&#10;6A2Pu9QKLqFYGg1dSkMpZWw69CYuw4DE3mcYvUksx1ba0Uxc7p3MlSqkNz3xh84MuO2w+dodvIZZ&#10;3t88qUXzeEfPU24b9/K6nRZan59l6hZEwjn9heEXn9GhZqZ9OJCNwmnI1YqTGi55ANvrIuNjr2F1&#10;fVWArCv5f0D9A1BLAwQUAAAACACHTuJAAfvbVR0CAAD7AwAADgAAAGRycy9lMm9Eb2MueG1srVPL&#10;jtMwFN0j8Q+W9zTpa2ijprNoGTYIRuKxdx0nseSXrj1N+xP8ABIrYDWwmj1fA8NncO2EAsNmFmQR&#10;Xfv6nnPP8fXq/KAV2Qvw0pqSjkc5JcJwW0nTlPT1q4tHC0p8YKZiyhpR0qPw9Hz98MGqc4WY2Naq&#10;SgBBEOOLzpW0DcEVWeZ5KzTzI+uEwWRtQbOAS2iyCliH6Fplkzw/yzoLlQPLhfe4u+2TdECE+wDa&#10;upZcbC2/0sKEHhWEYgEl+VY6T9ep27oWPLyoay8CUSVFpSH9kQTjXfxn6xUrGmCulXxogd2nhTua&#10;NJMGSU9QWxYYuQL5D5SWHKy3dRhxq7NeSHIEVYzzO968bJkTSQta7d3JdP//YPnz/SUQWZV0tqTE&#10;MI03fvvu5vvbj7dfPn/7cPPj6/sYX38i4/E8utU5X2DRxlzCsPLuEqL0Qw2a1Eq6NzhWyQyURw6I&#10;nC+m+ZySI+5Pl+PlZLBdHALhmH88m8+WeCEcD5wtF4km6/EirgMfngqrSQxK6gMw2bRhY43B67XQ&#10;c7H9Mx+wIyz8VRCLjb2QSqVbVoZ0SDCdRyqGk1vjxGCoHar3pqGEqQafBA+QuvdWySpWRxwPzW6j&#10;gOxZHKT0RTeQ7a9jkXrLfNufS6l+xLQM+GqU1CVdnKpZEZhUT0xFwtGh8QEkM40SA7IySBD97h2O&#10;0c5Wx2R82seZSC0M8xuH7s91qv79Zt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IZzE/YAAAA&#10;CAEAAA8AAAAAAAAAAQAgAAAAIgAAAGRycy9kb3ducmV2LnhtbFBLAQIUABQAAAAIAIdO4kAB+9tV&#10;HQIAAPsDAAAOAAAAAAAAAAEAIAAAACcBAABkcnMvZTJvRG9jLnhtbFBLBQYAAAAABgAGAFkBAAC2&#10;BQAAAAA=&#10;">
                        <v:fill on="f" focussize="0,0"/>
                        <v:stroke weight="0.5pt" color="#000000 [3200]" miterlimit="8" joinstyle="miter" endarrow="block"/>
                        <v:imagedata o:title=""/>
                        <o:lock v:ext="edit" aspectratio="f"/>
                      </v:shape>
                      <w10:wrap type="topAndBottom"/>
                    </v:group>
                  </w:pict>
                </mc:Fallback>
              </mc:AlternateContent>
            </w:r>
            <w:r>
              <w:rPr>
                <w:b/>
                <w:bCs/>
                <w:color w:val="auto"/>
                <w:lang w:val="zh-CN"/>
              </w:rPr>
              <w:t>图</w:t>
            </w:r>
            <w:r>
              <w:rPr>
                <w:rFonts w:hint="eastAsia"/>
                <w:b/>
                <w:bCs/>
                <w:color w:val="auto"/>
                <w:lang w:val="zh-CN"/>
              </w:rPr>
              <w:t>2</w:t>
            </w:r>
            <w:r>
              <w:rPr>
                <w:b/>
                <w:bCs/>
                <w:color w:val="auto"/>
                <w:lang w:val="zh-CN"/>
              </w:rPr>
              <w:t>-</w:t>
            </w:r>
            <w:r>
              <w:rPr>
                <w:rFonts w:hint="eastAsia"/>
                <w:b/>
                <w:bCs/>
                <w:color w:val="auto"/>
                <w:lang w:val="en-US" w:eastAsia="zh-CN"/>
              </w:rPr>
              <w:t>2</w:t>
            </w:r>
            <w:r>
              <w:rPr>
                <w:b/>
                <w:bCs/>
                <w:color w:val="auto"/>
                <w:lang w:val="zh-CN"/>
              </w:rPr>
              <w:t xml:space="preserve">    工艺流程及产污环节图</w:t>
            </w:r>
          </w:p>
          <w:p w14:paraId="6E2247EB">
            <w:pPr>
              <w:spacing w:line="500" w:lineRule="exact"/>
              <w:ind w:firstLine="420" w:firstLineChars="200"/>
              <w:jc w:val="both"/>
              <w:rPr>
                <w:color w:val="auto"/>
                <w:szCs w:val="21"/>
                <w:lang w:val="zh-CN"/>
              </w:rPr>
            </w:pPr>
            <w:r>
              <w:rPr>
                <w:rFonts w:hint="eastAsia"/>
                <w:color w:val="auto"/>
                <w:szCs w:val="21"/>
                <w:lang w:val="zh-CN"/>
              </w:rPr>
              <w:t>工艺流程简介：</w:t>
            </w:r>
          </w:p>
          <w:p w14:paraId="7FD9409A">
            <w:pPr>
              <w:spacing w:line="500" w:lineRule="exact"/>
              <w:ind w:firstLine="420" w:firstLineChars="200"/>
              <w:jc w:val="both"/>
              <w:rPr>
                <w:rFonts w:hint="eastAsia" w:ascii="Times New Roman" w:hAnsi="Times New Roman"/>
                <w:color w:val="auto"/>
                <w:sz w:val="21"/>
                <w:szCs w:val="21"/>
              </w:rPr>
            </w:pPr>
            <w:r>
              <w:rPr>
                <w:rFonts w:hint="eastAsia" w:ascii="Times New Roman" w:hAnsi="Times New Roman"/>
                <w:color w:val="auto"/>
                <w:sz w:val="21"/>
                <w:szCs w:val="21"/>
              </w:rPr>
              <w:t>（1）混料：将PP粒子、EBS、</w:t>
            </w:r>
            <w:r>
              <w:rPr>
                <w:rFonts w:hint="eastAsia"/>
                <w:color w:val="auto"/>
                <w:sz w:val="21"/>
                <w:szCs w:val="21"/>
                <w:lang w:eastAsia="zh-CN"/>
              </w:rPr>
              <w:t>颜</w:t>
            </w:r>
            <w:r>
              <w:rPr>
                <w:rFonts w:hint="eastAsia" w:ascii="Times New Roman" w:hAnsi="Times New Roman"/>
                <w:color w:val="auto"/>
                <w:sz w:val="21"/>
                <w:szCs w:val="21"/>
              </w:rPr>
              <w:t>料等原辅料利用管道密闭输送至</w:t>
            </w:r>
            <w:r>
              <w:rPr>
                <w:rFonts w:hint="eastAsia"/>
                <w:color w:val="auto"/>
                <w:sz w:val="21"/>
                <w:szCs w:val="21"/>
                <w:lang w:eastAsia="zh-CN"/>
              </w:rPr>
              <w:t>上料机</w:t>
            </w:r>
            <w:r>
              <w:rPr>
                <w:rFonts w:hint="eastAsia" w:ascii="Times New Roman" w:hAnsi="Times New Roman"/>
                <w:color w:val="auto"/>
                <w:sz w:val="21"/>
                <w:szCs w:val="21"/>
              </w:rPr>
              <w:t>进行计量，投料过程有少量粉尘产生。将配比好的物料利用管道直接密闭输送至混料机中进行充分的混合搅拌，以便后续的生产。</w:t>
            </w:r>
          </w:p>
          <w:p w14:paraId="393EE68A">
            <w:pPr>
              <w:spacing w:line="500" w:lineRule="exact"/>
              <w:ind w:firstLine="420" w:firstLineChars="200"/>
              <w:jc w:val="both"/>
              <w:rPr>
                <w:rFonts w:hint="eastAsia" w:ascii="Times New Roman" w:hAnsi="Times New Roman"/>
                <w:color w:val="auto"/>
                <w:sz w:val="21"/>
                <w:szCs w:val="21"/>
              </w:rPr>
            </w:pPr>
            <w:r>
              <w:rPr>
                <w:rFonts w:hint="eastAsia" w:ascii="Times New Roman" w:hAnsi="Times New Roman"/>
                <w:color w:val="auto"/>
                <w:sz w:val="21"/>
                <w:szCs w:val="21"/>
              </w:rPr>
              <w:t>产污环节：此工序产生G1投料粉尘、G2搅拌粉尘、噪声N</w:t>
            </w:r>
            <w:r>
              <w:rPr>
                <w:rFonts w:hint="eastAsia"/>
                <w:color w:val="auto"/>
                <w:sz w:val="21"/>
                <w:szCs w:val="21"/>
                <w:lang w:eastAsia="zh-CN"/>
              </w:rPr>
              <w:t>、废包装袋</w:t>
            </w:r>
            <w:r>
              <w:rPr>
                <w:rFonts w:hint="eastAsia"/>
                <w:color w:val="auto"/>
                <w:sz w:val="21"/>
                <w:szCs w:val="21"/>
                <w:lang w:val="en-US" w:eastAsia="zh-CN"/>
              </w:rPr>
              <w:t>S1</w:t>
            </w:r>
            <w:r>
              <w:rPr>
                <w:rFonts w:hint="eastAsia" w:ascii="Times New Roman" w:hAnsi="Times New Roman"/>
                <w:color w:val="auto"/>
                <w:sz w:val="21"/>
                <w:szCs w:val="21"/>
              </w:rPr>
              <w:t>。</w:t>
            </w:r>
          </w:p>
          <w:p w14:paraId="5BC482F7">
            <w:pPr>
              <w:spacing w:line="500" w:lineRule="exact"/>
              <w:ind w:firstLine="420" w:firstLineChars="200"/>
              <w:jc w:val="both"/>
              <w:rPr>
                <w:rFonts w:hint="eastAsia" w:ascii="Times New Roman" w:hAnsi="Times New Roman"/>
                <w:color w:val="auto"/>
                <w:sz w:val="21"/>
                <w:szCs w:val="21"/>
              </w:rPr>
            </w:pPr>
            <w:r>
              <w:rPr>
                <w:rFonts w:hint="eastAsia" w:ascii="Times New Roman" w:hAnsi="Times New Roman"/>
                <w:color w:val="auto"/>
                <w:sz w:val="21"/>
                <w:szCs w:val="21"/>
              </w:rPr>
              <w:t>（2）挤出：将混合均匀的物料通过挤塑机加热将其挤出，电加热（140-180℃左右）至塑料粒子为熔融状态后在一定压力下通过机头口模成型。</w:t>
            </w:r>
          </w:p>
          <w:p w14:paraId="2A89715C">
            <w:pPr>
              <w:spacing w:line="500" w:lineRule="exact"/>
              <w:ind w:firstLine="420" w:firstLineChars="200"/>
              <w:jc w:val="both"/>
              <w:rPr>
                <w:rFonts w:hint="eastAsia" w:ascii="Times New Roman" w:hAnsi="Times New Roman"/>
                <w:color w:val="auto"/>
                <w:sz w:val="21"/>
                <w:szCs w:val="21"/>
              </w:rPr>
            </w:pPr>
            <w:r>
              <w:rPr>
                <w:rFonts w:hint="eastAsia" w:ascii="Times New Roman" w:hAnsi="Times New Roman"/>
                <w:color w:val="auto"/>
                <w:sz w:val="21"/>
                <w:szCs w:val="21"/>
              </w:rPr>
              <w:t>产污环节：此工序产生G3挤出废气、噪声N。</w:t>
            </w:r>
          </w:p>
          <w:p w14:paraId="0B679C53">
            <w:pPr>
              <w:spacing w:line="500" w:lineRule="exact"/>
              <w:ind w:firstLine="420" w:firstLineChars="200"/>
              <w:jc w:val="both"/>
              <w:rPr>
                <w:rFonts w:hint="eastAsia" w:ascii="Times New Roman" w:hAnsi="Times New Roman"/>
                <w:color w:val="auto"/>
                <w:sz w:val="21"/>
                <w:szCs w:val="21"/>
              </w:rPr>
            </w:pPr>
            <w:r>
              <w:rPr>
                <w:rFonts w:hint="eastAsia" w:ascii="Times New Roman" w:hAnsi="Times New Roman"/>
                <w:color w:val="auto"/>
                <w:sz w:val="21"/>
                <w:szCs w:val="21"/>
              </w:rPr>
              <w:t>（3）</w:t>
            </w:r>
            <w:r>
              <w:rPr>
                <w:rFonts w:hint="default" w:ascii="Times New Roman" w:hAnsi="Times New Roman" w:cs="Times New Roman"/>
                <w:color w:val="auto"/>
                <w:sz w:val="21"/>
                <w:szCs w:val="21"/>
              </w:rPr>
              <w:t>冷却：成型的粒子在离开机头后，应立即进行冷却定型，否则在重力的作用下发生变形。将高温料条通过</w:t>
            </w:r>
            <w:r>
              <w:rPr>
                <w:rFonts w:hint="default" w:ascii="Times New Roman" w:hAnsi="Times New Roman" w:cs="Times New Roman"/>
                <w:color w:val="auto"/>
                <w:sz w:val="21"/>
                <w:szCs w:val="21"/>
                <w:lang w:eastAsia="zh-CN"/>
              </w:rPr>
              <w:t>循环池</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m）进行直接冷却，冷却水通过循环水池实现循环使用，</w:t>
            </w:r>
            <w:r>
              <w:rPr>
                <w:rFonts w:hint="default" w:ascii="Times New Roman" w:hAnsi="Times New Roman" w:cs="Times New Roman"/>
                <w:color w:val="auto"/>
                <w:sz w:val="21"/>
                <w:szCs w:val="21"/>
                <w:lang w:eastAsia="zh-CN"/>
              </w:rPr>
              <w:t>定期排放</w:t>
            </w:r>
            <w:r>
              <w:rPr>
                <w:rFonts w:hint="default" w:ascii="Times New Roman" w:hAnsi="Times New Roman" w:cs="Times New Roman"/>
                <w:color w:val="auto"/>
                <w:sz w:val="21"/>
                <w:szCs w:val="21"/>
              </w:rPr>
              <w:t>。</w:t>
            </w:r>
          </w:p>
          <w:p w14:paraId="239B1F40">
            <w:pPr>
              <w:spacing w:line="500" w:lineRule="exact"/>
              <w:ind w:firstLine="420" w:firstLineChars="200"/>
              <w:jc w:val="both"/>
              <w:rPr>
                <w:rFonts w:hint="eastAsia" w:ascii="Times New Roman" w:hAnsi="Times New Roman"/>
                <w:color w:val="auto"/>
                <w:sz w:val="21"/>
                <w:szCs w:val="21"/>
              </w:rPr>
            </w:pPr>
            <w:r>
              <w:rPr>
                <w:rFonts w:hint="eastAsia" w:ascii="Times New Roman" w:hAnsi="Times New Roman"/>
                <w:color w:val="auto"/>
                <w:sz w:val="21"/>
                <w:szCs w:val="21"/>
              </w:rPr>
              <w:t>产污环节：此工序产</w:t>
            </w:r>
            <w:r>
              <w:rPr>
                <w:rFonts w:hint="eastAsia"/>
                <w:color w:val="auto"/>
                <w:sz w:val="21"/>
                <w:szCs w:val="21"/>
                <w:lang w:eastAsia="zh-CN"/>
              </w:rPr>
              <w:t>生冷却废水</w:t>
            </w:r>
            <w:r>
              <w:rPr>
                <w:rFonts w:hint="eastAsia"/>
                <w:color w:val="auto"/>
                <w:sz w:val="21"/>
                <w:szCs w:val="21"/>
                <w:lang w:val="en-US" w:eastAsia="zh-CN"/>
              </w:rPr>
              <w:t>W1</w:t>
            </w:r>
            <w:r>
              <w:rPr>
                <w:rFonts w:hint="eastAsia" w:ascii="Times New Roman" w:hAnsi="Times New Roman"/>
                <w:color w:val="auto"/>
                <w:sz w:val="21"/>
                <w:szCs w:val="21"/>
              </w:rPr>
              <w:t>。</w:t>
            </w:r>
          </w:p>
          <w:p w14:paraId="692CF80F">
            <w:pPr>
              <w:spacing w:line="500" w:lineRule="exact"/>
              <w:ind w:firstLine="420" w:firstLineChars="200"/>
              <w:jc w:val="both"/>
              <w:rPr>
                <w:rFonts w:hint="eastAsia" w:ascii="Times New Roman" w:hAnsi="Times New Roman" w:eastAsia="宋体"/>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4</w:t>
            </w:r>
            <w:r>
              <w:rPr>
                <w:rFonts w:hint="default" w:ascii="Times New Roman" w:hAnsi="Times New Roman" w:cs="Times New Roman"/>
                <w:color w:val="auto"/>
                <w:sz w:val="21"/>
                <w:szCs w:val="21"/>
                <w:lang w:eastAsia="zh-CN"/>
              </w:rPr>
              <w:t>）</w:t>
            </w:r>
            <w:r>
              <w:rPr>
                <w:rFonts w:hint="eastAsia"/>
                <w:color w:val="auto"/>
                <w:sz w:val="21"/>
                <w:szCs w:val="21"/>
                <w:lang w:eastAsia="zh-CN"/>
              </w:rPr>
              <w:t>粉碎：挤出过程产生的不合格品经粉碎机粉碎后，再利用。</w:t>
            </w:r>
          </w:p>
          <w:p w14:paraId="38BE694A">
            <w:pPr>
              <w:spacing w:line="500" w:lineRule="exact"/>
              <w:ind w:firstLine="420" w:firstLineChars="200"/>
              <w:jc w:val="both"/>
              <w:rPr>
                <w:rFonts w:hint="default" w:ascii="Times New Roman" w:hAnsi="Times New Roman" w:cs="Times New Roman"/>
                <w:color w:val="auto"/>
                <w:sz w:val="21"/>
                <w:szCs w:val="21"/>
                <w:lang w:eastAsia="zh-CN"/>
              </w:rPr>
            </w:pPr>
            <w:r>
              <w:rPr>
                <w:rFonts w:hint="eastAsia" w:ascii="Times New Roman" w:hAnsi="Times New Roman"/>
                <w:color w:val="auto"/>
                <w:sz w:val="21"/>
                <w:szCs w:val="21"/>
              </w:rPr>
              <w:t>产污环节：此工序产生G</w:t>
            </w:r>
            <w:r>
              <w:rPr>
                <w:rFonts w:hint="eastAsia"/>
                <w:color w:val="auto"/>
                <w:sz w:val="21"/>
                <w:szCs w:val="21"/>
                <w:lang w:val="en-US" w:eastAsia="zh-CN"/>
              </w:rPr>
              <w:t>4</w:t>
            </w:r>
            <w:r>
              <w:rPr>
                <w:rFonts w:hint="eastAsia"/>
                <w:color w:val="auto"/>
                <w:sz w:val="21"/>
                <w:szCs w:val="21"/>
                <w:lang w:eastAsia="zh-CN"/>
              </w:rPr>
              <w:t>粉碎</w:t>
            </w:r>
            <w:r>
              <w:rPr>
                <w:rFonts w:hint="eastAsia" w:ascii="Times New Roman" w:hAnsi="Times New Roman"/>
                <w:color w:val="auto"/>
                <w:sz w:val="21"/>
                <w:szCs w:val="21"/>
              </w:rPr>
              <w:t>废气、噪声N。</w:t>
            </w:r>
          </w:p>
          <w:p w14:paraId="2968E0A2">
            <w:pPr>
              <w:spacing w:line="500" w:lineRule="exact"/>
              <w:ind w:firstLine="420" w:firstLineChars="200"/>
              <w:jc w:val="both"/>
              <w:rPr>
                <w:rFonts w:hint="eastAsia" w:ascii="Times New Roman" w:hAnsi="Times New Roman"/>
                <w:color w:val="auto"/>
                <w:sz w:val="21"/>
                <w:szCs w:val="21"/>
              </w:rPr>
            </w:pPr>
            <w:r>
              <w:rPr>
                <w:rFonts w:hint="eastAsia" w:ascii="Times New Roman" w:hAnsi="Times New Roman"/>
                <w:color w:val="auto"/>
                <w:sz w:val="21"/>
                <w:szCs w:val="21"/>
              </w:rPr>
              <w:t>（</w:t>
            </w:r>
            <w:r>
              <w:rPr>
                <w:rFonts w:hint="eastAsia"/>
                <w:color w:val="auto"/>
                <w:sz w:val="21"/>
                <w:szCs w:val="21"/>
                <w:lang w:val="en-US" w:eastAsia="zh-CN"/>
              </w:rPr>
              <w:t>5</w:t>
            </w:r>
            <w:r>
              <w:rPr>
                <w:rFonts w:hint="eastAsia" w:ascii="Times New Roman" w:hAnsi="Times New Roman"/>
                <w:color w:val="auto"/>
                <w:sz w:val="21"/>
                <w:szCs w:val="21"/>
              </w:rPr>
              <w:t>）切粒：利用切粒机将挤出成型后的粒子根据尺寸要求进行分切，此过程无粉尘产生。</w:t>
            </w:r>
          </w:p>
          <w:p w14:paraId="7459E7CF">
            <w:pPr>
              <w:spacing w:line="500" w:lineRule="exact"/>
              <w:ind w:firstLine="420" w:firstLineChars="200"/>
              <w:jc w:val="both"/>
              <w:rPr>
                <w:rFonts w:hint="eastAsia" w:ascii="Times New Roman" w:hAnsi="Times New Roman"/>
                <w:color w:val="auto"/>
                <w:sz w:val="21"/>
                <w:szCs w:val="21"/>
              </w:rPr>
            </w:pPr>
            <w:r>
              <w:rPr>
                <w:rFonts w:hint="eastAsia" w:ascii="Times New Roman" w:hAnsi="Times New Roman"/>
                <w:color w:val="auto"/>
                <w:sz w:val="21"/>
                <w:szCs w:val="21"/>
              </w:rPr>
              <w:t>产污环节：此生产工序产生噪声N。</w:t>
            </w:r>
          </w:p>
          <w:p w14:paraId="7D1BD463">
            <w:pPr>
              <w:numPr>
                <w:ilvl w:val="0"/>
                <w:numId w:val="0"/>
              </w:numPr>
              <w:spacing w:line="500" w:lineRule="exact"/>
              <w:ind w:firstLine="420" w:firstLineChars="200"/>
              <w:jc w:val="both"/>
              <w:rPr>
                <w:rFonts w:hint="eastAsia" w:ascii="Times New Roman" w:hAnsi="Times New Roman"/>
                <w:color w:val="auto"/>
                <w:sz w:val="21"/>
                <w:szCs w:val="21"/>
              </w:rPr>
            </w:pPr>
            <w:r>
              <w:rPr>
                <w:rFonts w:hint="eastAsia"/>
                <w:color w:val="auto"/>
                <w:sz w:val="21"/>
                <w:szCs w:val="21"/>
                <w:lang w:eastAsia="zh-CN"/>
              </w:rPr>
              <w:t>（</w:t>
            </w:r>
            <w:r>
              <w:rPr>
                <w:rFonts w:hint="eastAsia"/>
                <w:color w:val="auto"/>
                <w:sz w:val="21"/>
                <w:szCs w:val="21"/>
                <w:lang w:val="en-US" w:eastAsia="zh-CN"/>
              </w:rPr>
              <w:t>6</w:t>
            </w:r>
            <w:r>
              <w:rPr>
                <w:rFonts w:hint="eastAsia"/>
                <w:color w:val="auto"/>
                <w:sz w:val="21"/>
                <w:szCs w:val="21"/>
                <w:lang w:eastAsia="zh-CN"/>
              </w:rPr>
              <w:t>）检验：切粒好的产品经检验后进行包装</w:t>
            </w:r>
          </w:p>
          <w:p w14:paraId="3F79B8EC">
            <w:pPr>
              <w:numPr>
                <w:ilvl w:val="0"/>
                <w:numId w:val="0"/>
              </w:numPr>
              <w:spacing w:line="500" w:lineRule="exact"/>
              <w:ind w:firstLine="420" w:firstLineChars="200"/>
              <w:jc w:val="both"/>
              <w:rPr>
                <w:rFonts w:hint="eastAsia" w:ascii="Times New Roman" w:hAnsi="Times New Roman"/>
                <w:color w:val="auto"/>
                <w:sz w:val="21"/>
                <w:szCs w:val="21"/>
              </w:rPr>
            </w:pPr>
            <w:r>
              <w:rPr>
                <w:rFonts w:hint="eastAsia"/>
                <w:color w:val="auto"/>
                <w:sz w:val="21"/>
                <w:szCs w:val="21"/>
                <w:lang w:eastAsia="zh-CN"/>
              </w:rPr>
              <w:t>（</w:t>
            </w:r>
            <w:r>
              <w:rPr>
                <w:rFonts w:hint="eastAsia"/>
                <w:color w:val="auto"/>
                <w:sz w:val="21"/>
                <w:szCs w:val="21"/>
                <w:lang w:val="en-US" w:eastAsia="zh-CN"/>
              </w:rPr>
              <w:t>7</w:t>
            </w:r>
            <w:r>
              <w:rPr>
                <w:rFonts w:hint="eastAsia"/>
                <w:color w:val="auto"/>
                <w:sz w:val="21"/>
                <w:szCs w:val="21"/>
                <w:lang w:eastAsia="zh-CN"/>
              </w:rPr>
              <w:t>）</w:t>
            </w:r>
            <w:r>
              <w:rPr>
                <w:rFonts w:hint="eastAsia" w:ascii="Times New Roman" w:hAnsi="Times New Roman"/>
                <w:color w:val="auto"/>
                <w:sz w:val="21"/>
                <w:szCs w:val="21"/>
              </w:rPr>
              <w:t>包装出厂：将切粒完成的成品利用塑料袋包装出售。此生产工序不会产生污染，此过程无粉尘产生。</w:t>
            </w:r>
          </w:p>
          <w:p w14:paraId="56704F98">
            <w:pPr>
              <w:numPr>
                <w:ilvl w:val="0"/>
                <w:numId w:val="0"/>
              </w:numPr>
              <w:spacing w:line="500" w:lineRule="exact"/>
              <w:ind w:firstLine="420" w:firstLineChars="200"/>
              <w:jc w:val="both"/>
              <w:rPr>
                <w:color w:val="auto"/>
              </w:rPr>
            </w:pPr>
            <w:r>
              <w:rPr>
                <w:rFonts w:hint="eastAsia"/>
                <w:color w:val="auto"/>
              </w:rPr>
              <w:t>3、产污环节</w:t>
            </w:r>
          </w:p>
          <w:p w14:paraId="7D866B27">
            <w:pPr>
              <w:spacing w:line="500" w:lineRule="exact"/>
              <w:jc w:val="center"/>
              <w:rPr>
                <w:b/>
                <w:bCs/>
                <w:color w:val="auto"/>
              </w:rPr>
            </w:pPr>
            <w:r>
              <w:rPr>
                <w:b/>
                <w:bCs/>
                <w:color w:val="auto"/>
              </w:rPr>
              <w:t>表 2-</w:t>
            </w:r>
            <w:r>
              <w:rPr>
                <w:rFonts w:hint="eastAsia"/>
                <w:b/>
                <w:bCs/>
                <w:color w:val="auto"/>
                <w:lang w:val="en-US" w:eastAsia="zh-CN"/>
              </w:rPr>
              <w:t>5</w:t>
            </w:r>
            <w:r>
              <w:rPr>
                <w:b/>
                <w:bCs/>
                <w:color w:val="auto"/>
              </w:rPr>
              <w:t xml:space="preserve"> 主要产污环节及排污特征</w:t>
            </w:r>
          </w:p>
          <w:tbl>
            <w:tblPr>
              <w:tblStyle w:val="16"/>
              <w:tblW w:w="88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90"/>
              <w:gridCol w:w="1140"/>
              <w:gridCol w:w="1455"/>
              <w:gridCol w:w="720"/>
              <w:gridCol w:w="4182"/>
            </w:tblGrid>
            <w:tr w14:paraId="7D9E2B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0" w:type="dxa"/>
                  <w:vAlign w:val="center"/>
                </w:tcPr>
                <w:p w14:paraId="1A2497C3">
                  <w:pPr>
                    <w:jc w:val="center"/>
                    <w:rPr>
                      <w:color w:val="auto"/>
                      <w:sz w:val="18"/>
                      <w:szCs w:val="18"/>
                    </w:rPr>
                  </w:pPr>
                  <w:r>
                    <w:rPr>
                      <w:color w:val="auto"/>
                      <w:sz w:val="18"/>
                      <w:szCs w:val="18"/>
                    </w:rPr>
                    <w:t>类型</w:t>
                  </w:r>
                </w:p>
              </w:tc>
              <w:tc>
                <w:tcPr>
                  <w:tcW w:w="690" w:type="dxa"/>
                  <w:vAlign w:val="center"/>
                </w:tcPr>
                <w:p w14:paraId="4412EEE5">
                  <w:pPr>
                    <w:jc w:val="center"/>
                    <w:rPr>
                      <w:color w:val="auto"/>
                      <w:sz w:val="18"/>
                      <w:szCs w:val="18"/>
                    </w:rPr>
                  </w:pPr>
                  <w:r>
                    <w:rPr>
                      <w:color w:val="auto"/>
                      <w:sz w:val="18"/>
                      <w:szCs w:val="18"/>
                    </w:rPr>
                    <w:t>编号</w:t>
                  </w:r>
                </w:p>
              </w:tc>
              <w:tc>
                <w:tcPr>
                  <w:tcW w:w="1140" w:type="dxa"/>
                  <w:vAlign w:val="center"/>
                </w:tcPr>
                <w:p w14:paraId="717BB1FD">
                  <w:pPr>
                    <w:jc w:val="center"/>
                    <w:rPr>
                      <w:color w:val="auto"/>
                      <w:sz w:val="18"/>
                      <w:szCs w:val="18"/>
                    </w:rPr>
                  </w:pPr>
                  <w:r>
                    <w:rPr>
                      <w:color w:val="auto"/>
                      <w:sz w:val="18"/>
                      <w:szCs w:val="18"/>
                    </w:rPr>
                    <w:t>产污环节</w:t>
                  </w:r>
                </w:p>
              </w:tc>
              <w:tc>
                <w:tcPr>
                  <w:tcW w:w="1455" w:type="dxa"/>
                  <w:vAlign w:val="center"/>
                </w:tcPr>
                <w:p w14:paraId="44CAF9F2">
                  <w:pPr>
                    <w:jc w:val="center"/>
                    <w:rPr>
                      <w:color w:val="auto"/>
                      <w:sz w:val="18"/>
                      <w:szCs w:val="18"/>
                    </w:rPr>
                  </w:pPr>
                  <w:r>
                    <w:rPr>
                      <w:color w:val="auto"/>
                      <w:sz w:val="18"/>
                      <w:szCs w:val="18"/>
                    </w:rPr>
                    <w:t>主要污染因子</w:t>
                  </w:r>
                </w:p>
              </w:tc>
              <w:tc>
                <w:tcPr>
                  <w:tcW w:w="720" w:type="dxa"/>
                  <w:vAlign w:val="center"/>
                </w:tcPr>
                <w:p w14:paraId="71365CC5">
                  <w:pPr>
                    <w:jc w:val="center"/>
                    <w:rPr>
                      <w:color w:val="auto"/>
                      <w:sz w:val="18"/>
                      <w:szCs w:val="18"/>
                    </w:rPr>
                  </w:pPr>
                  <w:r>
                    <w:rPr>
                      <w:color w:val="auto"/>
                      <w:sz w:val="18"/>
                      <w:szCs w:val="18"/>
                    </w:rPr>
                    <w:t>特征</w:t>
                  </w:r>
                </w:p>
              </w:tc>
              <w:tc>
                <w:tcPr>
                  <w:tcW w:w="4182" w:type="dxa"/>
                  <w:vAlign w:val="center"/>
                </w:tcPr>
                <w:p w14:paraId="5E15430E">
                  <w:pPr>
                    <w:jc w:val="center"/>
                    <w:rPr>
                      <w:color w:val="auto"/>
                      <w:sz w:val="18"/>
                      <w:szCs w:val="18"/>
                    </w:rPr>
                  </w:pPr>
                  <w:r>
                    <w:rPr>
                      <w:color w:val="auto"/>
                      <w:sz w:val="18"/>
                      <w:szCs w:val="18"/>
                    </w:rPr>
                    <w:t>处理措施及排放去向</w:t>
                  </w:r>
                </w:p>
              </w:tc>
            </w:tr>
            <w:tr w14:paraId="0E41D7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10" w:type="dxa"/>
                  <w:vMerge w:val="restart"/>
                  <w:vAlign w:val="center"/>
                </w:tcPr>
                <w:p w14:paraId="7409ADC7">
                  <w:pPr>
                    <w:jc w:val="center"/>
                    <w:rPr>
                      <w:color w:val="auto"/>
                      <w:sz w:val="18"/>
                      <w:szCs w:val="18"/>
                    </w:rPr>
                  </w:pPr>
                  <w:r>
                    <w:rPr>
                      <w:rFonts w:hint="eastAsia"/>
                      <w:color w:val="auto"/>
                      <w:sz w:val="18"/>
                      <w:szCs w:val="18"/>
                    </w:rPr>
                    <w:t>废水</w:t>
                  </w:r>
                </w:p>
              </w:tc>
              <w:tc>
                <w:tcPr>
                  <w:tcW w:w="690" w:type="dxa"/>
                  <w:vAlign w:val="center"/>
                </w:tcPr>
                <w:p w14:paraId="751E048B">
                  <w:pPr>
                    <w:jc w:val="center"/>
                    <w:rPr>
                      <w:color w:val="auto"/>
                      <w:sz w:val="18"/>
                      <w:szCs w:val="18"/>
                    </w:rPr>
                  </w:pPr>
                  <w:r>
                    <w:rPr>
                      <w:color w:val="auto"/>
                      <w:sz w:val="18"/>
                      <w:szCs w:val="18"/>
                    </w:rPr>
                    <w:t>W</w:t>
                  </w:r>
                  <w:r>
                    <w:rPr>
                      <w:rFonts w:hint="eastAsia"/>
                      <w:color w:val="auto"/>
                      <w:sz w:val="18"/>
                      <w:szCs w:val="18"/>
                    </w:rPr>
                    <w:t>1</w:t>
                  </w:r>
                </w:p>
              </w:tc>
              <w:tc>
                <w:tcPr>
                  <w:tcW w:w="1140" w:type="dxa"/>
                  <w:vAlign w:val="center"/>
                </w:tcPr>
                <w:p w14:paraId="23B406BF">
                  <w:pPr>
                    <w:jc w:val="center"/>
                    <w:rPr>
                      <w:rFonts w:hint="eastAsia" w:eastAsia="宋体"/>
                      <w:color w:val="auto"/>
                      <w:sz w:val="18"/>
                      <w:szCs w:val="18"/>
                      <w:lang w:eastAsia="zh-CN"/>
                    </w:rPr>
                  </w:pPr>
                  <w:r>
                    <w:rPr>
                      <w:rFonts w:hint="eastAsia"/>
                      <w:color w:val="auto"/>
                      <w:sz w:val="18"/>
                      <w:szCs w:val="18"/>
                      <w:lang w:eastAsia="zh-CN"/>
                    </w:rPr>
                    <w:t>冷却水</w:t>
                  </w:r>
                </w:p>
              </w:tc>
              <w:tc>
                <w:tcPr>
                  <w:tcW w:w="1455" w:type="dxa"/>
                  <w:vAlign w:val="center"/>
                </w:tcPr>
                <w:p w14:paraId="5D9C5C59">
                  <w:pPr>
                    <w:jc w:val="center"/>
                    <w:rPr>
                      <w:rFonts w:hint="default" w:eastAsia="宋体"/>
                      <w:color w:val="auto"/>
                      <w:sz w:val="18"/>
                      <w:szCs w:val="18"/>
                      <w:lang w:val="en-US" w:eastAsia="zh-CN"/>
                    </w:rPr>
                  </w:pPr>
                  <w:r>
                    <w:rPr>
                      <w:rFonts w:hint="eastAsia"/>
                      <w:color w:val="auto"/>
                      <w:sz w:val="18"/>
                      <w:szCs w:val="18"/>
                      <w:lang w:val="en-US" w:eastAsia="zh-CN"/>
                    </w:rPr>
                    <w:t>COD、SS</w:t>
                  </w:r>
                </w:p>
              </w:tc>
              <w:tc>
                <w:tcPr>
                  <w:tcW w:w="720" w:type="dxa"/>
                  <w:vAlign w:val="center"/>
                </w:tcPr>
                <w:p w14:paraId="2449EC3B">
                  <w:pPr>
                    <w:jc w:val="center"/>
                    <w:rPr>
                      <w:rFonts w:hint="eastAsia" w:eastAsia="宋体"/>
                      <w:color w:val="auto"/>
                      <w:sz w:val="18"/>
                      <w:szCs w:val="18"/>
                      <w:lang w:eastAsia="zh-CN"/>
                    </w:rPr>
                  </w:pPr>
                  <w:r>
                    <w:rPr>
                      <w:rFonts w:hint="eastAsia"/>
                      <w:color w:val="auto"/>
                      <w:sz w:val="18"/>
                      <w:szCs w:val="18"/>
                      <w:lang w:eastAsia="zh-CN"/>
                    </w:rPr>
                    <w:t>间歇</w:t>
                  </w:r>
                </w:p>
              </w:tc>
              <w:tc>
                <w:tcPr>
                  <w:tcW w:w="4182" w:type="dxa"/>
                  <w:vAlign w:val="center"/>
                </w:tcPr>
                <w:p w14:paraId="6C2B39FB">
                  <w:pPr>
                    <w:jc w:val="center"/>
                    <w:rPr>
                      <w:rFonts w:hint="eastAsia" w:eastAsia="宋体"/>
                      <w:color w:val="auto"/>
                      <w:sz w:val="18"/>
                      <w:szCs w:val="18"/>
                      <w:lang w:eastAsia="zh-CN"/>
                    </w:rPr>
                  </w:pPr>
                  <w:r>
                    <w:rPr>
                      <w:rFonts w:hint="eastAsia"/>
                      <w:color w:val="auto"/>
                      <w:sz w:val="18"/>
                      <w:szCs w:val="18"/>
                      <w:lang w:eastAsia="zh-CN"/>
                    </w:rPr>
                    <w:t>循环使用，定期托运至</w:t>
                  </w:r>
                  <w:r>
                    <w:rPr>
                      <w:rFonts w:hint="eastAsia"/>
                      <w:color w:val="auto"/>
                      <w:sz w:val="18"/>
                      <w:szCs w:val="18"/>
                      <w:lang w:val="en-US" w:eastAsia="zh-CN"/>
                    </w:rPr>
                    <w:t>南通市东港排水有限公司</w:t>
                  </w:r>
                </w:p>
              </w:tc>
            </w:tr>
            <w:tr w14:paraId="0FF3C3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10" w:type="dxa"/>
                  <w:vMerge w:val="continue"/>
                  <w:vAlign w:val="center"/>
                </w:tcPr>
                <w:p w14:paraId="4BAC4EFE">
                  <w:pPr>
                    <w:jc w:val="center"/>
                    <w:rPr>
                      <w:rFonts w:hint="eastAsia"/>
                      <w:color w:val="auto"/>
                      <w:sz w:val="18"/>
                      <w:szCs w:val="18"/>
                    </w:rPr>
                  </w:pPr>
                </w:p>
              </w:tc>
              <w:tc>
                <w:tcPr>
                  <w:tcW w:w="690" w:type="dxa"/>
                  <w:vAlign w:val="center"/>
                </w:tcPr>
                <w:p w14:paraId="227D6397">
                  <w:pPr>
                    <w:jc w:val="center"/>
                    <w:rPr>
                      <w:rFonts w:hint="default" w:eastAsia="宋体"/>
                      <w:color w:val="auto"/>
                      <w:sz w:val="18"/>
                      <w:szCs w:val="18"/>
                      <w:lang w:val="en-US" w:eastAsia="zh-CN"/>
                    </w:rPr>
                  </w:pPr>
                  <w:r>
                    <w:rPr>
                      <w:rFonts w:hint="eastAsia"/>
                      <w:color w:val="auto"/>
                      <w:sz w:val="18"/>
                      <w:szCs w:val="18"/>
                      <w:lang w:val="en-US" w:eastAsia="zh-CN"/>
                    </w:rPr>
                    <w:t>W2</w:t>
                  </w:r>
                </w:p>
              </w:tc>
              <w:tc>
                <w:tcPr>
                  <w:tcW w:w="1140" w:type="dxa"/>
                  <w:vAlign w:val="center"/>
                </w:tcPr>
                <w:p w14:paraId="56ABC161">
                  <w:pPr>
                    <w:jc w:val="center"/>
                    <w:rPr>
                      <w:color w:val="auto"/>
                      <w:sz w:val="18"/>
                      <w:szCs w:val="18"/>
                    </w:rPr>
                  </w:pPr>
                  <w:r>
                    <w:rPr>
                      <w:color w:val="auto"/>
                      <w:sz w:val="18"/>
                      <w:szCs w:val="18"/>
                    </w:rPr>
                    <w:t>员工生活</w:t>
                  </w:r>
                </w:p>
              </w:tc>
              <w:tc>
                <w:tcPr>
                  <w:tcW w:w="1455" w:type="dxa"/>
                  <w:vAlign w:val="center"/>
                </w:tcPr>
                <w:p w14:paraId="7B662BDE">
                  <w:pPr>
                    <w:jc w:val="center"/>
                    <w:rPr>
                      <w:color w:val="auto"/>
                      <w:sz w:val="18"/>
                      <w:szCs w:val="18"/>
                    </w:rPr>
                  </w:pPr>
                  <w:r>
                    <w:rPr>
                      <w:color w:val="auto"/>
                      <w:sz w:val="18"/>
                      <w:szCs w:val="18"/>
                      <w:vertAlign w:val="baseline"/>
                    </w:rPr>
                    <w:t>COD、SS、TP、TN、NH</w:t>
                  </w:r>
                  <w:r>
                    <w:rPr>
                      <w:color w:val="auto"/>
                      <w:sz w:val="18"/>
                      <w:szCs w:val="18"/>
                      <w:vertAlign w:val="subscript"/>
                    </w:rPr>
                    <w:t>3</w:t>
                  </w:r>
                  <w:r>
                    <w:rPr>
                      <w:color w:val="auto"/>
                      <w:sz w:val="18"/>
                      <w:szCs w:val="18"/>
                      <w:vertAlign w:val="baseline"/>
                    </w:rPr>
                    <w:t>-N</w:t>
                  </w:r>
                </w:p>
              </w:tc>
              <w:tc>
                <w:tcPr>
                  <w:tcW w:w="720" w:type="dxa"/>
                  <w:vAlign w:val="center"/>
                </w:tcPr>
                <w:p w14:paraId="4ADD4984">
                  <w:pPr>
                    <w:jc w:val="center"/>
                    <w:rPr>
                      <w:color w:val="auto"/>
                      <w:sz w:val="18"/>
                      <w:szCs w:val="18"/>
                    </w:rPr>
                  </w:pPr>
                  <w:r>
                    <w:rPr>
                      <w:color w:val="auto"/>
                      <w:sz w:val="18"/>
                      <w:szCs w:val="18"/>
                    </w:rPr>
                    <w:t>间歇</w:t>
                  </w:r>
                </w:p>
              </w:tc>
              <w:tc>
                <w:tcPr>
                  <w:tcW w:w="4182" w:type="dxa"/>
                  <w:vAlign w:val="center"/>
                </w:tcPr>
                <w:p w14:paraId="43A1D73D">
                  <w:pPr>
                    <w:jc w:val="center"/>
                    <w:rPr>
                      <w:rFonts w:hint="default" w:eastAsia="宋体"/>
                      <w:color w:val="auto"/>
                      <w:sz w:val="18"/>
                      <w:szCs w:val="18"/>
                      <w:lang w:val="en-US" w:eastAsia="zh-CN"/>
                    </w:rPr>
                  </w:pPr>
                  <w:r>
                    <w:rPr>
                      <w:rFonts w:hint="eastAsia"/>
                      <w:color w:val="auto"/>
                      <w:sz w:val="18"/>
                      <w:szCs w:val="18"/>
                      <w:lang w:val="en-US" w:eastAsia="zh-CN"/>
                    </w:rPr>
                    <w:t>化粪池预处理后托运至南通市东港排水有限公司</w:t>
                  </w:r>
                </w:p>
              </w:tc>
            </w:tr>
            <w:tr w14:paraId="4344E5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10" w:type="dxa"/>
                  <w:vMerge w:val="restart"/>
                  <w:vAlign w:val="center"/>
                </w:tcPr>
                <w:p w14:paraId="26C4A742">
                  <w:pPr>
                    <w:jc w:val="center"/>
                    <w:rPr>
                      <w:color w:val="auto"/>
                      <w:sz w:val="18"/>
                      <w:szCs w:val="18"/>
                    </w:rPr>
                  </w:pPr>
                  <w:r>
                    <w:rPr>
                      <w:color w:val="auto"/>
                      <w:sz w:val="18"/>
                      <w:szCs w:val="18"/>
                    </w:rPr>
                    <w:t>废气</w:t>
                  </w:r>
                </w:p>
              </w:tc>
              <w:tc>
                <w:tcPr>
                  <w:tcW w:w="690" w:type="dxa"/>
                  <w:vAlign w:val="center"/>
                </w:tcPr>
                <w:p w14:paraId="7FBC1E56">
                  <w:pPr>
                    <w:jc w:val="center"/>
                    <w:rPr>
                      <w:color w:val="auto"/>
                      <w:sz w:val="18"/>
                      <w:szCs w:val="18"/>
                    </w:rPr>
                  </w:pPr>
                  <w:r>
                    <w:rPr>
                      <w:color w:val="auto"/>
                      <w:sz w:val="18"/>
                      <w:szCs w:val="18"/>
                    </w:rPr>
                    <w:t>G1</w:t>
                  </w:r>
                </w:p>
              </w:tc>
              <w:tc>
                <w:tcPr>
                  <w:tcW w:w="1140" w:type="dxa"/>
                  <w:vAlign w:val="center"/>
                </w:tcPr>
                <w:p w14:paraId="18B81CBE">
                  <w:pPr>
                    <w:jc w:val="center"/>
                    <w:rPr>
                      <w:rFonts w:hint="eastAsia" w:eastAsia="宋体"/>
                      <w:color w:val="auto"/>
                      <w:sz w:val="18"/>
                      <w:szCs w:val="18"/>
                      <w:lang w:eastAsia="zh-CN"/>
                    </w:rPr>
                  </w:pPr>
                  <w:r>
                    <w:rPr>
                      <w:rFonts w:hint="eastAsia"/>
                      <w:color w:val="auto"/>
                      <w:sz w:val="18"/>
                      <w:szCs w:val="18"/>
                      <w:lang w:eastAsia="zh-CN"/>
                    </w:rPr>
                    <w:t>混料</w:t>
                  </w:r>
                </w:p>
              </w:tc>
              <w:tc>
                <w:tcPr>
                  <w:tcW w:w="1455" w:type="dxa"/>
                  <w:vAlign w:val="center"/>
                </w:tcPr>
                <w:p w14:paraId="6AA80CA6">
                  <w:pPr>
                    <w:jc w:val="center"/>
                    <w:rPr>
                      <w:rFonts w:hint="eastAsia" w:eastAsia="宋体"/>
                      <w:color w:val="auto"/>
                      <w:sz w:val="18"/>
                      <w:szCs w:val="18"/>
                      <w:lang w:eastAsia="zh-CN"/>
                    </w:rPr>
                  </w:pPr>
                  <w:r>
                    <w:rPr>
                      <w:rFonts w:hint="eastAsia"/>
                      <w:color w:val="auto"/>
                      <w:sz w:val="18"/>
                      <w:szCs w:val="18"/>
                      <w:lang w:eastAsia="zh-CN"/>
                    </w:rPr>
                    <w:t>颗粒物</w:t>
                  </w:r>
                </w:p>
              </w:tc>
              <w:tc>
                <w:tcPr>
                  <w:tcW w:w="720" w:type="dxa"/>
                  <w:vAlign w:val="center"/>
                </w:tcPr>
                <w:p w14:paraId="485C8B83">
                  <w:pPr>
                    <w:jc w:val="center"/>
                    <w:rPr>
                      <w:color w:val="auto"/>
                      <w:sz w:val="18"/>
                      <w:szCs w:val="18"/>
                    </w:rPr>
                  </w:pPr>
                  <w:r>
                    <w:rPr>
                      <w:color w:val="auto"/>
                      <w:sz w:val="18"/>
                      <w:szCs w:val="18"/>
                    </w:rPr>
                    <w:t>连续</w:t>
                  </w:r>
                </w:p>
              </w:tc>
              <w:tc>
                <w:tcPr>
                  <w:tcW w:w="4182" w:type="dxa"/>
                  <w:vAlign w:val="center"/>
                </w:tcPr>
                <w:p w14:paraId="2ABA8F15">
                  <w:pPr>
                    <w:jc w:val="center"/>
                    <w:rPr>
                      <w:color w:val="auto"/>
                      <w:sz w:val="18"/>
                      <w:szCs w:val="18"/>
                    </w:rPr>
                  </w:pPr>
                  <w:r>
                    <w:rPr>
                      <w:rFonts w:hint="eastAsia"/>
                      <w:color w:val="auto"/>
                      <w:sz w:val="18"/>
                      <w:szCs w:val="18"/>
                      <w:lang w:eastAsia="zh-CN"/>
                    </w:rPr>
                    <w:t>集气罩收集</w:t>
                  </w:r>
                  <w:r>
                    <w:rPr>
                      <w:rFonts w:hint="eastAsia"/>
                      <w:color w:val="auto"/>
                      <w:sz w:val="18"/>
                      <w:szCs w:val="18"/>
                      <w:lang w:val="en-US" w:eastAsia="zh-CN"/>
                    </w:rPr>
                    <w:t>+布袋除尘</w:t>
                  </w:r>
                  <w:r>
                    <w:rPr>
                      <w:rFonts w:hint="eastAsia"/>
                      <w:color w:val="auto"/>
                      <w:sz w:val="18"/>
                      <w:szCs w:val="18"/>
                    </w:rPr>
                    <w:t>+15m高</w:t>
                  </w:r>
                  <w:r>
                    <w:rPr>
                      <w:rFonts w:hint="eastAsia"/>
                      <w:color w:val="auto"/>
                      <w:sz w:val="18"/>
                      <w:szCs w:val="18"/>
                      <w:lang w:val="en-US" w:eastAsia="zh-CN"/>
                    </w:rPr>
                    <w:t>1#</w:t>
                  </w:r>
                  <w:r>
                    <w:rPr>
                      <w:rFonts w:hint="eastAsia"/>
                      <w:color w:val="auto"/>
                      <w:sz w:val="18"/>
                      <w:szCs w:val="18"/>
                    </w:rPr>
                    <w:t>排气筒（DA00</w:t>
                  </w:r>
                  <w:r>
                    <w:rPr>
                      <w:rFonts w:hint="eastAsia"/>
                      <w:color w:val="auto"/>
                      <w:sz w:val="18"/>
                      <w:szCs w:val="18"/>
                      <w:lang w:val="en-US" w:eastAsia="zh-CN"/>
                    </w:rPr>
                    <w:t>1</w:t>
                  </w:r>
                  <w:r>
                    <w:rPr>
                      <w:rFonts w:hint="eastAsia"/>
                      <w:color w:val="auto"/>
                      <w:sz w:val="18"/>
                      <w:szCs w:val="18"/>
                    </w:rPr>
                    <w:t>）</w:t>
                  </w:r>
                </w:p>
              </w:tc>
            </w:tr>
            <w:tr w14:paraId="1D26DC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10" w:type="dxa"/>
                  <w:vMerge w:val="continue"/>
                  <w:vAlign w:val="center"/>
                </w:tcPr>
                <w:p w14:paraId="5A525E24">
                  <w:pPr>
                    <w:jc w:val="center"/>
                    <w:rPr>
                      <w:color w:val="auto"/>
                      <w:sz w:val="18"/>
                      <w:szCs w:val="18"/>
                    </w:rPr>
                  </w:pPr>
                </w:p>
              </w:tc>
              <w:tc>
                <w:tcPr>
                  <w:tcW w:w="690" w:type="dxa"/>
                  <w:vAlign w:val="center"/>
                </w:tcPr>
                <w:p w14:paraId="514267CC">
                  <w:pPr>
                    <w:jc w:val="center"/>
                    <w:rPr>
                      <w:rFonts w:hint="eastAsia" w:eastAsia="宋体"/>
                      <w:color w:val="auto"/>
                      <w:sz w:val="18"/>
                      <w:szCs w:val="18"/>
                      <w:lang w:eastAsia="zh-CN"/>
                    </w:rPr>
                  </w:pPr>
                  <w:r>
                    <w:rPr>
                      <w:color w:val="auto"/>
                      <w:sz w:val="18"/>
                      <w:szCs w:val="18"/>
                    </w:rPr>
                    <w:t>G</w:t>
                  </w:r>
                  <w:r>
                    <w:rPr>
                      <w:rFonts w:hint="eastAsia"/>
                      <w:color w:val="auto"/>
                      <w:sz w:val="18"/>
                      <w:szCs w:val="18"/>
                      <w:lang w:val="en-US" w:eastAsia="zh-CN"/>
                    </w:rPr>
                    <w:t>2</w:t>
                  </w:r>
                </w:p>
              </w:tc>
              <w:tc>
                <w:tcPr>
                  <w:tcW w:w="1140" w:type="dxa"/>
                  <w:vAlign w:val="center"/>
                </w:tcPr>
                <w:p w14:paraId="67E082C1">
                  <w:pPr>
                    <w:jc w:val="center"/>
                    <w:rPr>
                      <w:rFonts w:hint="eastAsia"/>
                      <w:color w:val="auto"/>
                      <w:sz w:val="18"/>
                      <w:szCs w:val="18"/>
                      <w:lang w:eastAsia="zh-CN"/>
                    </w:rPr>
                  </w:pPr>
                  <w:r>
                    <w:rPr>
                      <w:rFonts w:hint="eastAsia"/>
                      <w:color w:val="auto"/>
                      <w:sz w:val="18"/>
                      <w:szCs w:val="18"/>
                      <w:lang w:eastAsia="zh-CN"/>
                    </w:rPr>
                    <w:t>挤出</w:t>
                  </w:r>
                </w:p>
              </w:tc>
              <w:tc>
                <w:tcPr>
                  <w:tcW w:w="1455" w:type="dxa"/>
                  <w:vAlign w:val="center"/>
                </w:tcPr>
                <w:p w14:paraId="526A84E5">
                  <w:pPr>
                    <w:jc w:val="center"/>
                    <w:rPr>
                      <w:rFonts w:hint="eastAsia" w:eastAsia="宋体"/>
                      <w:color w:val="auto"/>
                      <w:sz w:val="18"/>
                      <w:szCs w:val="18"/>
                      <w:lang w:eastAsia="zh-CN"/>
                    </w:rPr>
                  </w:pPr>
                  <w:r>
                    <w:rPr>
                      <w:rFonts w:hint="eastAsia"/>
                      <w:color w:val="auto"/>
                      <w:sz w:val="18"/>
                      <w:szCs w:val="18"/>
                    </w:rPr>
                    <w:t>非甲烷总烃</w:t>
                  </w:r>
                </w:p>
              </w:tc>
              <w:tc>
                <w:tcPr>
                  <w:tcW w:w="720" w:type="dxa"/>
                  <w:vAlign w:val="center"/>
                </w:tcPr>
                <w:p w14:paraId="517A5AF6">
                  <w:pPr>
                    <w:jc w:val="center"/>
                    <w:rPr>
                      <w:color w:val="auto"/>
                      <w:sz w:val="18"/>
                      <w:szCs w:val="18"/>
                    </w:rPr>
                  </w:pPr>
                  <w:r>
                    <w:rPr>
                      <w:color w:val="auto"/>
                      <w:sz w:val="18"/>
                      <w:szCs w:val="18"/>
                    </w:rPr>
                    <w:t>连续</w:t>
                  </w:r>
                </w:p>
              </w:tc>
              <w:tc>
                <w:tcPr>
                  <w:tcW w:w="4182" w:type="dxa"/>
                  <w:vAlign w:val="center"/>
                </w:tcPr>
                <w:p w14:paraId="5D46EBE4">
                  <w:pPr>
                    <w:jc w:val="center"/>
                    <w:rPr>
                      <w:color w:val="auto"/>
                      <w:sz w:val="18"/>
                      <w:szCs w:val="18"/>
                    </w:rPr>
                  </w:pPr>
                  <w:r>
                    <w:rPr>
                      <w:rFonts w:hint="eastAsia"/>
                      <w:color w:val="auto"/>
                      <w:sz w:val="18"/>
                      <w:szCs w:val="18"/>
                      <w:lang w:eastAsia="zh-CN"/>
                    </w:rPr>
                    <w:t>集气罩</w:t>
                  </w:r>
                  <w:r>
                    <w:rPr>
                      <w:rFonts w:hint="eastAsia"/>
                      <w:color w:val="auto"/>
                      <w:sz w:val="18"/>
                      <w:szCs w:val="18"/>
                    </w:rPr>
                    <w:t>收集+水喷淋+除雾除湿设施+二级活性炭+15m高</w:t>
                  </w:r>
                  <w:r>
                    <w:rPr>
                      <w:rFonts w:hint="eastAsia"/>
                      <w:color w:val="auto"/>
                      <w:sz w:val="18"/>
                      <w:szCs w:val="18"/>
                      <w:lang w:val="en-US" w:eastAsia="zh-CN"/>
                    </w:rPr>
                    <w:t>2#</w:t>
                  </w:r>
                  <w:r>
                    <w:rPr>
                      <w:rFonts w:hint="eastAsia"/>
                      <w:color w:val="auto"/>
                      <w:sz w:val="18"/>
                      <w:szCs w:val="18"/>
                    </w:rPr>
                    <w:t>排气筒（DA00</w:t>
                  </w:r>
                  <w:r>
                    <w:rPr>
                      <w:rFonts w:hint="eastAsia"/>
                      <w:color w:val="auto"/>
                      <w:sz w:val="18"/>
                      <w:szCs w:val="18"/>
                      <w:lang w:val="en-US" w:eastAsia="zh-CN"/>
                    </w:rPr>
                    <w:t>2</w:t>
                  </w:r>
                  <w:r>
                    <w:rPr>
                      <w:rFonts w:hint="eastAsia"/>
                      <w:color w:val="auto"/>
                      <w:sz w:val="18"/>
                      <w:szCs w:val="18"/>
                    </w:rPr>
                    <w:t>）</w:t>
                  </w:r>
                </w:p>
              </w:tc>
            </w:tr>
            <w:tr w14:paraId="5115C1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10" w:type="dxa"/>
                  <w:vMerge w:val="continue"/>
                  <w:vAlign w:val="center"/>
                </w:tcPr>
                <w:p w14:paraId="1FE2E98D">
                  <w:pPr>
                    <w:jc w:val="center"/>
                    <w:rPr>
                      <w:color w:val="auto"/>
                      <w:sz w:val="18"/>
                      <w:szCs w:val="18"/>
                    </w:rPr>
                  </w:pPr>
                </w:p>
              </w:tc>
              <w:tc>
                <w:tcPr>
                  <w:tcW w:w="690" w:type="dxa"/>
                  <w:vAlign w:val="center"/>
                </w:tcPr>
                <w:p w14:paraId="544FC2E1">
                  <w:pPr>
                    <w:jc w:val="center"/>
                    <w:rPr>
                      <w:rFonts w:hint="default" w:eastAsia="宋体"/>
                      <w:color w:val="auto"/>
                      <w:sz w:val="18"/>
                      <w:szCs w:val="18"/>
                      <w:lang w:val="en-US" w:eastAsia="zh-CN"/>
                    </w:rPr>
                  </w:pPr>
                  <w:r>
                    <w:rPr>
                      <w:rFonts w:hint="eastAsia"/>
                      <w:color w:val="auto"/>
                      <w:sz w:val="18"/>
                      <w:szCs w:val="18"/>
                      <w:lang w:val="en-US" w:eastAsia="zh-CN"/>
                    </w:rPr>
                    <w:t>G3</w:t>
                  </w:r>
                </w:p>
              </w:tc>
              <w:tc>
                <w:tcPr>
                  <w:tcW w:w="1140" w:type="dxa"/>
                  <w:vAlign w:val="center"/>
                </w:tcPr>
                <w:p w14:paraId="43F37D3F">
                  <w:pPr>
                    <w:jc w:val="center"/>
                    <w:rPr>
                      <w:rFonts w:hint="eastAsia"/>
                      <w:color w:val="auto"/>
                      <w:sz w:val="18"/>
                      <w:szCs w:val="18"/>
                      <w:lang w:eastAsia="zh-CN"/>
                    </w:rPr>
                  </w:pPr>
                  <w:r>
                    <w:rPr>
                      <w:rFonts w:hint="eastAsia"/>
                      <w:color w:val="auto"/>
                      <w:sz w:val="18"/>
                      <w:szCs w:val="18"/>
                      <w:lang w:eastAsia="zh-CN"/>
                    </w:rPr>
                    <w:t>粉碎</w:t>
                  </w:r>
                </w:p>
              </w:tc>
              <w:tc>
                <w:tcPr>
                  <w:tcW w:w="1455" w:type="dxa"/>
                  <w:vAlign w:val="center"/>
                </w:tcPr>
                <w:p w14:paraId="7996A525">
                  <w:pPr>
                    <w:jc w:val="center"/>
                    <w:rPr>
                      <w:rFonts w:hint="eastAsia" w:eastAsia="宋体"/>
                      <w:color w:val="auto"/>
                      <w:sz w:val="18"/>
                      <w:szCs w:val="18"/>
                      <w:lang w:eastAsia="zh-CN"/>
                    </w:rPr>
                  </w:pPr>
                  <w:r>
                    <w:rPr>
                      <w:rFonts w:hint="eastAsia"/>
                      <w:color w:val="auto"/>
                      <w:sz w:val="18"/>
                      <w:szCs w:val="18"/>
                      <w:lang w:eastAsia="zh-CN"/>
                    </w:rPr>
                    <w:t>颗粒物</w:t>
                  </w:r>
                </w:p>
              </w:tc>
              <w:tc>
                <w:tcPr>
                  <w:tcW w:w="720" w:type="dxa"/>
                  <w:vAlign w:val="center"/>
                </w:tcPr>
                <w:p w14:paraId="68A7BBFC">
                  <w:pPr>
                    <w:jc w:val="center"/>
                    <w:rPr>
                      <w:rFonts w:hint="eastAsia" w:eastAsia="宋体"/>
                      <w:color w:val="auto"/>
                      <w:sz w:val="18"/>
                      <w:szCs w:val="18"/>
                      <w:lang w:eastAsia="zh-CN"/>
                    </w:rPr>
                  </w:pPr>
                  <w:r>
                    <w:rPr>
                      <w:rFonts w:hint="eastAsia"/>
                      <w:color w:val="auto"/>
                      <w:sz w:val="18"/>
                      <w:szCs w:val="18"/>
                      <w:lang w:eastAsia="zh-CN"/>
                    </w:rPr>
                    <w:t>连续</w:t>
                  </w:r>
                </w:p>
              </w:tc>
              <w:tc>
                <w:tcPr>
                  <w:tcW w:w="4182" w:type="dxa"/>
                  <w:vAlign w:val="center"/>
                </w:tcPr>
                <w:p w14:paraId="2BE45917">
                  <w:pPr>
                    <w:jc w:val="center"/>
                    <w:rPr>
                      <w:rFonts w:hint="eastAsia"/>
                      <w:color w:val="auto"/>
                      <w:sz w:val="18"/>
                      <w:szCs w:val="18"/>
                      <w:lang w:eastAsia="zh-CN"/>
                    </w:rPr>
                  </w:pPr>
                  <w:r>
                    <w:rPr>
                      <w:rFonts w:hint="eastAsia"/>
                      <w:color w:val="auto"/>
                      <w:sz w:val="18"/>
                      <w:szCs w:val="18"/>
                      <w:lang w:eastAsia="zh-CN"/>
                    </w:rPr>
                    <w:t>集气罩收集</w:t>
                  </w:r>
                  <w:r>
                    <w:rPr>
                      <w:rFonts w:hint="eastAsia"/>
                      <w:color w:val="auto"/>
                      <w:sz w:val="18"/>
                      <w:szCs w:val="18"/>
                      <w:lang w:val="en-US" w:eastAsia="zh-CN"/>
                    </w:rPr>
                    <w:t>+布袋除尘</w:t>
                  </w:r>
                  <w:r>
                    <w:rPr>
                      <w:rFonts w:hint="eastAsia"/>
                      <w:color w:val="auto"/>
                      <w:sz w:val="18"/>
                      <w:szCs w:val="18"/>
                    </w:rPr>
                    <w:t>+15m高</w:t>
                  </w:r>
                  <w:r>
                    <w:rPr>
                      <w:rFonts w:hint="eastAsia"/>
                      <w:color w:val="auto"/>
                      <w:sz w:val="18"/>
                      <w:szCs w:val="18"/>
                      <w:lang w:val="en-US" w:eastAsia="zh-CN"/>
                    </w:rPr>
                    <w:t>1#</w:t>
                  </w:r>
                  <w:r>
                    <w:rPr>
                      <w:rFonts w:hint="eastAsia"/>
                      <w:color w:val="auto"/>
                      <w:sz w:val="18"/>
                      <w:szCs w:val="18"/>
                    </w:rPr>
                    <w:t>排气筒（DA00</w:t>
                  </w:r>
                  <w:r>
                    <w:rPr>
                      <w:rFonts w:hint="eastAsia"/>
                      <w:color w:val="auto"/>
                      <w:sz w:val="18"/>
                      <w:szCs w:val="18"/>
                      <w:lang w:val="en-US" w:eastAsia="zh-CN"/>
                    </w:rPr>
                    <w:t>1</w:t>
                  </w:r>
                  <w:r>
                    <w:rPr>
                      <w:rFonts w:hint="eastAsia"/>
                      <w:color w:val="auto"/>
                      <w:sz w:val="18"/>
                      <w:szCs w:val="18"/>
                    </w:rPr>
                    <w:t>）</w:t>
                  </w:r>
                </w:p>
              </w:tc>
            </w:tr>
            <w:tr w14:paraId="0A0CF5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10" w:type="dxa"/>
                  <w:vMerge w:val="restart"/>
                  <w:vAlign w:val="center"/>
                </w:tcPr>
                <w:p w14:paraId="58E2087B">
                  <w:pPr>
                    <w:jc w:val="center"/>
                    <w:rPr>
                      <w:color w:val="auto"/>
                      <w:sz w:val="18"/>
                      <w:szCs w:val="18"/>
                    </w:rPr>
                  </w:pPr>
                  <w:r>
                    <w:rPr>
                      <w:color w:val="auto"/>
                      <w:sz w:val="18"/>
                      <w:szCs w:val="18"/>
                    </w:rPr>
                    <w:t>固废</w:t>
                  </w:r>
                </w:p>
              </w:tc>
              <w:tc>
                <w:tcPr>
                  <w:tcW w:w="690" w:type="dxa"/>
                  <w:vAlign w:val="center"/>
                </w:tcPr>
                <w:p w14:paraId="36213854">
                  <w:pPr>
                    <w:jc w:val="center"/>
                    <w:rPr>
                      <w:rFonts w:ascii="Times New Roman" w:hAnsi="Times New Roman" w:eastAsia="宋体" w:cs="Times New Roman"/>
                      <w:color w:val="auto"/>
                      <w:kern w:val="2"/>
                      <w:sz w:val="18"/>
                      <w:szCs w:val="18"/>
                      <w:lang w:val="en-US" w:eastAsia="zh-CN" w:bidi="ar-SA"/>
                    </w:rPr>
                  </w:pPr>
                  <w:r>
                    <w:rPr>
                      <w:color w:val="auto"/>
                      <w:sz w:val="18"/>
                      <w:szCs w:val="18"/>
                    </w:rPr>
                    <w:t>S1</w:t>
                  </w:r>
                </w:p>
              </w:tc>
              <w:tc>
                <w:tcPr>
                  <w:tcW w:w="1140" w:type="dxa"/>
                  <w:vAlign w:val="center"/>
                </w:tcPr>
                <w:p w14:paraId="13CE55F4">
                  <w:pPr>
                    <w:jc w:val="center"/>
                    <w:rPr>
                      <w:rFonts w:hint="eastAsia"/>
                      <w:color w:val="auto"/>
                      <w:sz w:val="18"/>
                      <w:szCs w:val="18"/>
                      <w:lang w:val="en-US" w:eastAsia="zh-CN"/>
                    </w:rPr>
                  </w:pPr>
                  <w:r>
                    <w:rPr>
                      <w:rFonts w:hint="eastAsia"/>
                      <w:color w:val="auto"/>
                      <w:sz w:val="18"/>
                      <w:szCs w:val="18"/>
                      <w:lang w:val="en-US" w:eastAsia="zh-CN"/>
                    </w:rPr>
                    <w:t>混料</w:t>
                  </w:r>
                </w:p>
              </w:tc>
              <w:tc>
                <w:tcPr>
                  <w:tcW w:w="1455" w:type="dxa"/>
                  <w:vAlign w:val="center"/>
                </w:tcPr>
                <w:p w14:paraId="3AF4BABC">
                  <w:pPr>
                    <w:jc w:val="center"/>
                    <w:rPr>
                      <w:rFonts w:hint="eastAsia"/>
                      <w:color w:val="auto"/>
                      <w:sz w:val="18"/>
                      <w:szCs w:val="18"/>
                      <w:lang w:val="zh-CN"/>
                    </w:rPr>
                  </w:pPr>
                  <w:r>
                    <w:rPr>
                      <w:rFonts w:hint="eastAsia"/>
                      <w:color w:val="auto"/>
                      <w:sz w:val="18"/>
                      <w:szCs w:val="18"/>
                      <w:lang w:val="zh-CN"/>
                    </w:rPr>
                    <w:t>废包装袋</w:t>
                  </w:r>
                </w:p>
              </w:tc>
              <w:tc>
                <w:tcPr>
                  <w:tcW w:w="720" w:type="dxa"/>
                  <w:vAlign w:val="center"/>
                </w:tcPr>
                <w:p w14:paraId="41501187">
                  <w:pPr>
                    <w:jc w:val="center"/>
                    <w:rPr>
                      <w:color w:val="auto"/>
                      <w:sz w:val="18"/>
                      <w:szCs w:val="18"/>
                    </w:rPr>
                  </w:pPr>
                  <w:r>
                    <w:rPr>
                      <w:color w:val="auto"/>
                      <w:sz w:val="18"/>
                      <w:szCs w:val="18"/>
                    </w:rPr>
                    <w:t>连续</w:t>
                  </w:r>
                </w:p>
              </w:tc>
              <w:tc>
                <w:tcPr>
                  <w:tcW w:w="4182" w:type="dxa"/>
                  <w:vAlign w:val="center"/>
                </w:tcPr>
                <w:p w14:paraId="30EF79A6">
                  <w:pPr>
                    <w:jc w:val="center"/>
                    <w:rPr>
                      <w:color w:val="auto"/>
                      <w:sz w:val="18"/>
                      <w:szCs w:val="18"/>
                    </w:rPr>
                  </w:pPr>
                  <w:r>
                    <w:rPr>
                      <w:color w:val="auto"/>
                      <w:spacing w:val="16"/>
                      <w:sz w:val="18"/>
                      <w:szCs w:val="18"/>
                    </w:rPr>
                    <w:t>收</w:t>
                  </w:r>
                  <w:r>
                    <w:rPr>
                      <w:color w:val="auto"/>
                      <w:spacing w:val="9"/>
                      <w:sz w:val="18"/>
                      <w:szCs w:val="18"/>
                    </w:rPr>
                    <w:t>集</w:t>
                  </w:r>
                  <w:r>
                    <w:rPr>
                      <w:color w:val="auto"/>
                      <w:spacing w:val="8"/>
                      <w:sz w:val="18"/>
                      <w:szCs w:val="18"/>
                    </w:rPr>
                    <w:t>后分类暂存于一般固废仓库，外售处理</w:t>
                  </w:r>
                </w:p>
              </w:tc>
            </w:tr>
            <w:tr w14:paraId="2C5760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10" w:type="dxa"/>
                  <w:vMerge w:val="continue"/>
                  <w:vAlign w:val="center"/>
                </w:tcPr>
                <w:p w14:paraId="20A0F758">
                  <w:pPr>
                    <w:jc w:val="center"/>
                    <w:rPr>
                      <w:color w:val="auto"/>
                      <w:sz w:val="18"/>
                      <w:szCs w:val="18"/>
                    </w:rPr>
                  </w:pPr>
                </w:p>
              </w:tc>
              <w:tc>
                <w:tcPr>
                  <w:tcW w:w="690" w:type="dxa"/>
                  <w:vAlign w:val="center"/>
                </w:tcPr>
                <w:p w14:paraId="63BB1A34">
                  <w:pPr>
                    <w:jc w:val="center"/>
                    <w:rPr>
                      <w:rFonts w:hint="eastAsia" w:ascii="Times New Roman" w:hAnsi="Times New Roman" w:eastAsia="宋体" w:cs="Times New Roman"/>
                      <w:color w:val="auto"/>
                      <w:kern w:val="2"/>
                      <w:sz w:val="18"/>
                      <w:szCs w:val="18"/>
                      <w:lang w:val="en-US" w:eastAsia="zh-CN" w:bidi="ar-SA"/>
                    </w:rPr>
                  </w:pPr>
                  <w:r>
                    <w:rPr>
                      <w:color w:val="auto"/>
                      <w:sz w:val="18"/>
                      <w:szCs w:val="18"/>
                    </w:rPr>
                    <w:t>S</w:t>
                  </w:r>
                  <w:r>
                    <w:rPr>
                      <w:rFonts w:hint="eastAsia"/>
                      <w:color w:val="auto"/>
                      <w:sz w:val="18"/>
                      <w:szCs w:val="18"/>
                      <w:lang w:val="en-US" w:eastAsia="zh-CN"/>
                    </w:rPr>
                    <w:t>2</w:t>
                  </w:r>
                </w:p>
              </w:tc>
              <w:tc>
                <w:tcPr>
                  <w:tcW w:w="1140" w:type="dxa"/>
                  <w:vAlign w:val="center"/>
                </w:tcPr>
                <w:p w14:paraId="02D78B57">
                  <w:pPr>
                    <w:jc w:val="center"/>
                    <w:rPr>
                      <w:rFonts w:hint="eastAsia" w:eastAsia="宋体"/>
                      <w:color w:val="auto"/>
                      <w:sz w:val="18"/>
                      <w:szCs w:val="18"/>
                      <w:lang w:eastAsia="zh-CN"/>
                    </w:rPr>
                  </w:pPr>
                  <w:r>
                    <w:rPr>
                      <w:color w:val="auto"/>
                      <w:sz w:val="18"/>
                      <w:szCs w:val="18"/>
                    </w:rPr>
                    <w:t>废气处理</w:t>
                  </w:r>
                </w:p>
              </w:tc>
              <w:tc>
                <w:tcPr>
                  <w:tcW w:w="1455" w:type="dxa"/>
                  <w:vAlign w:val="center"/>
                </w:tcPr>
                <w:p w14:paraId="08A7A27E">
                  <w:pPr>
                    <w:jc w:val="center"/>
                    <w:rPr>
                      <w:color w:val="auto"/>
                      <w:sz w:val="18"/>
                      <w:szCs w:val="18"/>
                    </w:rPr>
                  </w:pPr>
                  <w:r>
                    <w:rPr>
                      <w:rFonts w:hint="eastAsia"/>
                      <w:color w:val="auto"/>
                      <w:sz w:val="18"/>
                      <w:szCs w:val="18"/>
                      <w:lang w:eastAsia="zh-CN"/>
                    </w:rPr>
                    <w:t>集尘</w:t>
                  </w:r>
                </w:p>
              </w:tc>
              <w:tc>
                <w:tcPr>
                  <w:tcW w:w="720" w:type="dxa"/>
                  <w:vAlign w:val="center"/>
                </w:tcPr>
                <w:p w14:paraId="60ED7703">
                  <w:pPr>
                    <w:jc w:val="center"/>
                    <w:rPr>
                      <w:color w:val="auto"/>
                      <w:sz w:val="18"/>
                      <w:szCs w:val="18"/>
                    </w:rPr>
                  </w:pPr>
                  <w:r>
                    <w:rPr>
                      <w:color w:val="auto"/>
                      <w:sz w:val="18"/>
                      <w:szCs w:val="18"/>
                    </w:rPr>
                    <w:t>连续</w:t>
                  </w:r>
                </w:p>
              </w:tc>
              <w:tc>
                <w:tcPr>
                  <w:tcW w:w="4182" w:type="dxa"/>
                  <w:vAlign w:val="center"/>
                </w:tcPr>
                <w:p w14:paraId="3EFCC2FE">
                  <w:pPr>
                    <w:jc w:val="center"/>
                    <w:rPr>
                      <w:color w:val="auto"/>
                      <w:spacing w:val="16"/>
                      <w:sz w:val="18"/>
                      <w:szCs w:val="18"/>
                    </w:rPr>
                  </w:pPr>
                  <w:r>
                    <w:rPr>
                      <w:color w:val="auto"/>
                      <w:spacing w:val="16"/>
                      <w:sz w:val="18"/>
                      <w:szCs w:val="18"/>
                    </w:rPr>
                    <w:t>收</w:t>
                  </w:r>
                  <w:r>
                    <w:rPr>
                      <w:color w:val="auto"/>
                      <w:spacing w:val="9"/>
                      <w:sz w:val="18"/>
                      <w:szCs w:val="18"/>
                    </w:rPr>
                    <w:t>集</w:t>
                  </w:r>
                  <w:r>
                    <w:rPr>
                      <w:color w:val="auto"/>
                      <w:spacing w:val="8"/>
                      <w:sz w:val="18"/>
                      <w:szCs w:val="18"/>
                    </w:rPr>
                    <w:t>后分类暂存于一般固废仓库，外售处理</w:t>
                  </w:r>
                </w:p>
              </w:tc>
            </w:tr>
            <w:tr w14:paraId="57F42E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10" w:type="dxa"/>
                  <w:vMerge w:val="continue"/>
                  <w:vAlign w:val="center"/>
                </w:tcPr>
                <w:p w14:paraId="728814D9">
                  <w:pPr>
                    <w:jc w:val="center"/>
                    <w:rPr>
                      <w:color w:val="auto"/>
                      <w:sz w:val="18"/>
                      <w:szCs w:val="18"/>
                    </w:rPr>
                  </w:pPr>
                </w:p>
              </w:tc>
              <w:tc>
                <w:tcPr>
                  <w:tcW w:w="690" w:type="dxa"/>
                  <w:vAlign w:val="center"/>
                </w:tcPr>
                <w:p w14:paraId="0054660F">
                  <w:pPr>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S3</w:t>
                  </w:r>
                </w:p>
              </w:tc>
              <w:tc>
                <w:tcPr>
                  <w:tcW w:w="1140" w:type="dxa"/>
                  <w:vAlign w:val="center"/>
                </w:tcPr>
                <w:p w14:paraId="172954E3">
                  <w:pPr>
                    <w:jc w:val="center"/>
                    <w:rPr>
                      <w:rFonts w:hint="eastAsia" w:eastAsia="宋体"/>
                      <w:color w:val="auto"/>
                      <w:sz w:val="18"/>
                      <w:szCs w:val="18"/>
                      <w:lang w:eastAsia="zh-CN"/>
                    </w:rPr>
                  </w:pPr>
                  <w:r>
                    <w:rPr>
                      <w:color w:val="auto"/>
                      <w:sz w:val="18"/>
                      <w:szCs w:val="18"/>
                    </w:rPr>
                    <w:t>废气处理</w:t>
                  </w:r>
                </w:p>
              </w:tc>
              <w:tc>
                <w:tcPr>
                  <w:tcW w:w="1455" w:type="dxa"/>
                  <w:vAlign w:val="center"/>
                </w:tcPr>
                <w:p w14:paraId="44275A65">
                  <w:pPr>
                    <w:jc w:val="center"/>
                    <w:rPr>
                      <w:color w:val="auto"/>
                      <w:sz w:val="18"/>
                      <w:szCs w:val="18"/>
                    </w:rPr>
                  </w:pPr>
                  <w:r>
                    <w:rPr>
                      <w:rFonts w:hint="eastAsia"/>
                      <w:color w:val="auto"/>
                      <w:sz w:val="18"/>
                      <w:szCs w:val="18"/>
                      <w:lang w:eastAsia="zh-CN"/>
                    </w:rPr>
                    <w:t>废活性炭</w:t>
                  </w:r>
                </w:p>
              </w:tc>
              <w:tc>
                <w:tcPr>
                  <w:tcW w:w="720" w:type="dxa"/>
                  <w:vAlign w:val="center"/>
                </w:tcPr>
                <w:p w14:paraId="2F0C74B7">
                  <w:pPr>
                    <w:jc w:val="center"/>
                    <w:rPr>
                      <w:color w:val="auto"/>
                      <w:sz w:val="18"/>
                      <w:szCs w:val="18"/>
                    </w:rPr>
                  </w:pPr>
                  <w:r>
                    <w:rPr>
                      <w:color w:val="auto"/>
                      <w:sz w:val="18"/>
                      <w:szCs w:val="18"/>
                    </w:rPr>
                    <w:t>连续</w:t>
                  </w:r>
                </w:p>
              </w:tc>
              <w:tc>
                <w:tcPr>
                  <w:tcW w:w="4182" w:type="dxa"/>
                  <w:vAlign w:val="center"/>
                </w:tcPr>
                <w:p w14:paraId="6639E0BD">
                  <w:pPr>
                    <w:jc w:val="center"/>
                    <w:rPr>
                      <w:color w:val="auto"/>
                      <w:sz w:val="18"/>
                      <w:szCs w:val="18"/>
                    </w:rPr>
                  </w:pPr>
                  <w:r>
                    <w:rPr>
                      <w:color w:val="auto"/>
                      <w:sz w:val="18"/>
                      <w:szCs w:val="18"/>
                    </w:rPr>
                    <w:t>收集后分类暂存于危废仓库，委托有资质单位处置</w:t>
                  </w:r>
                </w:p>
              </w:tc>
            </w:tr>
            <w:tr w14:paraId="67BA21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10" w:type="dxa"/>
                  <w:vMerge w:val="continue"/>
                  <w:vAlign w:val="center"/>
                </w:tcPr>
                <w:p w14:paraId="2B0E8224">
                  <w:pPr>
                    <w:jc w:val="center"/>
                    <w:rPr>
                      <w:color w:val="auto"/>
                      <w:sz w:val="18"/>
                      <w:szCs w:val="18"/>
                    </w:rPr>
                  </w:pPr>
                </w:p>
              </w:tc>
              <w:tc>
                <w:tcPr>
                  <w:tcW w:w="690" w:type="dxa"/>
                  <w:vAlign w:val="center"/>
                </w:tcPr>
                <w:p w14:paraId="44A7A417">
                  <w:pPr>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S4</w:t>
                  </w:r>
                </w:p>
              </w:tc>
              <w:tc>
                <w:tcPr>
                  <w:tcW w:w="1140" w:type="dxa"/>
                  <w:vAlign w:val="center"/>
                </w:tcPr>
                <w:p w14:paraId="26F63D5C">
                  <w:pPr>
                    <w:jc w:val="center"/>
                    <w:rPr>
                      <w:color w:val="auto"/>
                      <w:sz w:val="18"/>
                      <w:szCs w:val="18"/>
                    </w:rPr>
                  </w:pPr>
                  <w:r>
                    <w:rPr>
                      <w:rFonts w:hint="eastAsia"/>
                      <w:color w:val="auto"/>
                      <w:sz w:val="18"/>
                      <w:szCs w:val="18"/>
                      <w:lang w:eastAsia="zh-CN"/>
                    </w:rPr>
                    <w:t>废气处理</w:t>
                  </w:r>
                </w:p>
              </w:tc>
              <w:tc>
                <w:tcPr>
                  <w:tcW w:w="1455" w:type="dxa"/>
                  <w:vAlign w:val="center"/>
                </w:tcPr>
                <w:p w14:paraId="23D4C276">
                  <w:pPr>
                    <w:jc w:val="center"/>
                    <w:rPr>
                      <w:color w:val="auto"/>
                      <w:sz w:val="18"/>
                      <w:szCs w:val="18"/>
                    </w:rPr>
                  </w:pPr>
                  <w:r>
                    <w:rPr>
                      <w:rFonts w:hint="eastAsia"/>
                      <w:color w:val="auto"/>
                      <w:sz w:val="18"/>
                      <w:szCs w:val="18"/>
                      <w:lang w:eastAsia="zh-CN"/>
                    </w:rPr>
                    <w:t>喷淋塔废液</w:t>
                  </w:r>
                </w:p>
              </w:tc>
              <w:tc>
                <w:tcPr>
                  <w:tcW w:w="720" w:type="dxa"/>
                  <w:vAlign w:val="center"/>
                </w:tcPr>
                <w:p w14:paraId="39EFC589">
                  <w:pPr>
                    <w:jc w:val="center"/>
                    <w:rPr>
                      <w:color w:val="auto"/>
                      <w:sz w:val="18"/>
                      <w:szCs w:val="18"/>
                    </w:rPr>
                  </w:pPr>
                  <w:r>
                    <w:rPr>
                      <w:color w:val="auto"/>
                      <w:sz w:val="18"/>
                      <w:szCs w:val="18"/>
                    </w:rPr>
                    <w:t>连续</w:t>
                  </w:r>
                </w:p>
              </w:tc>
              <w:tc>
                <w:tcPr>
                  <w:tcW w:w="4182" w:type="dxa"/>
                  <w:vAlign w:val="center"/>
                </w:tcPr>
                <w:p w14:paraId="3C944807">
                  <w:pPr>
                    <w:jc w:val="center"/>
                    <w:rPr>
                      <w:color w:val="auto"/>
                      <w:sz w:val="18"/>
                      <w:szCs w:val="18"/>
                    </w:rPr>
                  </w:pPr>
                  <w:r>
                    <w:rPr>
                      <w:color w:val="auto"/>
                      <w:sz w:val="18"/>
                      <w:szCs w:val="18"/>
                    </w:rPr>
                    <w:t>收集后分类暂存于危废仓库，委托有资质单位处置</w:t>
                  </w:r>
                </w:p>
              </w:tc>
            </w:tr>
            <w:tr w14:paraId="23625C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10" w:type="dxa"/>
                  <w:vMerge w:val="continue"/>
                  <w:vAlign w:val="center"/>
                </w:tcPr>
                <w:p w14:paraId="6D787DC7">
                  <w:pPr>
                    <w:jc w:val="center"/>
                    <w:rPr>
                      <w:color w:val="auto"/>
                      <w:sz w:val="18"/>
                      <w:szCs w:val="18"/>
                    </w:rPr>
                  </w:pPr>
                </w:p>
              </w:tc>
              <w:tc>
                <w:tcPr>
                  <w:tcW w:w="690" w:type="dxa"/>
                  <w:vAlign w:val="center"/>
                </w:tcPr>
                <w:p w14:paraId="702E21A8">
                  <w:pPr>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S5</w:t>
                  </w:r>
                </w:p>
              </w:tc>
              <w:tc>
                <w:tcPr>
                  <w:tcW w:w="1140" w:type="dxa"/>
                  <w:vAlign w:val="center"/>
                </w:tcPr>
                <w:p w14:paraId="093E9B16">
                  <w:pPr>
                    <w:jc w:val="center"/>
                    <w:rPr>
                      <w:rFonts w:hint="eastAsia" w:eastAsia="宋体"/>
                      <w:color w:val="auto"/>
                      <w:sz w:val="18"/>
                      <w:szCs w:val="18"/>
                      <w:lang w:eastAsia="zh-CN"/>
                    </w:rPr>
                  </w:pPr>
                  <w:r>
                    <w:rPr>
                      <w:rFonts w:hint="eastAsia"/>
                      <w:color w:val="auto"/>
                      <w:sz w:val="18"/>
                      <w:szCs w:val="18"/>
                      <w:lang w:eastAsia="zh-CN"/>
                    </w:rPr>
                    <w:t>废气处理</w:t>
                  </w:r>
                </w:p>
              </w:tc>
              <w:tc>
                <w:tcPr>
                  <w:tcW w:w="1455" w:type="dxa"/>
                  <w:vAlign w:val="center"/>
                </w:tcPr>
                <w:p w14:paraId="09A1C767">
                  <w:pPr>
                    <w:jc w:val="center"/>
                    <w:rPr>
                      <w:rFonts w:hint="eastAsia" w:eastAsia="宋体"/>
                      <w:color w:val="auto"/>
                      <w:sz w:val="18"/>
                      <w:szCs w:val="18"/>
                      <w:lang w:eastAsia="zh-CN"/>
                    </w:rPr>
                  </w:pPr>
                  <w:r>
                    <w:rPr>
                      <w:rFonts w:hint="eastAsia"/>
                      <w:color w:val="auto"/>
                      <w:sz w:val="18"/>
                      <w:szCs w:val="18"/>
                      <w:lang w:eastAsia="zh-CN"/>
                    </w:rPr>
                    <w:t>废滤芯</w:t>
                  </w:r>
                </w:p>
              </w:tc>
              <w:tc>
                <w:tcPr>
                  <w:tcW w:w="720" w:type="dxa"/>
                  <w:vAlign w:val="center"/>
                </w:tcPr>
                <w:p w14:paraId="6FEE43BE">
                  <w:pPr>
                    <w:jc w:val="center"/>
                    <w:rPr>
                      <w:color w:val="auto"/>
                      <w:sz w:val="18"/>
                      <w:szCs w:val="18"/>
                    </w:rPr>
                  </w:pPr>
                  <w:r>
                    <w:rPr>
                      <w:color w:val="auto"/>
                      <w:sz w:val="18"/>
                      <w:szCs w:val="18"/>
                    </w:rPr>
                    <w:t>连续</w:t>
                  </w:r>
                </w:p>
              </w:tc>
              <w:tc>
                <w:tcPr>
                  <w:tcW w:w="4182" w:type="dxa"/>
                  <w:vAlign w:val="center"/>
                </w:tcPr>
                <w:p w14:paraId="4248E875">
                  <w:pPr>
                    <w:jc w:val="center"/>
                    <w:rPr>
                      <w:color w:val="auto"/>
                      <w:sz w:val="18"/>
                      <w:szCs w:val="18"/>
                    </w:rPr>
                  </w:pPr>
                  <w:r>
                    <w:rPr>
                      <w:color w:val="auto"/>
                      <w:sz w:val="18"/>
                      <w:szCs w:val="18"/>
                    </w:rPr>
                    <w:t>收集后分类暂存于危废仓库，委托有资质单位处置</w:t>
                  </w:r>
                </w:p>
              </w:tc>
            </w:tr>
            <w:tr w14:paraId="6559C7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10" w:type="dxa"/>
                  <w:vMerge w:val="continue"/>
                  <w:vAlign w:val="center"/>
                </w:tcPr>
                <w:p w14:paraId="23374716">
                  <w:pPr>
                    <w:jc w:val="center"/>
                    <w:rPr>
                      <w:color w:val="auto"/>
                      <w:sz w:val="18"/>
                      <w:szCs w:val="18"/>
                    </w:rPr>
                  </w:pPr>
                </w:p>
              </w:tc>
              <w:tc>
                <w:tcPr>
                  <w:tcW w:w="690" w:type="dxa"/>
                  <w:vAlign w:val="center"/>
                </w:tcPr>
                <w:p w14:paraId="2A3BA24D">
                  <w:pPr>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S6</w:t>
                  </w:r>
                </w:p>
              </w:tc>
              <w:tc>
                <w:tcPr>
                  <w:tcW w:w="1140" w:type="dxa"/>
                  <w:vAlign w:val="center"/>
                </w:tcPr>
                <w:p w14:paraId="09492825">
                  <w:pPr>
                    <w:jc w:val="center"/>
                    <w:rPr>
                      <w:rFonts w:hint="eastAsia" w:eastAsia="宋体"/>
                      <w:color w:val="auto"/>
                      <w:sz w:val="18"/>
                      <w:szCs w:val="18"/>
                      <w:lang w:eastAsia="zh-CN"/>
                    </w:rPr>
                  </w:pPr>
                  <w:r>
                    <w:rPr>
                      <w:rFonts w:hint="eastAsia"/>
                      <w:color w:val="auto"/>
                      <w:sz w:val="18"/>
                      <w:szCs w:val="18"/>
                      <w:lang w:eastAsia="zh-CN"/>
                    </w:rPr>
                    <w:t>维修保养</w:t>
                  </w:r>
                </w:p>
              </w:tc>
              <w:tc>
                <w:tcPr>
                  <w:tcW w:w="1455" w:type="dxa"/>
                  <w:vAlign w:val="center"/>
                </w:tcPr>
                <w:p w14:paraId="46DD43F5">
                  <w:pPr>
                    <w:jc w:val="center"/>
                    <w:rPr>
                      <w:rFonts w:hint="eastAsia" w:eastAsia="宋体"/>
                      <w:color w:val="auto"/>
                      <w:sz w:val="18"/>
                      <w:szCs w:val="18"/>
                      <w:lang w:eastAsia="zh-CN"/>
                    </w:rPr>
                  </w:pPr>
                  <w:r>
                    <w:rPr>
                      <w:rFonts w:hint="eastAsia"/>
                      <w:color w:val="auto"/>
                      <w:sz w:val="18"/>
                      <w:szCs w:val="18"/>
                      <w:lang w:eastAsia="zh-CN"/>
                    </w:rPr>
                    <w:t>废润滑油</w:t>
                  </w:r>
                </w:p>
              </w:tc>
              <w:tc>
                <w:tcPr>
                  <w:tcW w:w="720" w:type="dxa"/>
                  <w:vAlign w:val="center"/>
                </w:tcPr>
                <w:p w14:paraId="40FE4A87">
                  <w:pPr>
                    <w:jc w:val="center"/>
                    <w:rPr>
                      <w:color w:val="auto"/>
                      <w:sz w:val="18"/>
                      <w:szCs w:val="18"/>
                    </w:rPr>
                  </w:pPr>
                  <w:r>
                    <w:rPr>
                      <w:color w:val="auto"/>
                      <w:sz w:val="18"/>
                      <w:szCs w:val="18"/>
                    </w:rPr>
                    <w:t>连续</w:t>
                  </w:r>
                </w:p>
              </w:tc>
              <w:tc>
                <w:tcPr>
                  <w:tcW w:w="4182" w:type="dxa"/>
                  <w:vAlign w:val="center"/>
                </w:tcPr>
                <w:p w14:paraId="4841860B">
                  <w:pPr>
                    <w:jc w:val="center"/>
                    <w:rPr>
                      <w:color w:val="auto"/>
                      <w:sz w:val="18"/>
                      <w:szCs w:val="18"/>
                    </w:rPr>
                  </w:pPr>
                  <w:r>
                    <w:rPr>
                      <w:color w:val="auto"/>
                      <w:sz w:val="18"/>
                      <w:szCs w:val="18"/>
                    </w:rPr>
                    <w:t>收集后分类暂存于危废仓库，委托有资质单位处置</w:t>
                  </w:r>
                </w:p>
              </w:tc>
            </w:tr>
            <w:tr w14:paraId="111AF2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10" w:type="dxa"/>
                  <w:vMerge w:val="continue"/>
                  <w:vAlign w:val="center"/>
                </w:tcPr>
                <w:p w14:paraId="00ABC730">
                  <w:pPr>
                    <w:jc w:val="center"/>
                    <w:rPr>
                      <w:color w:val="auto"/>
                      <w:sz w:val="18"/>
                      <w:szCs w:val="18"/>
                    </w:rPr>
                  </w:pPr>
                </w:p>
              </w:tc>
              <w:tc>
                <w:tcPr>
                  <w:tcW w:w="690" w:type="dxa"/>
                  <w:vAlign w:val="center"/>
                </w:tcPr>
                <w:p w14:paraId="48A962E9">
                  <w:pPr>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S7</w:t>
                  </w:r>
                </w:p>
              </w:tc>
              <w:tc>
                <w:tcPr>
                  <w:tcW w:w="1140" w:type="dxa"/>
                  <w:vAlign w:val="center"/>
                </w:tcPr>
                <w:p w14:paraId="6AFDCC6E">
                  <w:pPr>
                    <w:jc w:val="center"/>
                    <w:rPr>
                      <w:rFonts w:hint="eastAsia" w:eastAsia="宋体"/>
                      <w:color w:val="auto"/>
                      <w:sz w:val="18"/>
                      <w:szCs w:val="18"/>
                      <w:lang w:eastAsia="zh-CN"/>
                    </w:rPr>
                  </w:pPr>
                  <w:r>
                    <w:rPr>
                      <w:rFonts w:hint="eastAsia"/>
                      <w:color w:val="auto"/>
                      <w:sz w:val="18"/>
                      <w:szCs w:val="18"/>
                      <w:lang w:eastAsia="zh-CN"/>
                    </w:rPr>
                    <w:t>维修保养</w:t>
                  </w:r>
                </w:p>
              </w:tc>
              <w:tc>
                <w:tcPr>
                  <w:tcW w:w="1455" w:type="dxa"/>
                  <w:vAlign w:val="center"/>
                </w:tcPr>
                <w:p w14:paraId="1F9A98DA">
                  <w:pPr>
                    <w:jc w:val="center"/>
                    <w:rPr>
                      <w:rFonts w:hint="eastAsia" w:eastAsia="宋体"/>
                      <w:color w:val="auto"/>
                      <w:sz w:val="18"/>
                      <w:szCs w:val="18"/>
                      <w:lang w:eastAsia="zh-CN"/>
                    </w:rPr>
                  </w:pPr>
                  <w:r>
                    <w:rPr>
                      <w:rFonts w:hint="eastAsia"/>
                      <w:color w:val="auto"/>
                      <w:sz w:val="18"/>
                      <w:szCs w:val="18"/>
                      <w:lang w:eastAsia="zh-CN"/>
                    </w:rPr>
                    <w:t>废润滑油</w:t>
                  </w:r>
                  <w:r>
                    <w:rPr>
                      <w:rFonts w:hint="eastAsia" w:ascii="Times New Roman" w:hAnsi="Times New Roman" w:eastAsia="宋体" w:cs="Times New Roman"/>
                      <w:color w:val="auto"/>
                      <w:sz w:val="18"/>
                      <w:szCs w:val="18"/>
                      <w:lang w:eastAsia="zh-CN"/>
                    </w:rPr>
                    <w:t>桶</w:t>
                  </w:r>
                </w:p>
              </w:tc>
              <w:tc>
                <w:tcPr>
                  <w:tcW w:w="720" w:type="dxa"/>
                  <w:vAlign w:val="center"/>
                </w:tcPr>
                <w:p w14:paraId="79D3F3E8">
                  <w:pPr>
                    <w:jc w:val="center"/>
                    <w:rPr>
                      <w:color w:val="auto"/>
                      <w:sz w:val="18"/>
                      <w:szCs w:val="18"/>
                    </w:rPr>
                  </w:pPr>
                  <w:r>
                    <w:rPr>
                      <w:color w:val="auto"/>
                      <w:sz w:val="18"/>
                      <w:szCs w:val="18"/>
                    </w:rPr>
                    <w:t>连续</w:t>
                  </w:r>
                </w:p>
              </w:tc>
              <w:tc>
                <w:tcPr>
                  <w:tcW w:w="4182" w:type="dxa"/>
                  <w:vAlign w:val="center"/>
                </w:tcPr>
                <w:p w14:paraId="20D3743C">
                  <w:pPr>
                    <w:jc w:val="center"/>
                    <w:rPr>
                      <w:color w:val="auto"/>
                      <w:sz w:val="18"/>
                      <w:szCs w:val="18"/>
                    </w:rPr>
                  </w:pPr>
                  <w:r>
                    <w:rPr>
                      <w:color w:val="auto"/>
                      <w:sz w:val="18"/>
                      <w:szCs w:val="18"/>
                    </w:rPr>
                    <w:t>收集后分类暂存于危废仓库，委托有资质单位处置</w:t>
                  </w:r>
                </w:p>
              </w:tc>
            </w:tr>
            <w:tr w14:paraId="7ADA5E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0" w:type="dxa"/>
                  <w:vAlign w:val="center"/>
                </w:tcPr>
                <w:p w14:paraId="701569F7">
                  <w:pPr>
                    <w:jc w:val="center"/>
                    <w:rPr>
                      <w:color w:val="auto"/>
                      <w:sz w:val="18"/>
                      <w:szCs w:val="18"/>
                    </w:rPr>
                  </w:pPr>
                  <w:r>
                    <w:rPr>
                      <w:color w:val="auto"/>
                      <w:sz w:val="18"/>
                      <w:szCs w:val="18"/>
                    </w:rPr>
                    <w:t>噪声</w:t>
                  </w:r>
                </w:p>
              </w:tc>
              <w:tc>
                <w:tcPr>
                  <w:tcW w:w="690" w:type="dxa"/>
                  <w:vAlign w:val="center"/>
                </w:tcPr>
                <w:p w14:paraId="7428EAEF">
                  <w:pPr>
                    <w:jc w:val="center"/>
                    <w:rPr>
                      <w:color w:val="auto"/>
                      <w:sz w:val="18"/>
                      <w:szCs w:val="18"/>
                    </w:rPr>
                  </w:pPr>
                  <w:r>
                    <w:rPr>
                      <w:color w:val="auto"/>
                      <w:sz w:val="18"/>
                      <w:szCs w:val="18"/>
                    </w:rPr>
                    <w:t>N</w:t>
                  </w:r>
                </w:p>
              </w:tc>
              <w:tc>
                <w:tcPr>
                  <w:tcW w:w="1140" w:type="dxa"/>
                  <w:vAlign w:val="center"/>
                </w:tcPr>
                <w:p w14:paraId="020BAF55">
                  <w:pPr>
                    <w:jc w:val="center"/>
                    <w:rPr>
                      <w:color w:val="auto"/>
                      <w:sz w:val="18"/>
                      <w:szCs w:val="18"/>
                    </w:rPr>
                  </w:pPr>
                  <w:r>
                    <w:rPr>
                      <w:color w:val="auto"/>
                      <w:sz w:val="18"/>
                      <w:szCs w:val="18"/>
                    </w:rPr>
                    <w:t>各类生产设备</w:t>
                  </w:r>
                </w:p>
              </w:tc>
              <w:tc>
                <w:tcPr>
                  <w:tcW w:w="1455" w:type="dxa"/>
                  <w:vAlign w:val="center"/>
                </w:tcPr>
                <w:p w14:paraId="5EC6FB13">
                  <w:pPr>
                    <w:jc w:val="center"/>
                    <w:rPr>
                      <w:color w:val="auto"/>
                      <w:sz w:val="18"/>
                      <w:szCs w:val="18"/>
                    </w:rPr>
                  </w:pPr>
                  <w:r>
                    <w:rPr>
                      <w:color w:val="auto"/>
                      <w:sz w:val="18"/>
                      <w:szCs w:val="18"/>
                    </w:rPr>
                    <w:t>Leq</w:t>
                  </w:r>
                  <w:r>
                    <w:rPr>
                      <w:rFonts w:hint="eastAsia"/>
                      <w:color w:val="auto"/>
                      <w:sz w:val="18"/>
                      <w:szCs w:val="18"/>
                      <w:lang w:eastAsia="zh-CN"/>
                    </w:rPr>
                    <w:t>（</w:t>
                  </w:r>
                  <w:r>
                    <w:rPr>
                      <w:color w:val="auto"/>
                      <w:sz w:val="18"/>
                      <w:szCs w:val="18"/>
                    </w:rPr>
                    <w:t>A</w:t>
                  </w:r>
                  <w:r>
                    <w:rPr>
                      <w:rFonts w:hint="eastAsia"/>
                      <w:color w:val="auto"/>
                      <w:sz w:val="18"/>
                      <w:szCs w:val="18"/>
                      <w:lang w:eastAsia="zh-CN"/>
                    </w:rPr>
                    <w:t>）</w:t>
                  </w:r>
                </w:p>
              </w:tc>
              <w:tc>
                <w:tcPr>
                  <w:tcW w:w="720" w:type="dxa"/>
                  <w:vAlign w:val="center"/>
                </w:tcPr>
                <w:p w14:paraId="7198BB13">
                  <w:pPr>
                    <w:jc w:val="center"/>
                    <w:rPr>
                      <w:color w:val="auto"/>
                      <w:sz w:val="18"/>
                      <w:szCs w:val="18"/>
                    </w:rPr>
                  </w:pPr>
                  <w:r>
                    <w:rPr>
                      <w:color w:val="auto"/>
                      <w:sz w:val="18"/>
                      <w:szCs w:val="18"/>
                    </w:rPr>
                    <w:t>间歇</w:t>
                  </w:r>
                </w:p>
              </w:tc>
              <w:tc>
                <w:tcPr>
                  <w:tcW w:w="4182" w:type="dxa"/>
                  <w:vAlign w:val="center"/>
                </w:tcPr>
                <w:p w14:paraId="21295107">
                  <w:pPr>
                    <w:jc w:val="center"/>
                    <w:rPr>
                      <w:color w:val="auto"/>
                      <w:sz w:val="18"/>
                      <w:szCs w:val="18"/>
                    </w:rPr>
                  </w:pPr>
                  <w:r>
                    <w:rPr>
                      <w:color w:val="auto"/>
                      <w:spacing w:val="8"/>
                      <w:sz w:val="18"/>
                      <w:szCs w:val="18"/>
                    </w:rPr>
                    <w:t>隔</w:t>
                  </w:r>
                  <w:r>
                    <w:rPr>
                      <w:color w:val="auto"/>
                      <w:spacing w:val="5"/>
                      <w:sz w:val="18"/>
                      <w:szCs w:val="18"/>
                    </w:rPr>
                    <w:t>声、减振</w:t>
                  </w:r>
                </w:p>
              </w:tc>
            </w:tr>
          </w:tbl>
          <w:p w14:paraId="53C114DC">
            <w:pPr>
              <w:pStyle w:val="2"/>
              <w:jc w:val="both"/>
              <w:rPr>
                <w:rFonts w:ascii="Times New Roman" w:hAnsi="Times New Roman"/>
                <w:color w:val="auto"/>
              </w:rPr>
            </w:pPr>
          </w:p>
        </w:tc>
      </w:tr>
      <w:tr w14:paraId="2D07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3" w:hRule="atLeast"/>
        </w:trPr>
        <w:tc>
          <w:tcPr>
            <w:tcW w:w="660" w:type="dxa"/>
            <w:gridSpan w:val="2"/>
          </w:tcPr>
          <w:p w14:paraId="4088D055">
            <w:pPr>
              <w:rPr>
                <w:color w:val="auto"/>
              </w:rPr>
            </w:pPr>
          </w:p>
          <w:p w14:paraId="15A02194">
            <w:pPr>
              <w:rPr>
                <w:color w:val="auto"/>
              </w:rPr>
            </w:pPr>
          </w:p>
          <w:p w14:paraId="3115D9AC">
            <w:pPr>
              <w:rPr>
                <w:color w:val="auto"/>
              </w:rPr>
            </w:pPr>
          </w:p>
          <w:p w14:paraId="631F3D22">
            <w:pPr>
              <w:rPr>
                <w:color w:val="auto"/>
              </w:rPr>
            </w:pPr>
          </w:p>
          <w:p w14:paraId="3E28B778">
            <w:pPr>
              <w:rPr>
                <w:color w:val="auto"/>
              </w:rPr>
            </w:pPr>
          </w:p>
          <w:p w14:paraId="01BA2D6B">
            <w:pPr>
              <w:spacing w:line="500" w:lineRule="exact"/>
              <w:jc w:val="center"/>
              <w:rPr>
                <w:color w:val="auto"/>
              </w:rPr>
            </w:pPr>
            <w:r>
              <w:rPr>
                <w:color w:val="auto"/>
              </w:rPr>
              <w:t>与 项 目 有 关 的 原 有 环 境 污 染 问 题</w:t>
            </w:r>
          </w:p>
          <w:p w14:paraId="2310F6DA">
            <w:pPr>
              <w:pStyle w:val="2"/>
              <w:rPr>
                <w:rFonts w:ascii="Times New Roman" w:hAnsi="Times New Roman"/>
                <w:color w:val="auto"/>
                <w:szCs w:val="24"/>
              </w:rPr>
            </w:pPr>
          </w:p>
          <w:p w14:paraId="59C72760">
            <w:pPr>
              <w:pStyle w:val="2"/>
              <w:rPr>
                <w:rFonts w:ascii="Times New Roman" w:hAnsi="Times New Roman"/>
                <w:color w:val="auto"/>
                <w:szCs w:val="24"/>
              </w:rPr>
            </w:pPr>
          </w:p>
          <w:p w14:paraId="0325CBBD">
            <w:pPr>
              <w:pStyle w:val="2"/>
              <w:rPr>
                <w:rFonts w:ascii="Times New Roman" w:hAnsi="Times New Roman"/>
                <w:color w:val="auto"/>
                <w:szCs w:val="24"/>
              </w:rPr>
            </w:pPr>
          </w:p>
          <w:p w14:paraId="4E80709F">
            <w:pPr>
              <w:pStyle w:val="2"/>
              <w:rPr>
                <w:rFonts w:ascii="Times New Roman" w:hAnsi="Times New Roman"/>
                <w:color w:val="auto"/>
                <w:szCs w:val="24"/>
              </w:rPr>
            </w:pPr>
          </w:p>
          <w:p w14:paraId="1D7692D1">
            <w:pPr>
              <w:pStyle w:val="2"/>
              <w:rPr>
                <w:rFonts w:ascii="Times New Roman" w:hAnsi="Times New Roman"/>
                <w:color w:val="auto"/>
                <w:szCs w:val="24"/>
              </w:rPr>
            </w:pPr>
          </w:p>
          <w:p w14:paraId="692BA232">
            <w:pPr>
              <w:pStyle w:val="2"/>
              <w:rPr>
                <w:rFonts w:ascii="Times New Roman" w:hAnsi="Times New Roman"/>
                <w:color w:val="auto"/>
                <w:szCs w:val="24"/>
              </w:rPr>
            </w:pPr>
          </w:p>
          <w:p w14:paraId="01A39391">
            <w:pPr>
              <w:pStyle w:val="2"/>
              <w:rPr>
                <w:rFonts w:ascii="Times New Roman" w:hAnsi="Times New Roman"/>
                <w:color w:val="auto"/>
                <w:szCs w:val="24"/>
              </w:rPr>
            </w:pPr>
          </w:p>
          <w:p w14:paraId="73578C33">
            <w:pPr>
              <w:pStyle w:val="2"/>
              <w:rPr>
                <w:rFonts w:ascii="Times New Roman" w:hAnsi="Times New Roman"/>
                <w:color w:val="auto"/>
                <w:szCs w:val="24"/>
              </w:rPr>
            </w:pPr>
          </w:p>
          <w:p w14:paraId="45A435B7">
            <w:pPr>
              <w:pStyle w:val="2"/>
              <w:rPr>
                <w:rFonts w:ascii="Times New Roman" w:hAnsi="Times New Roman"/>
                <w:color w:val="auto"/>
                <w:szCs w:val="24"/>
              </w:rPr>
            </w:pPr>
          </w:p>
          <w:p w14:paraId="07061B06">
            <w:pPr>
              <w:pStyle w:val="2"/>
              <w:rPr>
                <w:rFonts w:ascii="Times New Roman" w:hAnsi="Times New Roman"/>
                <w:color w:val="auto"/>
                <w:szCs w:val="24"/>
              </w:rPr>
            </w:pPr>
          </w:p>
          <w:p w14:paraId="2FE0C13B">
            <w:pPr>
              <w:pStyle w:val="2"/>
              <w:rPr>
                <w:rFonts w:ascii="Times New Roman" w:hAnsi="Times New Roman"/>
                <w:color w:val="auto"/>
                <w:szCs w:val="24"/>
              </w:rPr>
            </w:pPr>
          </w:p>
        </w:tc>
        <w:tc>
          <w:tcPr>
            <w:tcW w:w="9090" w:type="dxa"/>
            <w:gridSpan w:val="2"/>
          </w:tcPr>
          <w:p w14:paraId="3300167F">
            <w:pPr>
              <w:pStyle w:val="2"/>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color w:val="auto"/>
              </w:rPr>
            </w:pPr>
            <w:r>
              <w:rPr>
                <w:rFonts w:hint="eastAsia" w:ascii="Times New Roman" w:hAnsi="Times New Roman" w:eastAsia="宋体" w:cs="Times New Roman"/>
                <w:bCs/>
                <w:color w:val="auto"/>
                <w:kern w:val="2"/>
                <w:sz w:val="21"/>
                <w:szCs w:val="21"/>
                <w:lang w:val="en-US" w:eastAsia="zh-CN" w:bidi="ar-SA"/>
              </w:rPr>
              <w:t>经实地考察，建设项目租赁江苏鼎中钢业有限公司现有闲置厂房进行生产</w:t>
            </w:r>
            <w:r>
              <w:rPr>
                <w:rFonts w:hint="eastAsia" w:ascii="Times New Roman" w:hAnsi="Times New Roman" w:cs="Times New Roman"/>
                <w:bCs/>
                <w:color w:val="auto"/>
                <w:kern w:val="2"/>
                <w:sz w:val="21"/>
                <w:szCs w:val="21"/>
                <w:lang w:val="en-US" w:eastAsia="zh-CN" w:bidi="ar-SA"/>
              </w:rPr>
              <w:t>，项目租用前一直为闲置状态，</w:t>
            </w:r>
            <w:r>
              <w:rPr>
                <w:rFonts w:hint="eastAsia" w:ascii="Times New Roman" w:hAnsi="Times New Roman" w:eastAsia="宋体" w:cs="Times New Roman"/>
                <w:bCs/>
                <w:color w:val="auto"/>
                <w:kern w:val="2"/>
                <w:sz w:val="21"/>
                <w:szCs w:val="21"/>
                <w:lang w:val="en-US" w:eastAsia="zh-CN" w:bidi="ar-SA"/>
              </w:rPr>
              <w:t>因此，无与本项目有关的原有污染情况及主要环境问题</w:t>
            </w:r>
            <w:r>
              <w:rPr>
                <w:rFonts w:hint="eastAsia" w:eastAsia="宋体"/>
                <w:color w:val="auto"/>
                <w:lang w:eastAsia="zh-CN"/>
              </w:rPr>
              <w:t>。</w:t>
            </w:r>
          </w:p>
          <w:p w14:paraId="1CB8F601">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eastAsia="宋体"/>
                <w:color w:val="auto"/>
                <w:lang w:eastAsia="zh-CN"/>
              </w:rPr>
            </w:pPr>
          </w:p>
        </w:tc>
      </w:tr>
    </w:tbl>
    <w:p w14:paraId="57A5997E">
      <w:pPr>
        <w:spacing w:before="156" w:beforeLines="50" w:after="156" w:afterLines="50"/>
        <w:jc w:val="center"/>
        <w:outlineLvl w:val="0"/>
        <w:rPr>
          <w:rFonts w:eastAsia="黑体"/>
          <w:sz w:val="30"/>
          <w:szCs w:val="30"/>
        </w:rPr>
      </w:pPr>
    </w:p>
    <w:p w14:paraId="1465483B">
      <w:pPr>
        <w:spacing w:before="156" w:beforeLines="50" w:after="156" w:afterLines="50"/>
        <w:jc w:val="center"/>
        <w:outlineLvl w:val="0"/>
        <w:rPr>
          <w:rFonts w:eastAsia="黑体"/>
          <w:sz w:val="30"/>
          <w:szCs w:val="30"/>
        </w:rPr>
      </w:pPr>
      <w:r>
        <w:rPr>
          <w:rFonts w:eastAsia="黑体"/>
          <w:sz w:val="30"/>
          <w:szCs w:val="30"/>
        </w:rPr>
        <w:t>三、区域环境质量现状、环境保护目标及评价标准</w:t>
      </w:r>
    </w:p>
    <w:tbl>
      <w:tblPr>
        <w:tblStyle w:val="17"/>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8280"/>
      </w:tblGrid>
      <w:tr w14:paraId="7D7E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55F58E32">
            <w:pPr>
              <w:spacing w:line="360" w:lineRule="auto"/>
              <w:jc w:val="center"/>
            </w:pPr>
          </w:p>
          <w:p w14:paraId="2C86BBB4">
            <w:pPr>
              <w:spacing w:line="360" w:lineRule="auto"/>
              <w:jc w:val="center"/>
            </w:pPr>
          </w:p>
          <w:p w14:paraId="568D8413">
            <w:pPr>
              <w:spacing w:line="360" w:lineRule="auto"/>
              <w:jc w:val="center"/>
            </w:pPr>
          </w:p>
          <w:p w14:paraId="0CB7D09F">
            <w:pPr>
              <w:spacing w:line="360" w:lineRule="auto"/>
              <w:jc w:val="center"/>
            </w:pPr>
          </w:p>
          <w:p w14:paraId="1EC9F0CD">
            <w:pPr>
              <w:spacing w:line="360" w:lineRule="auto"/>
              <w:jc w:val="center"/>
            </w:pPr>
          </w:p>
          <w:p w14:paraId="50126A1D">
            <w:pPr>
              <w:spacing w:line="360" w:lineRule="auto"/>
              <w:jc w:val="center"/>
            </w:pPr>
          </w:p>
          <w:p w14:paraId="24D34C47">
            <w:pPr>
              <w:spacing w:line="360" w:lineRule="auto"/>
              <w:jc w:val="center"/>
            </w:pPr>
          </w:p>
          <w:p w14:paraId="13CA76A4">
            <w:pPr>
              <w:spacing w:line="360" w:lineRule="auto"/>
              <w:jc w:val="center"/>
            </w:pPr>
          </w:p>
          <w:p w14:paraId="235CEAD5">
            <w:pPr>
              <w:spacing w:line="360" w:lineRule="auto"/>
              <w:jc w:val="center"/>
              <w:rPr>
                <w:szCs w:val="21"/>
              </w:rPr>
            </w:pPr>
            <w:r>
              <w:rPr>
                <w:szCs w:val="21"/>
              </w:rPr>
              <w:t>区 域 环 境 质 量 现 状</w:t>
            </w:r>
          </w:p>
          <w:p w14:paraId="620D7722">
            <w:pPr>
              <w:pStyle w:val="2"/>
              <w:rPr>
                <w:rFonts w:ascii="Times New Roman" w:hAnsi="Times New Roman"/>
                <w:szCs w:val="24"/>
              </w:rPr>
            </w:pPr>
          </w:p>
          <w:p w14:paraId="66903CDC">
            <w:pPr>
              <w:pStyle w:val="2"/>
              <w:rPr>
                <w:rFonts w:ascii="Times New Roman" w:hAnsi="Times New Roman"/>
                <w:szCs w:val="24"/>
              </w:rPr>
            </w:pPr>
          </w:p>
          <w:p w14:paraId="10CF1056">
            <w:pPr>
              <w:pStyle w:val="2"/>
              <w:rPr>
                <w:rFonts w:ascii="Times New Roman" w:hAnsi="Times New Roman"/>
                <w:szCs w:val="24"/>
              </w:rPr>
            </w:pPr>
          </w:p>
          <w:p w14:paraId="740B5678">
            <w:pPr>
              <w:pStyle w:val="2"/>
              <w:rPr>
                <w:rFonts w:ascii="Times New Roman" w:hAnsi="Times New Roman"/>
                <w:szCs w:val="24"/>
              </w:rPr>
            </w:pPr>
          </w:p>
          <w:p w14:paraId="3847A6D2">
            <w:pPr>
              <w:pStyle w:val="2"/>
              <w:rPr>
                <w:rFonts w:ascii="Times New Roman" w:hAnsi="Times New Roman"/>
                <w:szCs w:val="24"/>
              </w:rPr>
            </w:pPr>
          </w:p>
          <w:p w14:paraId="46E539C1">
            <w:pPr>
              <w:pStyle w:val="2"/>
              <w:rPr>
                <w:rFonts w:ascii="Times New Roman" w:hAnsi="Times New Roman"/>
                <w:szCs w:val="24"/>
              </w:rPr>
            </w:pPr>
          </w:p>
          <w:p w14:paraId="714113F5">
            <w:pPr>
              <w:pStyle w:val="2"/>
              <w:rPr>
                <w:rFonts w:ascii="Times New Roman" w:hAnsi="Times New Roman"/>
                <w:szCs w:val="24"/>
              </w:rPr>
            </w:pPr>
          </w:p>
          <w:p w14:paraId="66A334A4">
            <w:pPr>
              <w:pStyle w:val="2"/>
              <w:rPr>
                <w:rFonts w:ascii="Times New Roman" w:hAnsi="Times New Roman"/>
                <w:szCs w:val="24"/>
              </w:rPr>
            </w:pPr>
          </w:p>
          <w:p w14:paraId="04DF45A7">
            <w:pPr>
              <w:pStyle w:val="2"/>
              <w:rPr>
                <w:rFonts w:ascii="Times New Roman" w:hAnsi="Times New Roman"/>
                <w:szCs w:val="24"/>
              </w:rPr>
            </w:pPr>
          </w:p>
          <w:p w14:paraId="157DF627">
            <w:pPr>
              <w:pStyle w:val="2"/>
              <w:rPr>
                <w:rFonts w:ascii="Times New Roman" w:hAnsi="Times New Roman"/>
                <w:szCs w:val="24"/>
              </w:rPr>
            </w:pPr>
          </w:p>
          <w:p w14:paraId="4F6D2472">
            <w:pPr>
              <w:pStyle w:val="2"/>
              <w:rPr>
                <w:rFonts w:ascii="Times New Roman" w:hAnsi="Times New Roman"/>
                <w:szCs w:val="24"/>
              </w:rPr>
            </w:pPr>
          </w:p>
          <w:p w14:paraId="63CFE8A2">
            <w:pPr>
              <w:pStyle w:val="2"/>
              <w:rPr>
                <w:rFonts w:ascii="Times New Roman" w:hAnsi="Times New Roman"/>
                <w:szCs w:val="24"/>
              </w:rPr>
            </w:pPr>
          </w:p>
        </w:tc>
        <w:tc>
          <w:tcPr>
            <w:tcW w:w="8280" w:type="dxa"/>
          </w:tcPr>
          <w:p w14:paraId="35C518B9">
            <w:pPr>
              <w:spacing w:line="500" w:lineRule="exact"/>
              <w:ind w:firstLine="422" w:firstLineChars="200"/>
              <w:rPr>
                <w:rFonts w:ascii="宋体" w:hAnsi="宋体" w:cs="宋体"/>
                <w:b/>
                <w:bCs/>
                <w:szCs w:val="21"/>
              </w:rPr>
            </w:pPr>
            <w:r>
              <w:rPr>
                <w:rFonts w:hint="eastAsia" w:ascii="宋体" w:hAnsi="宋体" w:cs="宋体"/>
                <w:b/>
                <w:bCs/>
                <w:szCs w:val="21"/>
              </w:rPr>
              <w:t>1、大气环境质量现状</w:t>
            </w:r>
          </w:p>
          <w:p w14:paraId="76A1F596">
            <w:pPr>
              <w:spacing w:line="500" w:lineRule="exact"/>
              <w:ind w:firstLine="420" w:firstLineChars="200"/>
              <w:rPr>
                <w:rFonts w:ascii="宋体" w:hAnsi="宋体" w:cs="宋体"/>
                <w:szCs w:val="21"/>
              </w:rPr>
            </w:pPr>
            <w:r>
              <w:rPr>
                <w:rFonts w:hint="eastAsia" w:ascii="宋体" w:hAnsi="宋体" w:cs="宋体"/>
                <w:szCs w:val="21"/>
              </w:rPr>
              <w:t>（1）常规污染物质量现状</w:t>
            </w:r>
          </w:p>
          <w:p w14:paraId="1D2F89D5">
            <w:pPr>
              <w:spacing w:line="500" w:lineRule="exact"/>
              <w:ind w:firstLine="420" w:firstLineChars="200"/>
              <w:rPr>
                <w:szCs w:val="21"/>
              </w:rPr>
            </w:pPr>
            <w:r>
              <w:rPr>
                <w:szCs w:val="21"/>
              </w:rPr>
              <w:t>本项目可引用《202</w:t>
            </w:r>
            <w:r>
              <w:rPr>
                <w:rFonts w:hint="eastAsia"/>
                <w:szCs w:val="21"/>
                <w:lang w:val="en-US" w:eastAsia="zh-CN"/>
              </w:rPr>
              <w:t>3</w:t>
            </w:r>
            <w:r>
              <w:rPr>
                <w:szCs w:val="21"/>
              </w:rPr>
              <w:t>年度南通市生态环境状况公报》中通州区统计结果，主要空气污染物指标监测结果见表3-1。</w:t>
            </w:r>
          </w:p>
          <w:p w14:paraId="1DE15734">
            <w:pPr>
              <w:spacing w:line="360" w:lineRule="auto"/>
              <w:jc w:val="center"/>
              <w:rPr>
                <w:b/>
                <w:bCs/>
                <w:szCs w:val="21"/>
              </w:rPr>
            </w:pPr>
            <w:r>
              <w:rPr>
                <w:b/>
                <w:bCs/>
                <w:szCs w:val="21"/>
              </w:rPr>
              <w:t>表 3-1</w:t>
            </w:r>
            <w:r>
              <w:rPr>
                <w:rFonts w:hint="eastAsia"/>
                <w:b/>
                <w:bCs/>
                <w:szCs w:val="21"/>
              </w:rPr>
              <w:t xml:space="preserve"> </w:t>
            </w:r>
            <w:r>
              <w:rPr>
                <w:b/>
                <w:bCs/>
                <w:szCs w:val="21"/>
              </w:rPr>
              <w:t>环境空气质量监测结果</w:t>
            </w:r>
          </w:p>
          <w:tbl>
            <w:tblPr>
              <w:tblStyle w:val="16"/>
              <w:tblW w:w="8056" w:type="dxa"/>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919"/>
              <w:gridCol w:w="2077"/>
              <w:gridCol w:w="954"/>
              <w:gridCol w:w="975"/>
              <w:gridCol w:w="1144"/>
              <w:gridCol w:w="961"/>
            </w:tblGrid>
            <w:tr w14:paraId="56022B8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1026" w:type="dxa"/>
                  <w:vAlign w:val="center"/>
                </w:tcPr>
                <w:p w14:paraId="3DFEA12C">
                  <w:pPr>
                    <w:jc w:val="center"/>
                    <w:rPr>
                      <w:sz w:val="18"/>
                      <w:szCs w:val="18"/>
                    </w:rPr>
                  </w:pPr>
                  <w:r>
                    <w:rPr>
                      <w:sz w:val="18"/>
                      <w:szCs w:val="18"/>
                    </w:rPr>
                    <w:t>点位名称</w:t>
                  </w:r>
                </w:p>
              </w:tc>
              <w:tc>
                <w:tcPr>
                  <w:tcW w:w="919" w:type="dxa"/>
                  <w:vAlign w:val="center"/>
                </w:tcPr>
                <w:p w14:paraId="6FB7ED16">
                  <w:pPr>
                    <w:jc w:val="center"/>
                    <w:rPr>
                      <w:sz w:val="18"/>
                      <w:szCs w:val="18"/>
                    </w:rPr>
                  </w:pPr>
                  <w:r>
                    <w:rPr>
                      <w:sz w:val="18"/>
                      <w:szCs w:val="18"/>
                    </w:rPr>
                    <w:t>污染物</w:t>
                  </w:r>
                </w:p>
              </w:tc>
              <w:tc>
                <w:tcPr>
                  <w:tcW w:w="2077" w:type="dxa"/>
                  <w:vAlign w:val="center"/>
                </w:tcPr>
                <w:p w14:paraId="556B00DF">
                  <w:pPr>
                    <w:jc w:val="center"/>
                    <w:rPr>
                      <w:sz w:val="18"/>
                      <w:szCs w:val="18"/>
                    </w:rPr>
                  </w:pPr>
                  <w:r>
                    <w:rPr>
                      <w:sz w:val="18"/>
                      <w:szCs w:val="18"/>
                    </w:rPr>
                    <w:t>年评价指标</w:t>
                  </w:r>
                </w:p>
              </w:tc>
              <w:tc>
                <w:tcPr>
                  <w:tcW w:w="954" w:type="dxa"/>
                  <w:vAlign w:val="center"/>
                </w:tcPr>
                <w:p w14:paraId="2AEA8E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评价标准μg/m</w:t>
                  </w:r>
                  <w:r>
                    <w:rPr>
                      <w:sz w:val="18"/>
                      <w:szCs w:val="18"/>
                      <w:vertAlign w:val="superscript"/>
                    </w:rPr>
                    <w:t>3</w:t>
                  </w:r>
                </w:p>
              </w:tc>
              <w:tc>
                <w:tcPr>
                  <w:tcW w:w="975" w:type="dxa"/>
                  <w:vAlign w:val="center"/>
                </w:tcPr>
                <w:p w14:paraId="526FE8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现状浓度</w:t>
                  </w:r>
                </w:p>
                <w:p w14:paraId="3A1EA5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μg/m</w:t>
                  </w:r>
                  <w:r>
                    <w:rPr>
                      <w:sz w:val="18"/>
                      <w:szCs w:val="18"/>
                      <w:vertAlign w:val="superscript"/>
                    </w:rPr>
                    <w:t>3</w:t>
                  </w:r>
                </w:p>
              </w:tc>
              <w:tc>
                <w:tcPr>
                  <w:tcW w:w="1144" w:type="dxa"/>
                  <w:vAlign w:val="center"/>
                </w:tcPr>
                <w:p w14:paraId="5640B16C">
                  <w:pPr>
                    <w:jc w:val="center"/>
                    <w:rPr>
                      <w:sz w:val="18"/>
                      <w:szCs w:val="18"/>
                    </w:rPr>
                  </w:pPr>
                  <w:r>
                    <w:rPr>
                      <w:sz w:val="18"/>
                      <w:szCs w:val="18"/>
                    </w:rPr>
                    <w:t>超标倍数</w:t>
                  </w:r>
                </w:p>
              </w:tc>
              <w:tc>
                <w:tcPr>
                  <w:tcW w:w="961" w:type="dxa"/>
                  <w:vAlign w:val="center"/>
                </w:tcPr>
                <w:p w14:paraId="4EE2CB23">
                  <w:pPr>
                    <w:jc w:val="center"/>
                    <w:rPr>
                      <w:sz w:val="18"/>
                      <w:szCs w:val="18"/>
                    </w:rPr>
                  </w:pPr>
                  <w:r>
                    <w:rPr>
                      <w:sz w:val="18"/>
                      <w:szCs w:val="18"/>
                    </w:rPr>
                    <w:t>达标情况</w:t>
                  </w:r>
                </w:p>
              </w:tc>
            </w:tr>
            <w:tr w14:paraId="5AE5512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1026" w:type="dxa"/>
                  <w:vMerge w:val="restart"/>
                  <w:vAlign w:val="center"/>
                </w:tcPr>
                <w:p w14:paraId="4F1F1254">
                  <w:pPr>
                    <w:jc w:val="center"/>
                    <w:rPr>
                      <w:sz w:val="18"/>
                      <w:szCs w:val="18"/>
                    </w:rPr>
                  </w:pPr>
                  <w:r>
                    <w:rPr>
                      <w:sz w:val="18"/>
                      <w:szCs w:val="18"/>
                    </w:rPr>
                    <w:t>南通自动监测站</w:t>
                  </w:r>
                </w:p>
              </w:tc>
              <w:tc>
                <w:tcPr>
                  <w:tcW w:w="919" w:type="dxa"/>
                  <w:vAlign w:val="center"/>
                </w:tcPr>
                <w:p w14:paraId="00ED423A">
                  <w:pPr>
                    <w:jc w:val="center"/>
                    <w:rPr>
                      <w:sz w:val="18"/>
                      <w:szCs w:val="18"/>
                    </w:rPr>
                  </w:pPr>
                  <w:r>
                    <w:rPr>
                      <w:sz w:val="18"/>
                      <w:szCs w:val="18"/>
                    </w:rPr>
                    <w:t>SO</w:t>
                  </w:r>
                  <w:r>
                    <w:rPr>
                      <w:sz w:val="18"/>
                      <w:szCs w:val="18"/>
                      <w:vertAlign w:val="subscript"/>
                    </w:rPr>
                    <w:t>2</w:t>
                  </w:r>
                </w:p>
              </w:tc>
              <w:tc>
                <w:tcPr>
                  <w:tcW w:w="2077" w:type="dxa"/>
                  <w:vAlign w:val="center"/>
                </w:tcPr>
                <w:p w14:paraId="249862A2">
                  <w:pPr>
                    <w:jc w:val="center"/>
                    <w:rPr>
                      <w:sz w:val="18"/>
                      <w:szCs w:val="18"/>
                    </w:rPr>
                  </w:pPr>
                  <w:r>
                    <w:rPr>
                      <w:sz w:val="18"/>
                      <w:szCs w:val="18"/>
                    </w:rPr>
                    <w:t>年平均</w:t>
                  </w:r>
                </w:p>
              </w:tc>
              <w:tc>
                <w:tcPr>
                  <w:tcW w:w="954" w:type="dxa"/>
                  <w:vAlign w:val="center"/>
                </w:tcPr>
                <w:p w14:paraId="28CD6732">
                  <w:pPr>
                    <w:jc w:val="center"/>
                    <w:rPr>
                      <w:sz w:val="18"/>
                      <w:szCs w:val="18"/>
                    </w:rPr>
                  </w:pPr>
                  <w:r>
                    <w:rPr>
                      <w:sz w:val="18"/>
                      <w:szCs w:val="18"/>
                    </w:rPr>
                    <w:t>60</w:t>
                  </w:r>
                </w:p>
              </w:tc>
              <w:tc>
                <w:tcPr>
                  <w:tcW w:w="975" w:type="dxa"/>
                  <w:vAlign w:val="center"/>
                </w:tcPr>
                <w:p w14:paraId="47852BB3">
                  <w:pPr>
                    <w:jc w:val="center"/>
                    <w:rPr>
                      <w:rFonts w:hint="eastAsia" w:eastAsia="宋体"/>
                      <w:sz w:val="18"/>
                      <w:szCs w:val="18"/>
                      <w:lang w:eastAsia="zh-CN"/>
                    </w:rPr>
                  </w:pPr>
                  <w:r>
                    <w:rPr>
                      <w:rFonts w:hint="eastAsia"/>
                      <w:sz w:val="18"/>
                      <w:szCs w:val="18"/>
                      <w:lang w:val="en-US" w:eastAsia="zh-CN"/>
                    </w:rPr>
                    <w:t>8</w:t>
                  </w:r>
                </w:p>
              </w:tc>
              <w:tc>
                <w:tcPr>
                  <w:tcW w:w="1144" w:type="dxa"/>
                  <w:vAlign w:val="center"/>
                </w:tcPr>
                <w:p w14:paraId="3CF15ABF">
                  <w:pPr>
                    <w:jc w:val="center"/>
                    <w:rPr>
                      <w:sz w:val="18"/>
                      <w:szCs w:val="18"/>
                    </w:rPr>
                  </w:pPr>
                  <w:r>
                    <w:rPr>
                      <w:sz w:val="18"/>
                      <w:szCs w:val="18"/>
                    </w:rPr>
                    <w:t>0</w:t>
                  </w:r>
                </w:p>
              </w:tc>
              <w:tc>
                <w:tcPr>
                  <w:tcW w:w="961" w:type="dxa"/>
                  <w:vAlign w:val="center"/>
                </w:tcPr>
                <w:p w14:paraId="18887D65">
                  <w:pPr>
                    <w:jc w:val="center"/>
                    <w:rPr>
                      <w:sz w:val="18"/>
                      <w:szCs w:val="18"/>
                    </w:rPr>
                  </w:pPr>
                  <w:r>
                    <w:rPr>
                      <w:sz w:val="18"/>
                      <w:szCs w:val="18"/>
                    </w:rPr>
                    <w:t>达标</w:t>
                  </w:r>
                </w:p>
              </w:tc>
            </w:tr>
            <w:tr w14:paraId="5977AA0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1026" w:type="dxa"/>
                  <w:vMerge w:val="continue"/>
                  <w:vAlign w:val="center"/>
                </w:tcPr>
                <w:p w14:paraId="32AEF65F">
                  <w:pPr>
                    <w:jc w:val="center"/>
                    <w:rPr>
                      <w:sz w:val="18"/>
                      <w:szCs w:val="18"/>
                    </w:rPr>
                  </w:pPr>
                </w:p>
              </w:tc>
              <w:tc>
                <w:tcPr>
                  <w:tcW w:w="919" w:type="dxa"/>
                  <w:vAlign w:val="center"/>
                </w:tcPr>
                <w:p w14:paraId="7767DBDC">
                  <w:pPr>
                    <w:jc w:val="center"/>
                    <w:rPr>
                      <w:sz w:val="18"/>
                      <w:szCs w:val="18"/>
                    </w:rPr>
                  </w:pPr>
                  <w:r>
                    <w:rPr>
                      <w:sz w:val="18"/>
                      <w:szCs w:val="18"/>
                    </w:rPr>
                    <w:t>NO</w:t>
                  </w:r>
                  <w:r>
                    <w:rPr>
                      <w:sz w:val="18"/>
                      <w:szCs w:val="18"/>
                      <w:vertAlign w:val="subscript"/>
                    </w:rPr>
                    <w:t>2</w:t>
                  </w:r>
                </w:p>
              </w:tc>
              <w:tc>
                <w:tcPr>
                  <w:tcW w:w="2077" w:type="dxa"/>
                  <w:vAlign w:val="center"/>
                </w:tcPr>
                <w:p w14:paraId="2B500675">
                  <w:pPr>
                    <w:jc w:val="center"/>
                    <w:rPr>
                      <w:sz w:val="18"/>
                      <w:szCs w:val="18"/>
                    </w:rPr>
                  </w:pPr>
                  <w:r>
                    <w:rPr>
                      <w:sz w:val="18"/>
                      <w:szCs w:val="18"/>
                    </w:rPr>
                    <w:t>年平均</w:t>
                  </w:r>
                </w:p>
              </w:tc>
              <w:tc>
                <w:tcPr>
                  <w:tcW w:w="954" w:type="dxa"/>
                  <w:vAlign w:val="center"/>
                </w:tcPr>
                <w:p w14:paraId="31C5A66A">
                  <w:pPr>
                    <w:jc w:val="center"/>
                    <w:rPr>
                      <w:sz w:val="18"/>
                      <w:szCs w:val="18"/>
                    </w:rPr>
                  </w:pPr>
                  <w:r>
                    <w:rPr>
                      <w:sz w:val="18"/>
                      <w:szCs w:val="18"/>
                    </w:rPr>
                    <w:t>40</w:t>
                  </w:r>
                </w:p>
              </w:tc>
              <w:tc>
                <w:tcPr>
                  <w:tcW w:w="975" w:type="dxa"/>
                  <w:vAlign w:val="center"/>
                </w:tcPr>
                <w:p w14:paraId="682FAE7C">
                  <w:pPr>
                    <w:jc w:val="center"/>
                    <w:rPr>
                      <w:rFonts w:hint="default" w:eastAsia="宋体"/>
                      <w:sz w:val="18"/>
                      <w:szCs w:val="18"/>
                      <w:lang w:val="en-US" w:eastAsia="zh-CN"/>
                    </w:rPr>
                  </w:pPr>
                  <w:r>
                    <w:rPr>
                      <w:rFonts w:hint="eastAsia"/>
                      <w:sz w:val="18"/>
                      <w:szCs w:val="18"/>
                      <w:lang w:val="en-US" w:eastAsia="zh-CN"/>
                    </w:rPr>
                    <w:t>21</w:t>
                  </w:r>
                </w:p>
              </w:tc>
              <w:tc>
                <w:tcPr>
                  <w:tcW w:w="1144" w:type="dxa"/>
                  <w:vAlign w:val="center"/>
                </w:tcPr>
                <w:p w14:paraId="03F08E28">
                  <w:pPr>
                    <w:jc w:val="center"/>
                    <w:rPr>
                      <w:sz w:val="18"/>
                      <w:szCs w:val="18"/>
                    </w:rPr>
                  </w:pPr>
                  <w:r>
                    <w:rPr>
                      <w:sz w:val="18"/>
                      <w:szCs w:val="18"/>
                    </w:rPr>
                    <w:t>0</w:t>
                  </w:r>
                </w:p>
              </w:tc>
              <w:tc>
                <w:tcPr>
                  <w:tcW w:w="961" w:type="dxa"/>
                  <w:vAlign w:val="center"/>
                </w:tcPr>
                <w:p w14:paraId="28DED759">
                  <w:pPr>
                    <w:jc w:val="center"/>
                    <w:rPr>
                      <w:sz w:val="18"/>
                      <w:szCs w:val="18"/>
                    </w:rPr>
                  </w:pPr>
                  <w:r>
                    <w:rPr>
                      <w:sz w:val="18"/>
                      <w:szCs w:val="18"/>
                    </w:rPr>
                    <w:t>达标</w:t>
                  </w:r>
                </w:p>
              </w:tc>
            </w:tr>
            <w:tr w14:paraId="339C77E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1026" w:type="dxa"/>
                  <w:vMerge w:val="continue"/>
                  <w:vAlign w:val="center"/>
                </w:tcPr>
                <w:p w14:paraId="5C8BDF18">
                  <w:pPr>
                    <w:jc w:val="center"/>
                    <w:rPr>
                      <w:sz w:val="18"/>
                      <w:szCs w:val="18"/>
                    </w:rPr>
                  </w:pPr>
                </w:p>
              </w:tc>
              <w:tc>
                <w:tcPr>
                  <w:tcW w:w="919" w:type="dxa"/>
                  <w:vAlign w:val="center"/>
                </w:tcPr>
                <w:p w14:paraId="3AFC6724">
                  <w:pPr>
                    <w:jc w:val="center"/>
                    <w:rPr>
                      <w:sz w:val="18"/>
                      <w:szCs w:val="18"/>
                    </w:rPr>
                  </w:pPr>
                  <w:r>
                    <w:rPr>
                      <w:sz w:val="18"/>
                      <w:szCs w:val="18"/>
                    </w:rPr>
                    <w:t>PM</w:t>
                  </w:r>
                  <w:r>
                    <w:rPr>
                      <w:sz w:val="18"/>
                      <w:szCs w:val="18"/>
                      <w:vertAlign w:val="subscript"/>
                    </w:rPr>
                    <w:t>10</w:t>
                  </w:r>
                </w:p>
              </w:tc>
              <w:tc>
                <w:tcPr>
                  <w:tcW w:w="2077" w:type="dxa"/>
                  <w:vAlign w:val="center"/>
                </w:tcPr>
                <w:p w14:paraId="0BF1D5E1">
                  <w:pPr>
                    <w:jc w:val="center"/>
                    <w:rPr>
                      <w:sz w:val="18"/>
                      <w:szCs w:val="18"/>
                    </w:rPr>
                  </w:pPr>
                  <w:r>
                    <w:rPr>
                      <w:sz w:val="18"/>
                      <w:szCs w:val="18"/>
                    </w:rPr>
                    <w:t>年平均</w:t>
                  </w:r>
                </w:p>
              </w:tc>
              <w:tc>
                <w:tcPr>
                  <w:tcW w:w="954" w:type="dxa"/>
                  <w:vAlign w:val="center"/>
                </w:tcPr>
                <w:p w14:paraId="612CBD48">
                  <w:pPr>
                    <w:jc w:val="center"/>
                    <w:rPr>
                      <w:sz w:val="18"/>
                      <w:szCs w:val="18"/>
                    </w:rPr>
                  </w:pPr>
                  <w:r>
                    <w:rPr>
                      <w:sz w:val="18"/>
                      <w:szCs w:val="18"/>
                    </w:rPr>
                    <w:t>70</w:t>
                  </w:r>
                </w:p>
              </w:tc>
              <w:tc>
                <w:tcPr>
                  <w:tcW w:w="975" w:type="dxa"/>
                  <w:vAlign w:val="center"/>
                </w:tcPr>
                <w:p w14:paraId="09142536">
                  <w:pPr>
                    <w:jc w:val="center"/>
                    <w:rPr>
                      <w:rFonts w:hint="default" w:eastAsia="宋体"/>
                      <w:sz w:val="18"/>
                      <w:szCs w:val="18"/>
                      <w:lang w:val="en-US" w:eastAsia="zh-CN"/>
                    </w:rPr>
                  </w:pPr>
                  <w:r>
                    <w:rPr>
                      <w:rFonts w:hint="eastAsia"/>
                      <w:sz w:val="18"/>
                      <w:szCs w:val="18"/>
                      <w:lang w:val="en-US" w:eastAsia="zh-CN"/>
                    </w:rPr>
                    <w:t>47</w:t>
                  </w:r>
                </w:p>
              </w:tc>
              <w:tc>
                <w:tcPr>
                  <w:tcW w:w="1144" w:type="dxa"/>
                  <w:vAlign w:val="center"/>
                </w:tcPr>
                <w:p w14:paraId="3B30267C">
                  <w:pPr>
                    <w:jc w:val="center"/>
                    <w:rPr>
                      <w:sz w:val="18"/>
                      <w:szCs w:val="18"/>
                    </w:rPr>
                  </w:pPr>
                  <w:r>
                    <w:rPr>
                      <w:sz w:val="18"/>
                      <w:szCs w:val="18"/>
                    </w:rPr>
                    <w:t>0</w:t>
                  </w:r>
                </w:p>
              </w:tc>
              <w:tc>
                <w:tcPr>
                  <w:tcW w:w="961" w:type="dxa"/>
                  <w:vAlign w:val="center"/>
                </w:tcPr>
                <w:p w14:paraId="299D6652">
                  <w:pPr>
                    <w:jc w:val="center"/>
                    <w:rPr>
                      <w:sz w:val="18"/>
                      <w:szCs w:val="18"/>
                    </w:rPr>
                  </w:pPr>
                  <w:r>
                    <w:rPr>
                      <w:sz w:val="18"/>
                      <w:szCs w:val="18"/>
                    </w:rPr>
                    <w:t>达标</w:t>
                  </w:r>
                </w:p>
              </w:tc>
            </w:tr>
            <w:tr w14:paraId="73A020C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1026" w:type="dxa"/>
                  <w:vMerge w:val="continue"/>
                  <w:vAlign w:val="center"/>
                </w:tcPr>
                <w:p w14:paraId="305B570D">
                  <w:pPr>
                    <w:jc w:val="center"/>
                    <w:rPr>
                      <w:sz w:val="18"/>
                      <w:szCs w:val="18"/>
                    </w:rPr>
                  </w:pPr>
                </w:p>
              </w:tc>
              <w:tc>
                <w:tcPr>
                  <w:tcW w:w="919" w:type="dxa"/>
                  <w:vAlign w:val="center"/>
                </w:tcPr>
                <w:p w14:paraId="26F4C8FA">
                  <w:pPr>
                    <w:jc w:val="center"/>
                    <w:rPr>
                      <w:sz w:val="18"/>
                      <w:szCs w:val="18"/>
                    </w:rPr>
                  </w:pPr>
                  <w:r>
                    <w:rPr>
                      <w:sz w:val="18"/>
                      <w:szCs w:val="18"/>
                    </w:rPr>
                    <w:t>PM</w:t>
                  </w:r>
                  <w:r>
                    <w:rPr>
                      <w:sz w:val="18"/>
                      <w:szCs w:val="18"/>
                      <w:vertAlign w:val="subscript"/>
                    </w:rPr>
                    <w:t>2.5</w:t>
                  </w:r>
                </w:p>
              </w:tc>
              <w:tc>
                <w:tcPr>
                  <w:tcW w:w="2077" w:type="dxa"/>
                  <w:vAlign w:val="center"/>
                </w:tcPr>
                <w:p w14:paraId="6E223F0B">
                  <w:pPr>
                    <w:jc w:val="center"/>
                    <w:rPr>
                      <w:sz w:val="18"/>
                      <w:szCs w:val="18"/>
                    </w:rPr>
                  </w:pPr>
                  <w:r>
                    <w:rPr>
                      <w:sz w:val="18"/>
                      <w:szCs w:val="18"/>
                    </w:rPr>
                    <w:t>年平均</w:t>
                  </w:r>
                </w:p>
              </w:tc>
              <w:tc>
                <w:tcPr>
                  <w:tcW w:w="954" w:type="dxa"/>
                  <w:vAlign w:val="center"/>
                </w:tcPr>
                <w:p w14:paraId="67D8824C">
                  <w:pPr>
                    <w:jc w:val="center"/>
                    <w:rPr>
                      <w:sz w:val="18"/>
                      <w:szCs w:val="18"/>
                    </w:rPr>
                  </w:pPr>
                  <w:r>
                    <w:rPr>
                      <w:sz w:val="18"/>
                      <w:szCs w:val="18"/>
                    </w:rPr>
                    <w:t>35</w:t>
                  </w:r>
                </w:p>
              </w:tc>
              <w:tc>
                <w:tcPr>
                  <w:tcW w:w="975" w:type="dxa"/>
                  <w:vAlign w:val="center"/>
                </w:tcPr>
                <w:p w14:paraId="32E27F70">
                  <w:pPr>
                    <w:jc w:val="center"/>
                    <w:rPr>
                      <w:rFonts w:hint="default" w:eastAsia="宋体"/>
                      <w:sz w:val="18"/>
                      <w:szCs w:val="18"/>
                      <w:lang w:val="en-US" w:eastAsia="zh-CN"/>
                    </w:rPr>
                  </w:pPr>
                  <w:r>
                    <w:rPr>
                      <w:rFonts w:hint="eastAsia"/>
                      <w:sz w:val="18"/>
                      <w:szCs w:val="18"/>
                      <w:lang w:val="en-US" w:eastAsia="zh-CN"/>
                    </w:rPr>
                    <w:t>27</w:t>
                  </w:r>
                </w:p>
              </w:tc>
              <w:tc>
                <w:tcPr>
                  <w:tcW w:w="1144" w:type="dxa"/>
                  <w:vAlign w:val="center"/>
                </w:tcPr>
                <w:p w14:paraId="445E68AE">
                  <w:pPr>
                    <w:jc w:val="center"/>
                    <w:rPr>
                      <w:sz w:val="18"/>
                      <w:szCs w:val="18"/>
                    </w:rPr>
                  </w:pPr>
                  <w:r>
                    <w:rPr>
                      <w:sz w:val="18"/>
                      <w:szCs w:val="18"/>
                    </w:rPr>
                    <w:t>0</w:t>
                  </w:r>
                </w:p>
              </w:tc>
              <w:tc>
                <w:tcPr>
                  <w:tcW w:w="961" w:type="dxa"/>
                  <w:vAlign w:val="center"/>
                </w:tcPr>
                <w:p w14:paraId="174EC4D8">
                  <w:pPr>
                    <w:jc w:val="center"/>
                    <w:rPr>
                      <w:sz w:val="18"/>
                      <w:szCs w:val="18"/>
                    </w:rPr>
                  </w:pPr>
                  <w:r>
                    <w:rPr>
                      <w:sz w:val="18"/>
                      <w:szCs w:val="18"/>
                    </w:rPr>
                    <w:t>达标</w:t>
                  </w:r>
                </w:p>
              </w:tc>
            </w:tr>
            <w:tr w14:paraId="2BE73AD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1026" w:type="dxa"/>
                  <w:vMerge w:val="continue"/>
                  <w:vAlign w:val="center"/>
                </w:tcPr>
                <w:p w14:paraId="04FDEFE3">
                  <w:pPr>
                    <w:jc w:val="center"/>
                    <w:rPr>
                      <w:sz w:val="18"/>
                      <w:szCs w:val="18"/>
                    </w:rPr>
                  </w:pPr>
                </w:p>
              </w:tc>
              <w:tc>
                <w:tcPr>
                  <w:tcW w:w="919" w:type="dxa"/>
                  <w:vAlign w:val="center"/>
                </w:tcPr>
                <w:p w14:paraId="34C44980">
                  <w:pPr>
                    <w:jc w:val="center"/>
                    <w:rPr>
                      <w:sz w:val="18"/>
                      <w:szCs w:val="18"/>
                    </w:rPr>
                  </w:pPr>
                  <w:r>
                    <w:rPr>
                      <w:sz w:val="18"/>
                      <w:szCs w:val="18"/>
                    </w:rPr>
                    <w:t>CO</w:t>
                  </w:r>
                </w:p>
              </w:tc>
              <w:tc>
                <w:tcPr>
                  <w:tcW w:w="2077" w:type="dxa"/>
                  <w:vAlign w:val="center"/>
                </w:tcPr>
                <w:p w14:paraId="5EC1EEC8">
                  <w:pPr>
                    <w:jc w:val="center"/>
                    <w:rPr>
                      <w:sz w:val="18"/>
                      <w:szCs w:val="18"/>
                    </w:rPr>
                  </w:pPr>
                  <w:r>
                    <w:rPr>
                      <w:sz w:val="18"/>
                      <w:szCs w:val="18"/>
                    </w:rPr>
                    <w:t>年平均第95百分位数</w:t>
                  </w:r>
                </w:p>
              </w:tc>
              <w:tc>
                <w:tcPr>
                  <w:tcW w:w="954" w:type="dxa"/>
                  <w:vAlign w:val="center"/>
                </w:tcPr>
                <w:p w14:paraId="34DB7759">
                  <w:pPr>
                    <w:jc w:val="center"/>
                    <w:rPr>
                      <w:sz w:val="18"/>
                      <w:szCs w:val="18"/>
                    </w:rPr>
                  </w:pPr>
                  <w:r>
                    <w:rPr>
                      <w:sz w:val="18"/>
                      <w:szCs w:val="18"/>
                    </w:rPr>
                    <w:t>4mg/m</w:t>
                  </w:r>
                  <w:r>
                    <w:rPr>
                      <w:sz w:val="18"/>
                      <w:szCs w:val="18"/>
                      <w:vertAlign w:val="superscript"/>
                    </w:rPr>
                    <w:t>3</w:t>
                  </w:r>
                </w:p>
              </w:tc>
              <w:tc>
                <w:tcPr>
                  <w:tcW w:w="975" w:type="dxa"/>
                  <w:vAlign w:val="center"/>
                </w:tcPr>
                <w:p w14:paraId="17006EEA">
                  <w:pPr>
                    <w:jc w:val="center"/>
                    <w:rPr>
                      <w:sz w:val="18"/>
                      <w:szCs w:val="18"/>
                    </w:rPr>
                  </w:pPr>
                  <w:r>
                    <w:rPr>
                      <w:sz w:val="18"/>
                      <w:szCs w:val="18"/>
                    </w:rPr>
                    <w:t>1mg/m</w:t>
                  </w:r>
                  <w:r>
                    <w:rPr>
                      <w:sz w:val="18"/>
                      <w:szCs w:val="18"/>
                      <w:vertAlign w:val="superscript"/>
                    </w:rPr>
                    <w:t>3</w:t>
                  </w:r>
                </w:p>
              </w:tc>
              <w:tc>
                <w:tcPr>
                  <w:tcW w:w="1144" w:type="dxa"/>
                  <w:vAlign w:val="center"/>
                </w:tcPr>
                <w:p w14:paraId="2D8AC851">
                  <w:pPr>
                    <w:jc w:val="center"/>
                    <w:rPr>
                      <w:sz w:val="18"/>
                      <w:szCs w:val="18"/>
                    </w:rPr>
                  </w:pPr>
                  <w:r>
                    <w:rPr>
                      <w:sz w:val="18"/>
                      <w:szCs w:val="18"/>
                    </w:rPr>
                    <w:t>0</w:t>
                  </w:r>
                </w:p>
              </w:tc>
              <w:tc>
                <w:tcPr>
                  <w:tcW w:w="961" w:type="dxa"/>
                  <w:vAlign w:val="center"/>
                </w:tcPr>
                <w:p w14:paraId="13E99CFB">
                  <w:pPr>
                    <w:jc w:val="center"/>
                    <w:rPr>
                      <w:sz w:val="18"/>
                      <w:szCs w:val="18"/>
                    </w:rPr>
                  </w:pPr>
                  <w:r>
                    <w:rPr>
                      <w:sz w:val="18"/>
                      <w:szCs w:val="18"/>
                    </w:rPr>
                    <w:t>达标</w:t>
                  </w:r>
                </w:p>
              </w:tc>
            </w:tr>
            <w:tr w14:paraId="6712395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026" w:type="dxa"/>
                  <w:vMerge w:val="continue"/>
                  <w:vAlign w:val="center"/>
                </w:tcPr>
                <w:p w14:paraId="55FCD654">
                  <w:pPr>
                    <w:jc w:val="center"/>
                    <w:rPr>
                      <w:sz w:val="18"/>
                      <w:szCs w:val="18"/>
                    </w:rPr>
                  </w:pPr>
                </w:p>
              </w:tc>
              <w:tc>
                <w:tcPr>
                  <w:tcW w:w="919" w:type="dxa"/>
                  <w:vAlign w:val="center"/>
                </w:tcPr>
                <w:p w14:paraId="546C545D">
                  <w:pPr>
                    <w:jc w:val="center"/>
                    <w:rPr>
                      <w:sz w:val="18"/>
                      <w:szCs w:val="18"/>
                    </w:rPr>
                  </w:pPr>
                  <w:r>
                    <w:rPr>
                      <w:sz w:val="18"/>
                      <w:szCs w:val="18"/>
                    </w:rPr>
                    <w:t>O</w:t>
                  </w:r>
                  <w:r>
                    <w:rPr>
                      <w:sz w:val="18"/>
                      <w:szCs w:val="18"/>
                      <w:vertAlign w:val="subscript"/>
                    </w:rPr>
                    <w:t>3</w:t>
                  </w:r>
                </w:p>
              </w:tc>
              <w:tc>
                <w:tcPr>
                  <w:tcW w:w="2077" w:type="dxa"/>
                  <w:vAlign w:val="center"/>
                </w:tcPr>
                <w:p w14:paraId="786B6401">
                  <w:pPr>
                    <w:jc w:val="center"/>
                    <w:rPr>
                      <w:sz w:val="18"/>
                      <w:szCs w:val="18"/>
                    </w:rPr>
                  </w:pPr>
                  <w:r>
                    <w:rPr>
                      <w:sz w:val="18"/>
                      <w:szCs w:val="18"/>
                    </w:rPr>
                    <w:t>日最大8小时滑动平均值的第90百分位数</w:t>
                  </w:r>
                </w:p>
              </w:tc>
              <w:tc>
                <w:tcPr>
                  <w:tcW w:w="954" w:type="dxa"/>
                  <w:vAlign w:val="center"/>
                </w:tcPr>
                <w:p w14:paraId="33426DA7">
                  <w:pPr>
                    <w:jc w:val="center"/>
                    <w:rPr>
                      <w:sz w:val="18"/>
                      <w:szCs w:val="18"/>
                    </w:rPr>
                  </w:pPr>
                  <w:r>
                    <w:rPr>
                      <w:sz w:val="18"/>
                      <w:szCs w:val="18"/>
                    </w:rPr>
                    <w:t>160</w:t>
                  </w:r>
                </w:p>
              </w:tc>
              <w:tc>
                <w:tcPr>
                  <w:tcW w:w="975" w:type="dxa"/>
                  <w:vAlign w:val="center"/>
                </w:tcPr>
                <w:p w14:paraId="19825472">
                  <w:pPr>
                    <w:jc w:val="center"/>
                    <w:rPr>
                      <w:rFonts w:hint="default" w:eastAsia="宋体"/>
                      <w:sz w:val="18"/>
                      <w:szCs w:val="18"/>
                      <w:lang w:val="en-US" w:eastAsia="zh-CN"/>
                    </w:rPr>
                  </w:pPr>
                  <w:r>
                    <w:rPr>
                      <w:rFonts w:hint="eastAsia"/>
                      <w:sz w:val="18"/>
                      <w:szCs w:val="18"/>
                      <w:lang w:val="en-US" w:eastAsia="zh-CN"/>
                    </w:rPr>
                    <w:t>165</w:t>
                  </w:r>
                </w:p>
              </w:tc>
              <w:tc>
                <w:tcPr>
                  <w:tcW w:w="1144" w:type="dxa"/>
                  <w:vAlign w:val="center"/>
                </w:tcPr>
                <w:p w14:paraId="6EBC7A3D">
                  <w:pPr>
                    <w:jc w:val="center"/>
                    <w:rPr>
                      <w:rFonts w:hint="default" w:eastAsia="宋体"/>
                      <w:sz w:val="18"/>
                      <w:szCs w:val="18"/>
                      <w:lang w:val="en-US" w:eastAsia="zh-CN"/>
                    </w:rPr>
                  </w:pPr>
                  <w:r>
                    <w:rPr>
                      <w:rFonts w:hint="eastAsia"/>
                      <w:sz w:val="18"/>
                      <w:szCs w:val="18"/>
                      <w:lang w:val="en-US" w:eastAsia="zh-CN"/>
                    </w:rPr>
                    <w:t>0.0313</w:t>
                  </w:r>
                </w:p>
              </w:tc>
              <w:tc>
                <w:tcPr>
                  <w:tcW w:w="961" w:type="dxa"/>
                  <w:vAlign w:val="center"/>
                </w:tcPr>
                <w:p w14:paraId="0B6D7C30">
                  <w:pPr>
                    <w:jc w:val="center"/>
                    <w:rPr>
                      <w:sz w:val="18"/>
                      <w:szCs w:val="18"/>
                    </w:rPr>
                  </w:pPr>
                  <w:r>
                    <w:rPr>
                      <w:sz w:val="18"/>
                      <w:szCs w:val="18"/>
                    </w:rPr>
                    <w:t>超标</w:t>
                  </w:r>
                </w:p>
              </w:tc>
            </w:tr>
          </w:tbl>
          <w:p w14:paraId="72E7B679">
            <w:pPr>
              <w:spacing w:line="480" w:lineRule="exact"/>
              <w:ind w:firstLine="508"/>
              <w:rPr>
                <w:rFonts w:hint="eastAsia" w:eastAsia="Times New Roman"/>
                <w:spacing w:val="-4"/>
                <w:szCs w:val="21"/>
              </w:rPr>
            </w:pPr>
            <w:r>
              <w:rPr>
                <w:spacing w:val="-4"/>
                <w:szCs w:val="21"/>
              </w:rPr>
              <w:t>由表</w:t>
            </w:r>
            <w:r>
              <w:rPr>
                <w:rFonts w:eastAsia="Times New Roman"/>
                <w:spacing w:val="-4"/>
                <w:szCs w:val="21"/>
              </w:rPr>
              <w:t>3-1</w:t>
            </w:r>
            <w:r>
              <w:rPr>
                <w:spacing w:val="-4"/>
                <w:szCs w:val="21"/>
              </w:rPr>
              <w:t>可知，</w:t>
            </w:r>
            <w:r>
              <w:rPr>
                <w:rFonts w:hint="eastAsia" w:eastAsia="Times New Roman"/>
                <w:spacing w:val="-4"/>
                <w:szCs w:val="21"/>
              </w:rPr>
              <w:t>除臭氧外，其余各污染物基本因子均可满足《环境空气质量标准</w:t>
            </w:r>
            <w:r>
              <w:rPr>
                <w:rFonts w:hint="eastAsia"/>
                <w:spacing w:val="-4"/>
                <w:szCs w:val="21"/>
              </w:rPr>
              <w:t>》（</w:t>
            </w:r>
            <w:r>
              <w:rPr>
                <w:rFonts w:hint="eastAsia" w:eastAsia="Times New Roman"/>
                <w:spacing w:val="-4"/>
                <w:szCs w:val="21"/>
              </w:rPr>
              <w:t>GB3095-2012</w:t>
            </w:r>
            <w:r>
              <w:rPr>
                <w:rFonts w:hint="eastAsia"/>
                <w:spacing w:val="-4"/>
                <w:szCs w:val="21"/>
              </w:rPr>
              <w:t>）</w:t>
            </w:r>
            <w:r>
              <w:rPr>
                <w:rFonts w:hint="eastAsia" w:eastAsia="Times New Roman"/>
                <w:spacing w:val="-4"/>
                <w:szCs w:val="21"/>
              </w:rPr>
              <w:t>中二级标准</w:t>
            </w:r>
            <w:r>
              <w:rPr>
                <w:rFonts w:hint="eastAsia"/>
                <w:spacing w:val="-4"/>
                <w:szCs w:val="21"/>
              </w:rPr>
              <w:t>，</w:t>
            </w:r>
            <w:r>
              <w:rPr>
                <w:rFonts w:hint="eastAsia" w:eastAsia="Times New Roman"/>
                <w:spacing w:val="-4"/>
                <w:szCs w:val="21"/>
              </w:rPr>
              <w:t>臭氧现状浓度</w:t>
            </w:r>
            <w:r>
              <w:rPr>
                <w:rFonts w:hint="eastAsia" w:eastAsia="宋体"/>
                <w:spacing w:val="-4"/>
                <w:szCs w:val="21"/>
                <w:lang w:eastAsia="zh-CN"/>
              </w:rPr>
              <w:t>超过</w:t>
            </w:r>
            <w:r>
              <w:rPr>
                <w:rFonts w:hint="eastAsia"/>
                <w:spacing w:val="-4"/>
                <w:szCs w:val="21"/>
              </w:rPr>
              <w:t>《</w:t>
            </w:r>
            <w:r>
              <w:rPr>
                <w:rFonts w:hint="eastAsia" w:eastAsia="Times New Roman"/>
                <w:spacing w:val="-4"/>
                <w:szCs w:val="21"/>
              </w:rPr>
              <w:t>环境空气质量标准</w:t>
            </w:r>
            <w:r>
              <w:rPr>
                <w:rFonts w:hint="eastAsia"/>
                <w:spacing w:val="-4"/>
                <w:szCs w:val="21"/>
              </w:rPr>
              <w:t>》（</w:t>
            </w:r>
            <w:r>
              <w:rPr>
                <w:rFonts w:hint="eastAsia" w:eastAsia="Times New Roman"/>
                <w:spacing w:val="-4"/>
                <w:szCs w:val="21"/>
              </w:rPr>
              <w:t>GB3095-2012</w:t>
            </w:r>
            <w:r>
              <w:rPr>
                <w:rFonts w:hint="eastAsia"/>
                <w:spacing w:val="-4"/>
                <w:szCs w:val="21"/>
              </w:rPr>
              <w:t>）</w:t>
            </w:r>
            <w:r>
              <w:rPr>
                <w:rFonts w:hint="eastAsia" w:eastAsia="Times New Roman"/>
                <w:spacing w:val="-4"/>
                <w:szCs w:val="21"/>
              </w:rPr>
              <w:t>中二级标准。因此判定项目所在区域属于不达标区。根据《南通市2024年大气污染防治工作计划》中的污染防治计划：①以“减煤、汰后、控车、治污和抑尘”为工作重点，坚持项目化减排，排定治气重点工程项目。①坚决遏制高耗能、高排放、低水平项目盲目上马，对不符合要求的“两高一低”项目，坚决停批停建，依法依规淘汰落后产能。在推进产业绿色转型升级方面，健全节能标准体系，深入开展重点行业绿色制造和强制性清洁生产审核。②优化能源结构，加速能源清洁低碳高效发展。对于煤炭消费总量进行严格控制，有序淘汰煤电落后产能，有序推进以电代煤，积极稳妥推进以气代煤。</w:t>
            </w:r>
          </w:p>
          <w:p w14:paraId="0B2E65F5">
            <w:pPr>
              <w:pStyle w:val="2"/>
              <w:keepNext w:val="0"/>
              <w:keepLines w:val="0"/>
              <w:pageBreakBefore w:val="0"/>
              <w:kinsoku/>
              <w:wordWrap/>
              <w:overflowPunct/>
              <w:topLinePunct w:val="0"/>
              <w:autoSpaceDE/>
              <w:autoSpaceDN/>
              <w:bidi w:val="0"/>
              <w:adjustRightInd/>
              <w:snapToGrid/>
              <w:spacing w:after="0" w:line="500" w:lineRule="exact"/>
              <w:ind w:left="0" w:right="0" w:firstLine="444" w:firstLineChars="200"/>
              <w:textAlignment w:val="auto"/>
              <w:rPr>
                <w:rFonts w:hint="default" w:ascii="Times New Roman" w:hAnsi="Times New Roman" w:eastAsia="宋体" w:cs="Times New Roman"/>
                <w:spacing w:val="7"/>
                <w:sz w:val="21"/>
                <w:szCs w:val="21"/>
              </w:rPr>
            </w:pPr>
            <w:r>
              <w:rPr>
                <w:rFonts w:hint="default" w:ascii="Times New Roman" w:hAnsi="Times New Roman" w:eastAsia="宋体" w:cs="Times New Roman"/>
                <w:spacing w:val="6"/>
                <w:sz w:val="21"/>
                <w:szCs w:val="21"/>
              </w:rPr>
              <w:t>本</w:t>
            </w:r>
            <w:r>
              <w:rPr>
                <w:rFonts w:hint="default" w:ascii="Times New Roman" w:hAnsi="Times New Roman" w:eastAsia="宋体" w:cs="Times New Roman"/>
                <w:spacing w:val="4"/>
                <w:sz w:val="21"/>
                <w:szCs w:val="21"/>
              </w:rPr>
              <w:t>项</w:t>
            </w:r>
            <w:r>
              <w:rPr>
                <w:rFonts w:hint="default" w:ascii="Times New Roman" w:hAnsi="Times New Roman" w:eastAsia="宋体" w:cs="Times New Roman"/>
                <w:spacing w:val="3"/>
                <w:sz w:val="21"/>
                <w:szCs w:val="21"/>
              </w:rPr>
              <w:t>目特征因子为非甲烷总烃，不属于《环境空气质量标准》 (</w:t>
            </w:r>
            <w:r>
              <w:rPr>
                <w:rFonts w:hint="default" w:ascii="Times New Roman" w:hAnsi="Times New Roman" w:eastAsia="Times New Roman" w:cs="Times New Roman"/>
                <w:sz w:val="21"/>
                <w:szCs w:val="21"/>
              </w:rPr>
              <w:t>GB</w:t>
            </w:r>
            <w:r>
              <w:rPr>
                <w:rFonts w:hint="default" w:ascii="Times New Roman" w:hAnsi="Times New Roman" w:eastAsia="Times New Roman" w:cs="Times New Roman"/>
                <w:spacing w:val="3"/>
                <w:sz w:val="21"/>
                <w:szCs w:val="21"/>
              </w:rPr>
              <w:t>3095-2012</w:t>
            </w:r>
            <w:r>
              <w:rPr>
                <w:rFonts w:hint="default" w:ascii="Times New Roman" w:hAnsi="Times New Roman" w:eastAsia="宋体" w:cs="Times New Roman"/>
                <w:spacing w:val="3"/>
                <w:sz w:val="21"/>
                <w:szCs w:val="21"/>
              </w:rPr>
              <w:t>)</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2"/>
                <w:sz w:val="21"/>
                <w:szCs w:val="21"/>
              </w:rPr>
              <w:t>中</w:t>
            </w:r>
            <w:r>
              <w:rPr>
                <w:rFonts w:hint="default" w:ascii="Times New Roman" w:hAnsi="Times New Roman" w:eastAsia="宋体" w:cs="Times New Roman"/>
                <w:spacing w:val="7"/>
                <w:sz w:val="21"/>
                <w:szCs w:val="21"/>
              </w:rPr>
              <w:t>所列因子，不进行达标情况分析。</w:t>
            </w:r>
          </w:p>
          <w:p w14:paraId="2C765565">
            <w:pPr>
              <w:widowControl/>
              <w:spacing w:line="500" w:lineRule="exact"/>
              <w:ind w:firstLine="422" w:firstLineChars="200"/>
              <w:jc w:val="left"/>
              <w:rPr>
                <w:szCs w:val="21"/>
              </w:rPr>
            </w:pPr>
            <w:r>
              <w:rPr>
                <w:b/>
                <w:bCs/>
                <w:color w:val="000000"/>
                <w:kern w:val="0"/>
                <w:szCs w:val="21"/>
                <w:lang w:bidi="ar"/>
              </w:rPr>
              <w:t>2、地表水环境质量现状</w:t>
            </w:r>
          </w:p>
          <w:p w14:paraId="53C94D0E">
            <w:pPr>
              <w:keepNext w:val="0"/>
              <w:keepLines w:val="0"/>
              <w:pageBreakBefore w:val="0"/>
              <w:widowControl/>
              <w:suppressLineNumbers w:val="0"/>
              <w:kinsoku/>
              <w:wordWrap/>
              <w:overflowPunct/>
              <w:topLinePunct w:val="0"/>
              <w:autoSpaceDE/>
              <w:autoSpaceDN/>
              <w:bidi w:val="0"/>
              <w:adjustRightInd/>
              <w:snapToGrid/>
              <w:spacing w:line="500" w:lineRule="exact"/>
              <w:ind w:left="0" w:right="0" w:firstLine="420" w:firstLineChars="200"/>
              <w:jc w:val="left"/>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本项目</w:t>
            </w:r>
            <w:r>
              <w:rPr>
                <w:rFonts w:hint="eastAsia" w:cs="Times New Roman"/>
                <w:color w:val="auto"/>
                <w:kern w:val="0"/>
                <w:sz w:val="21"/>
                <w:szCs w:val="21"/>
                <w:lang w:val="en-US" w:eastAsia="zh-CN" w:bidi="ar"/>
              </w:rPr>
              <w:t>雨水接纳河流为周边小河</w:t>
            </w:r>
            <w:r>
              <w:rPr>
                <w:rFonts w:hint="default" w:ascii="Times New Roman" w:hAnsi="Times New Roman" w:eastAsia="宋体" w:cs="Times New Roman"/>
                <w:color w:val="auto"/>
                <w:kern w:val="0"/>
                <w:sz w:val="21"/>
                <w:szCs w:val="21"/>
                <w:lang w:val="en-US" w:eastAsia="zh-CN" w:bidi="ar"/>
              </w:rPr>
              <w:t>，污水</w:t>
            </w:r>
            <w:r>
              <w:rPr>
                <w:rFonts w:hint="eastAsia" w:cs="Times New Roman"/>
                <w:color w:val="auto"/>
                <w:kern w:val="0"/>
                <w:sz w:val="21"/>
                <w:szCs w:val="21"/>
                <w:lang w:val="en-US" w:eastAsia="zh-CN" w:bidi="ar"/>
              </w:rPr>
              <w:t>纳污河流为长江</w:t>
            </w:r>
            <w:r>
              <w:rPr>
                <w:rFonts w:hint="default" w:ascii="Times New Roman" w:hAnsi="Times New Roman" w:eastAsia="宋体" w:cs="Times New Roman"/>
                <w:color w:val="auto"/>
                <w:kern w:val="0"/>
                <w:sz w:val="21"/>
                <w:szCs w:val="21"/>
                <w:lang w:val="en-US" w:eastAsia="zh-CN" w:bidi="ar"/>
              </w:rPr>
              <w:t>。</w:t>
            </w:r>
          </w:p>
          <w:p w14:paraId="68CB2BD0">
            <w:pPr>
              <w:widowControl/>
              <w:spacing w:line="500" w:lineRule="exact"/>
              <w:ind w:firstLine="420" w:firstLineChars="200"/>
              <w:jc w:val="left"/>
              <w:rPr>
                <w:rFonts w:hint="eastAsia"/>
                <w:kern w:val="0"/>
                <w:szCs w:val="21"/>
                <w:lang w:bidi="ar"/>
              </w:rPr>
            </w:pPr>
            <w:r>
              <w:rPr>
                <w:rFonts w:hint="eastAsia"/>
                <w:color w:val="000000"/>
                <w:kern w:val="0"/>
                <w:szCs w:val="21"/>
                <w:lang w:eastAsia="zh-CN" w:bidi="ar"/>
              </w:rPr>
              <w:t>项目雨水</w:t>
            </w:r>
            <w:r>
              <w:rPr>
                <w:color w:val="000000"/>
                <w:kern w:val="0"/>
                <w:szCs w:val="21"/>
                <w:lang w:bidi="ar"/>
              </w:rPr>
              <w:t>根据《202</w:t>
            </w:r>
            <w:r>
              <w:rPr>
                <w:rFonts w:hint="eastAsia"/>
                <w:color w:val="000000"/>
                <w:kern w:val="0"/>
                <w:szCs w:val="21"/>
                <w:lang w:val="en-US" w:eastAsia="zh-CN" w:bidi="ar"/>
              </w:rPr>
              <w:t>3</w:t>
            </w:r>
            <w:r>
              <w:rPr>
                <w:color w:val="000000"/>
                <w:kern w:val="0"/>
                <w:szCs w:val="21"/>
                <w:lang w:bidi="ar"/>
              </w:rPr>
              <w:t>年度南通市生态环境状况公报》</w:t>
            </w:r>
            <w:r>
              <w:rPr>
                <w:rFonts w:hint="eastAsia"/>
                <w:color w:val="000000"/>
                <w:kern w:val="0"/>
                <w:szCs w:val="21"/>
                <w:lang w:bidi="ar"/>
              </w:rPr>
              <w:t>，</w:t>
            </w:r>
            <w:r>
              <w:rPr>
                <w:rFonts w:hint="eastAsia"/>
                <w:kern w:val="0"/>
                <w:szCs w:val="21"/>
                <w:lang w:bidi="ar"/>
              </w:rPr>
              <w:t>南通市共有16个国家考核断面，均达到或优于《地表水环境质量标准》（GB3838-2002）Ⅲ类标准。55个省考以上断面中，碾砣港闸、聚南大桥、营船港闸、通吕二号桥等19个断面水质符合Ⅱ类标准，孙窑大桥、嫩江路桥、新江海河桥、团结新大桥等36个断面水质符合Ⅲ类标准，优Ⅲ类比例100%，高于省定98.2%的考核标准；无Ⅴ类和劣Ⅴ类断面。</w:t>
            </w:r>
          </w:p>
          <w:p w14:paraId="28081267">
            <w:pPr>
              <w:widowControl/>
              <w:spacing w:line="500" w:lineRule="exact"/>
              <w:ind w:firstLine="420" w:firstLineChars="200"/>
              <w:jc w:val="left"/>
              <w:rPr>
                <w:kern w:val="0"/>
                <w:szCs w:val="21"/>
                <w:lang w:bidi="ar"/>
              </w:rPr>
            </w:pPr>
            <w:r>
              <w:rPr>
                <w:rFonts w:hint="eastAsia"/>
                <w:kern w:val="0"/>
                <w:szCs w:val="21"/>
                <w:lang w:bidi="ar"/>
              </w:rPr>
              <w:t>2.1 饮用水源</w:t>
            </w:r>
          </w:p>
          <w:p w14:paraId="7A5BADF9">
            <w:pPr>
              <w:widowControl/>
              <w:spacing w:line="500" w:lineRule="exact"/>
              <w:ind w:firstLine="420" w:firstLineChars="200"/>
              <w:jc w:val="left"/>
              <w:rPr>
                <w:rFonts w:hint="eastAsia"/>
                <w:kern w:val="0"/>
                <w:szCs w:val="21"/>
                <w:lang w:bidi="ar"/>
              </w:rPr>
            </w:pPr>
            <w:r>
              <w:rPr>
                <w:rFonts w:hint="eastAsia"/>
                <w:kern w:val="0"/>
                <w:szCs w:val="21"/>
                <w:lang w:bidi="ar"/>
              </w:rPr>
              <w:t>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6.03亿吨，饮用水源地水质达标率均为100%。</w:t>
            </w:r>
          </w:p>
          <w:p w14:paraId="7D9C09B8">
            <w:pPr>
              <w:widowControl/>
              <w:spacing w:line="500" w:lineRule="exact"/>
              <w:ind w:firstLine="420" w:firstLineChars="200"/>
              <w:jc w:val="left"/>
              <w:rPr>
                <w:kern w:val="0"/>
                <w:szCs w:val="21"/>
                <w:lang w:bidi="ar"/>
              </w:rPr>
            </w:pPr>
            <w:r>
              <w:rPr>
                <w:rFonts w:hint="eastAsia"/>
                <w:kern w:val="0"/>
                <w:szCs w:val="21"/>
                <w:lang w:bidi="ar"/>
              </w:rPr>
              <w:t>2.2 长江（南通段）水质</w:t>
            </w:r>
          </w:p>
          <w:p w14:paraId="5758FB17">
            <w:pPr>
              <w:widowControl/>
              <w:spacing w:line="500" w:lineRule="exact"/>
              <w:ind w:firstLine="420" w:firstLineChars="200"/>
              <w:jc w:val="left"/>
              <w:rPr>
                <w:rFonts w:hint="eastAsia"/>
                <w:kern w:val="0"/>
                <w:szCs w:val="21"/>
                <w:lang w:bidi="ar"/>
              </w:rPr>
            </w:pPr>
            <w:r>
              <w:rPr>
                <w:rFonts w:hint="eastAsia"/>
                <w:kern w:val="0"/>
                <w:szCs w:val="21"/>
                <w:lang w:bidi="ar"/>
              </w:rPr>
              <w:t>长江（南通段）水质为Ⅱ类，水质优良。其中，姚港（左岸）、团结闸（左岸）、小李港（左岸）断面水质保持Ⅱ类。</w:t>
            </w:r>
          </w:p>
          <w:p w14:paraId="306178D2">
            <w:pPr>
              <w:widowControl/>
              <w:spacing w:line="500" w:lineRule="exact"/>
              <w:ind w:firstLine="420" w:firstLineChars="200"/>
              <w:jc w:val="left"/>
              <w:rPr>
                <w:kern w:val="0"/>
                <w:szCs w:val="21"/>
                <w:lang w:bidi="ar"/>
              </w:rPr>
            </w:pPr>
            <w:r>
              <w:rPr>
                <w:rFonts w:hint="eastAsia"/>
                <w:kern w:val="0"/>
                <w:szCs w:val="21"/>
                <w:lang w:bidi="ar"/>
              </w:rPr>
              <w:t>2.3 内河水质</w:t>
            </w:r>
          </w:p>
          <w:p w14:paraId="617CC447">
            <w:pPr>
              <w:widowControl/>
              <w:spacing w:line="500" w:lineRule="exact"/>
              <w:ind w:firstLine="420" w:firstLineChars="200"/>
              <w:jc w:val="left"/>
              <w:rPr>
                <w:rFonts w:hint="eastAsia"/>
                <w:kern w:val="0"/>
                <w:szCs w:val="21"/>
                <w:lang w:bidi="ar"/>
              </w:rPr>
            </w:pPr>
            <w:r>
              <w:rPr>
                <w:rFonts w:hint="eastAsia"/>
                <w:kern w:val="0"/>
                <w:szCs w:val="21"/>
                <w:lang w:bidi="ar"/>
              </w:rPr>
              <w:t>南通市境内主要内河中，焦港河、通吕运河、如海运河、九圩港河、通启运河、新江海河、通扬运河、新通扬运河、栟茶运河、北凌河、如泰运河、遥望港水质基本达到Ⅲ类标准。</w:t>
            </w:r>
          </w:p>
          <w:p w14:paraId="29CBC61B">
            <w:pPr>
              <w:widowControl/>
              <w:spacing w:line="500" w:lineRule="exact"/>
              <w:ind w:firstLine="420" w:firstLineChars="200"/>
              <w:jc w:val="left"/>
              <w:rPr>
                <w:kern w:val="0"/>
                <w:szCs w:val="21"/>
                <w:lang w:bidi="ar"/>
              </w:rPr>
            </w:pPr>
            <w:r>
              <w:rPr>
                <w:rFonts w:hint="eastAsia"/>
                <w:kern w:val="0"/>
                <w:szCs w:val="21"/>
                <w:lang w:bidi="ar"/>
              </w:rPr>
              <w:t>2.4 城区主要河流</w:t>
            </w:r>
          </w:p>
          <w:p w14:paraId="75037F3B">
            <w:pPr>
              <w:widowControl/>
              <w:spacing w:line="500" w:lineRule="exact"/>
              <w:ind w:firstLine="420" w:firstLineChars="200"/>
              <w:jc w:val="left"/>
              <w:rPr>
                <w:rFonts w:hint="eastAsia" w:eastAsia="宋体"/>
                <w:kern w:val="0"/>
                <w:szCs w:val="21"/>
                <w:lang w:eastAsia="zh-CN" w:bidi="ar"/>
              </w:rPr>
            </w:pPr>
            <w:r>
              <w:rPr>
                <w:rFonts w:hint="eastAsia"/>
                <w:kern w:val="0"/>
                <w:szCs w:val="21"/>
                <w:lang w:bidi="ar"/>
              </w:rPr>
              <w:t>市区濠河水质总体达到地表水Ⅲ类标准，水质良好；各县（市、区）城区水质在地表水Ⅲ～Ⅳ类之间波动</w:t>
            </w:r>
            <w:r>
              <w:rPr>
                <w:rFonts w:hint="eastAsia"/>
                <w:kern w:val="0"/>
                <w:szCs w:val="21"/>
                <w:lang w:eastAsia="zh-CN" w:bidi="ar"/>
              </w:rPr>
              <w:t>。</w:t>
            </w:r>
          </w:p>
          <w:p w14:paraId="6BBD9139">
            <w:pPr>
              <w:widowControl/>
              <w:spacing w:line="500" w:lineRule="exact"/>
              <w:ind w:firstLine="420" w:firstLineChars="200"/>
              <w:jc w:val="left"/>
              <w:rPr>
                <w:szCs w:val="21"/>
              </w:rPr>
            </w:pPr>
            <w:r>
              <w:rPr>
                <w:color w:val="000000"/>
                <w:kern w:val="0"/>
                <w:szCs w:val="21"/>
                <w:lang w:bidi="ar"/>
              </w:rPr>
              <w:t>根据《南通市“十四五”生态环境保护规划》第四节“坚持三水统筹，巩固提升水环境质量”：以水环境质量持续改善为目标，优化实施以控制断面和水功能区相结合为基础的地表水环境质量目标管理。深入推进河（湖）长制、断面长制，压实压紧河（湖）长制工作责任链条，优化河（湖）长设置，以发现问题、处理问题为导向，切实提升水质改善成效。在确保防洪排涝安全的前提下，强化汛期劣质水管控，防范汛期水环境恶化。到2025年，水生态系统功能逐步恢复，水资源、水生态、水环境统筹推进格局基本形成，全市省考及以上断面优Ⅲ比例确保90% 以上、力争达到100%。</w:t>
            </w:r>
          </w:p>
          <w:p w14:paraId="242CB640">
            <w:pPr>
              <w:widowControl/>
              <w:spacing w:line="500" w:lineRule="exact"/>
              <w:ind w:firstLine="420" w:firstLineChars="200"/>
              <w:jc w:val="left"/>
              <w:rPr>
                <w:szCs w:val="21"/>
              </w:rPr>
            </w:pPr>
            <w:r>
              <w:rPr>
                <w:color w:val="000000"/>
                <w:kern w:val="0"/>
                <w:szCs w:val="21"/>
                <w:lang w:bidi="ar"/>
              </w:rPr>
              <w:t>深入推进工业企业排水整治。推进化工、印染、电镀等行业废水治理。加快实施“一园一档”，提高工业园区（集聚区）污水处理水平，加快推进工业废水和生活污水分类收集、分质处理。积极推进工业园区（集中区）污染物排放限值限量管理试点，在常安纺织产业园、通州湾示范区现代纺织产业园、如东产业园等3个园区开展基于水生态环境质量的排污许可量核定试点研究，实现主要污染物排放浓度和总量“双管控”，结合区域水环境质量改善情况，核定并动态调整园区许可排放量。加强特征水污染物监管，建立重点园区有毒有害水污染物名录，严格监控重金属、抗生素、持久性有机毒物和内分泌干扰物等有毒有害物质。全面巩固提升建成区黑臭水体治理成果。在巩固建成区黑臭水体整治的基础上，做好已完成整治的城市黑臭水体长效管理，开展整治效果评估工作，继续实施水质监督检测，强化河道巡查和管养，做好水面岸坡的清理保洁、排口的动态管控治理和活水保质，确保污水不入河、黑臭不反弹。到2021年底，市区建成区水体主要水质指标达到或优于Ⅴ类标准，县（市、区）城市建成区基本消除黑臭水体。</w:t>
            </w:r>
          </w:p>
          <w:p w14:paraId="4E1EF3A3">
            <w:pPr>
              <w:widowControl/>
              <w:spacing w:line="500" w:lineRule="exact"/>
              <w:ind w:firstLine="420" w:firstLineChars="200"/>
              <w:jc w:val="left"/>
              <w:rPr>
                <w:szCs w:val="21"/>
              </w:rPr>
            </w:pPr>
            <w:r>
              <w:rPr>
                <w:color w:val="000000"/>
                <w:kern w:val="0"/>
                <w:szCs w:val="21"/>
                <w:lang w:bidi="ar"/>
              </w:rPr>
              <w:t>实施港口船舶污染综合整治。加强港口码头和船舶修造厂等的绿色岸电、环卫设施、污水处理设施、船舶污染物接收转运及处置设施建设，落实港口船舶污染物接收、转运、处置联合监管机制，加快建立船舶污染物“船－港－城”一体化处理模式。配置完善渔港垃圾收集和转运设施，及时收集、清理、转运并处置渔港</w:t>
            </w:r>
            <w:r>
              <w:rPr>
                <w:rFonts w:hint="eastAsia"/>
                <w:color w:val="000000"/>
                <w:kern w:val="0"/>
                <w:szCs w:val="21"/>
                <w:lang w:eastAsia="zh-CN" w:bidi="ar"/>
              </w:rPr>
              <w:t>及至</w:t>
            </w:r>
            <w:r>
              <w:rPr>
                <w:color w:val="000000"/>
                <w:kern w:val="0"/>
                <w:szCs w:val="21"/>
                <w:lang w:bidi="ar"/>
              </w:rPr>
              <w:t>港渔船产生的垃圾和废弃渔网渔具。2025年底前，主要港口和中心渔港全部落实“一港一策”的污染防治措施，实现污水和垃圾收集处置率达100%。全面组织实施区域治水工程。在控源截污的前提下，按照“以骨干河道为纲，内部河道为网，纲网联动、源水直达，大片独立、小片连通、统一调度、分级管理”的总体要求，科学划分治水片区，合理布设控导工程，构建有纲有网、纲网清晰、高低分开、引排有序的水系新格局，实现河网水系</w:t>
            </w:r>
            <w:r>
              <w:rPr>
                <w:rFonts w:hint="eastAsia"/>
                <w:color w:val="000000"/>
                <w:kern w:val="0"/>
                <w:szCs w:val="21"/>
                <w:lang w:eastAsia="zh-CN" w:bidi="ar"/>
              </w:rPr>
              <w:t>的互联</w:t>
            </w:r>
            <w:r>
              <w:rPr>
                <w:color w:val="000000"/>
                <w:kern w:val="0"/>
                <w:szCs w:val="21"/>
                <w:lang w:bidi="ar"/>
              </w:rPr>
              <w:t>互通和水体的有序流动，各级河道生态水位、生态流量得到有效保证。</w:t>
            </w:r>
          </w:p>
          <w:p w14:paraId="4884294E">
            <w:pPr>
              <w:widowControl/>
              <w:spacing w:line="500" w:lineRule="exact"/>
              <w:ind w:firstLine="420" w:firstLineChars="200"/>
              <w:jc w:val="left"/>
              <w:rPr>
                <w:b/>
                <w:bCs/>
                <w:color w:val="000000"/>
                <w:kern w:val="0"/>
                <w:szCs w:val="21"/>
                <w:lang w:bidi="ar"/>
              </w:rPr>
            </w:pPr>
            <w:r>
              <w:rPr>
                <w:color w:val="000000"/>
                <w:kern w:val="0"/>
                <w:szCs w:val="21"/>
                <w:lang w:bidi="ar"/>
              </w:rPr>
              <w:t>采取上述措施后，</w:t>
            </w:r>
            <w:r>
              <w:rPr>
                <w:rFonts w:hint="eastAsia"/>
                <w:color w:val="000000"/>
                <w:kern w:val="0"/>
                <w:szCs w:val="21"/>
                <w:lang w:bidi="ar"/>
              </w:rPr>
              <w:t>“</w:t>
            </w:r>
            <w:r>
              <w:rPr>
                <w:color w:val="000000"/>
                <w:kern w:val="0"/>
                <w:szCs w:val="21"/>
                <w:lang w:bidi="ar"/>
              </w:rPr>
              <w:t>十四五</w:t>
            </w:r>
            <w:r>
              <w:rPr>
                <w:rFonts w:hint="eastAsia"/>
                <w:color w:val="000000"/>
                <w:kern w:val="0"/>
                <w:szCs w:val="21"/>
                <w:lang w:bidi="ar"/>
              </w:rPr>
              <w:t>”</w:t>
            </w:r>
            <w:r>
              <w:rPr>
                <w:color w:val="000000"/>
                <w:kern w:val="0"/>
                <w:szCs w:val="21"/>
                <w:lang w:bidi="ar"/>
              </w:rPr>
              <w:t>期间，南通市水环境将得到持续改善。</w:t>
            </w:r>
          </w:p>
          <w:p w14:paraId="1AEB53F2">
            <w:pPr>
              <w:widowControl/>
              <w:spacing w:line="500" w:lineRule="exact"/>
              <w:ind w:firstLine="422" w:firstLineChars="200"/>
              <w:jc w:val="left"/>
              <w:rPr>
                <w:szCs w:val="21"/>
              </w:rPr>
            </w:pPr>
            <w:r>
              <w:rPr>
                <w:b/>
                <w:bCs/>
                <w:color w:val="000000"/>
                <w:kern w:val="0"/>
                <w:szCs w:val="21"/>
                <w:lang w:bidi="ar"/>
              </w:rPr>
              <w:t xml:space="preserve">3、声环境质量 </w:t>
            </w:r>
          </w:p>
          <w:p w14:paraId="27C3409B">
            <w:pPr>
              <w:adjustRightInd w:val="0"/>
              <w:snapToGrid w:val="0"/>
              <w:spacing w:line="480" w:lineRule="exact"/>
              <w:ind w:firstLine="420" w:firstLineChars="200"/>
              <w:rPr>
                <w:b/>
                <w:color w:val="auto"/>
                <w:szCs w:val="21"/>
              </w:rPr>
            </w:pPr>
            <w:r>
              <w:rPr>
                <w:rFonts w:hint="eastAsia"/>
                <w:color w:val="auto"/>
                <w:kern w:val="0"/>
                <w:szCs w:val="21"/>
                <w:lang w:bidi="ar"/>
              </w:rPr>
              <w:t>根据《南通市生态环境状况公报（202</w:t>
            </w:r>
            <w:r>
              <w:rPr>
                <w:rFonts w:hint="eastAsia"/>
                <w:color w:val="auto"/>
                <w:kern w:val="0"/>
                <w:szCs w:val="21"/>
                <w:lang w:val="en-US" w:eastAsia="zh-CN" w:bidi="ar"/>
              </w:rPr>
              <w:t>3</w:t>
            </w:r>
            <w:r>
              <w:rPr>
                <w:rFonts w:hint="eastAsia"/>
                <w:color w:val="auto"/>
                <w:kern w:val="0"/>
                <w:szCs w:val="21"/>
                <w:lang w:bidi="ar"/>
              </w:rPr>
              <w:t>年）》，2023年，南通市区区域声环境昼、夜间平均等效声级别值分别为56.5dB(A)、45.2dB(A)。与2022年相比，南通市区昼间区域声环境等级为三级水平，四县（市）及海门区中，海安市区域声环境昼、夜间平均等效声级别值分别为57.3 dB(A)、47.9 dB(A)，区域声环境等级均处于三级水平。其余县（市、区）昼间区域噪声平均等效声级在50.1～53.7dB(A)之间，夜间区域噪声平均等效声级在41.7～44.7 dB(A)之间，区域声环境等级均处于二级水平。启东区域声环境等级为二级水平，其余县（市、区）夜间区域声环境等级</w:t>
            </w:r>
            <w:r>
              <w:rPr>
                <w:rFonts w:hint="eastAsia"/>
                <w:color w:val="auto"/>
                <w:kern w:val="0"/>
                <w:szCs w:val="21"/>
                <w:lang w:eastAsia="zh-CN" w:bidi="ar"/>
              </w:rPr>
              <w:t>均处于三级水平</w:t>
            </w:r>
            <w:r>
              <w:rPr>
                <w:rFonts w:hint="eastAsia"/>
                <w:color w:val="auto"/>
                <w:kern w:val="0"/>
                <w:szCs w:val="21"/>
                <w:lang w:bidi="ar"/>
              </w:rPr>
              <w:t>。满足该区域噪声功能区划要求。</w:t>
            </w:r>
            <w:r>
              <w:rPr>
                <w:color w:val="auto"/>
                <w:kern w:val="0"/>
                <w:szCs w:val="21"/>
              </w:rPr>
              <w:t>为掌握项目周边噪声现状，于202</w:t>
            </w:r>
            <w:r>
              <w:rPr>
                <w:rFonts w:hint="eastAsia"/>
                <w:color w:val="auto"/>
                <w:kern w:val="0"/>
                <w:szCs w:val="21"/>
                <w:lang w:val="en-US" w:eastAsia="zh-CN"/>
              </w:rPr>
              <w:t>4</w:t>
            </w:r>
            <w:r>
              <w:rPr>
                <w:color w:val="auto"/>
                <w:kern w:val="0"/>
                <w:szCs w:val="21"/>
              </w:rPr>
              <w:t>年</w:t>
            </w:r>
            <w:r>
              <w:rPr>
                <w:rFonts w:hint="eastAsia"/>
                <w:color w:val="auto"/>
                <w:kern w:val="0"/>
                <w:szCs w:val="21"/>
                <w:lang w:val="en-US" w:eastAsia="zh-CN"/>
              </w:rPr>
              <w:t>8</w:t>
            </w:r>
            <w:r>
              <w:rPr>
                <w:color w:val="auto"/>
                <w:kern w:val="0"/>
                <w:szCs w:val="21"/>
              </w:rPr>
              <w:t>月</w:t>
            </w:r>
            <w:r>
              <w:rPr>
                <w:rFonts w:hint="eastAsia"/>
                <w:color w:val="auto"/>
                <w:kern w:val="0"/>
                <w:szCs w:val="21"/>
                <w:lang w:val="en-US" w:eastAsia="zh-CN"/>
              </w:rPr>
              <w:t>29</w:t>
            </w:r>
            <w:r>
              <w:rPr>
                <w:color w:val="auto"/>
                <w:kern w:val="0"/>
                <w:szCs w:val="21"/>
              </w:rPr>
              <w:t>日在拟建项目厂界外1m处</w:t>
            </w:r>
            <w:r>
              <w:rPr>
                <w:rFonts w:hint="eastAsia"/>
                <w:color w:val="auto"/>
                <w:kern w:val="0"/>
                <w:szCs w:val="21"/>
              </w:rPr>
              <w:t>及敏感点</w:t>
            </w:r>
            <w:r>
              <w:rPr>
                <w:color w:val="auto"/>
                <w:kern w:val="0"/>
                <w:szCs w:val="21"/>
              </w:rPr>
              <w:t>设置噪声监测点</w:t>
            </w:r>
            <w:r>
              <w:rPr>
                <w:rFonts w:hint="eastAsia"/>
                <w:color w:val="auto"/>
                <w:kern w:val="0"/>
                <w:szCs w:val="21"/>
                <w:lang w:val="en-US" w:eastAsia="zh-CN"/>
              </w:rPr>
              <w:t>5</w:t>
            </w:r>
            <w:r>
              <w:rPr>
                <w:color w:val="auto"/>
                <w:kern w:val="0"/>
                <w:szCs w:val="21"/>
              </w:rPr>
              <w:t>个，监测结果见表3-2。</w:t>
            </w:r>
          </w:p>
          <w:p w14:paraId="43A411B5">
            <w:pPr>
              <w:spacing w:line="480" w:lineRule="exact"/>
              <w:jc w:val="center"/>
              <w:rPr>
                <w:b/>
                <w:color w:val="auto"/>
                <w:szCs w:val="21"/>
              </w:rPr>
            </w:pPr>
            <w:r>
              <w:rPr>
                <w:b/>
                <w:color w:val="auto"/>
                <w:szCs w:val="21"/>
              </w:rPr>
              <w:t>表3-2</w:t>
            </w:r>
            <w:r>
              <w:rPr>
                <w:rFonts w:hint="eastAsia"/>
                <w:b/>
                <w:color w:val="auto"/>
                <w:szCs w:val="21"/>
              </w:rPr>
              <w:t xml:space="preserve"> </w:t>
            </w:r>
            <w:r>
              <w:rPr>
                <w:b/>
                <w:color w:val="auto"/>
                <w:szCs w:val="21"/>
              </w:rPr>
              <w:t>厂界噪声现状监测结果表</w:t>
            </w:r>
          </w:p>
          <w:tbl>
            <w:tblPr>
              <w:tblStyle w:val="16"/>
              <w:tblW w:w="779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048"/>
              <w:gridCol w:w="2468"/>
              <w:gridCol w:w="2181"/>
            </w:tblGrid>
            <w:tr w14:paraId="5B6B23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02" w:type="dxa"/>
                  <w:vMerge w:val="restart"/>
                  <w:vAlign w:val="center"/>
                </w:tcPr>
                <w:p w14:paraId="700B3706">
                  <w:pPr>
                    <w:ind w:left="-15" w:leftChars="-51" w:hanging="92" w:hangingChars="51"/>
                    <w:jc w:val="center"/>
                    <w:rPr>
                      <w:b/>
                      <w:bCs/>
                      <w:color w:val="auto"/>
                      <w:sz w:val="18"/>
                      <w:szCs w:val="18"/>
                    </w:rPr>
                  </w:pPr>
                  <w:r>
                    <w:rPr>
                      <w:b/>
                      <w:bCs/>
                      <w:color w:val="auto"/>
                      <w:sz w:val="18"/>
                      <w:szCs w:val="18"/>
                    </w:rPr>
                    <w:t>测点编号</w:t>
                  </w:r>
                </w:p>
              </w:tc>
              <w:tc>
                <w:tcPr>
                  <w:tcW w:w="2048" w:type="dxa"/>
                  <w:vMerge w:val="restart"/>
                  <w:vAlign w:val="center"/>
                </w:tcPr>
                <w:p w14:paraId="01D5D6F6">
                  <w:pPr>
                    <w:ind w:left="-15" w:leftChars="-51" w:hanging="92" w:hangingChars="51"/>
                    <w:jc w:val="center"/>
                    <w:rPr>
                      <w:b/>
                      <w:bCs/>
                      <w:color w:val="auto"/>
                      <w:sz w:val="18"/>
                      <w:szCs w:val="18"/>
                    </w:rPr>
                  </w:pPr>
                  <w:r>
                    <w:rPr>
                      <w:b/>
                      <w:bCs/>
                      <w:color w:val="auto"/>
                      <w:sz w:val="18"/>
                      <w:szCs w:val="18"/>
                    </w:rPr>
                    <w:t>点位</w:t>
                  </w:r>
                </w:p>
              </w:tc>
              <w:tc>
                <w:tcPr>
                  <w:tcW w:w="2468" w:type="dxa"/>
                  <w:vAlign w:val="center"/>
                </w:tcPr>
                <w:p w14:paraId="48B064B4">
                  <w:pPr>
                    <w:ind w:left="-15" w:leftChars="-51" w:hanging="92" w:hangingChars="51"/>
                    <w:jc w:val="center"/>
                    <w:rPr>
                      <w:b/>
                      <w:bCs/>
                      <w:color w:val="auto"/>
                      <w:sz w:val="18"/>
                      <w:szCs w:val="18"/>
                    </w:rPr>
                  </w:pPr>
                  <w:r>
                    <w:rPr>
                      <w:b/>
                      <w:bCs/>
                      <w:color w:val="auto"/>
                      <w:sz w:val="18"/>
                      <w:szCs w:val="18"/>
                    </w:rPr>
                    <w:t>监测结果</w:t>
                  </w:r>
                </w:p>
              </w:tc>
              <w:tc>
                <w:tcPr>
                  <w:tcW w:w="2181" w:type="dxa"/>
                  <w:vMerge w:val="restart"/>
                  <w:vAlign w:val="center"/>
                </w:tcPr>
                <w:p w14:paraId="2DFC2736">
                  <w:pPr>
                    <w:ind w:left="-15" w:leftChars="-51" w:hanging="92" w:hangingChars="51"/>
                    <w:jc w:val="center"/>
                    <w:rPr>
                      <w:color w:val="auto"/>
                      <w:sz w:val="18"/>
                      <w:szCs w:val="18"/>
                    </w:rPr>
                  </w:pPr>
                  <w:r>
                    <w:rPr>
                      <w:b/>
                      <w:bCs/>
                      <w:color w:val="auto"/>
                      <w:sz w:val="18"/>
                      <w:szCs w:val="18"/>
                    </w:rPr>
                    <w:t>执行标准</w:t>
                  </w:r>
                </w:p>
              </w:tc>
            </w:tr>
            <w:tr w14:paraId="174A42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02" w:type="dxa"/>
                  <w:vMerge w:val="continue"/>
                  <w:vAlign w:val="center"/>
                </w:tcPr>
                <w:p w14:paraId="7C250DE9">
                  <w:pPr>
                    <w:ind w:firstLine="181" w:firstLineChars="100"/>
                    <w:jc w:val="center"/>
                    <w:rPr>
                      <w:b/>
                      <w:bCs/>
                      <w:color w:val="auto"/>
                      <w:sz w:val="18"/>
                      <w:szCs w:val="18"/>
                    </w:rPr>
                  </w:pPr>
                </w:p>
              </w:tc>
              <w:tc>
                <w:tcPr>
                  <w:tcW w:w="2048" w:type="dxa"/>
                  <w:vMerge w:val="continue"/>
                  <w:vAlign w:val="center"/>
                </w:tcPr>
                <w:p w14:paraId="25437DCA">
                  <w:pPr>
                    <w:ind w:left="-15" w:leftChars="-51" w:hanging="92" w:hangingChars="51"/>
                    <w:jc w:val="center"/>
                    <w:rPr>
                      <w:b/>
                      <w:bCs/>
                      <w:color w:val="auto"/>
                      <w:sz w:val="18"/>
                      <w:szCs w:val="18"/>
                    </w:rPr>
                  </w:pPr>
                </w:p>
              </w:tc>
              <w:tc>
                <w:tcPr>
                  <w:tcW w:w="2468" w:type="dxa"/>
                  <w:vAlign w:val="center"/>
                </w:tcPr>
                <w:p w14:paraId="712FDE97">
                  <w:pPr>
                    <w:jc w:val="center"/>
                    <w:rPr>
                      <w:b/>
                      <w:bCs/>
                      <w:color w:val="auto"/>
                      <w:sz w:val="18"/>
                      <w:szCs w:val="18"/>
                    </w:rPr>
                  </w:pPr>
                  <w:r>
                    <w:rPr>
                      <w:b/>
                      <w:bCs/>
                      <w:color w:val="auto"/>
                      <w:sz w:val="18"/>
                      <w:szCs w:val="18"/>
                    </w:rPr>
                    <w:t>昼间/dB(A)</w:t>
                  </w:r>
                </w:p>
              </w:tc>
              <w:tc>
                <w:tcPr>
                  <w:tcW w:w="2181" w:type="dxa"/>
                  <w:vMerge w:val="continue"/>
                  <w:vAlign w:val="center"/>
                </w:tcPr>
                <w:p w14:paraId="1F03BE46">
                  <w:pPr>
                    <w:ind w:left="-16" w:leftChars="-51" w:hanging="91" w:hangingChars="51"/>
                    <w:jc w:val="center"/>
                    <w:rPr>
                      <w:color w:val="auto"/>
                      <w:sz w:val="18"/>
                      <w:szCs w:val="18"/>
                    </w:rPr>
                  </w:pPr>
                </w:p>
              </w:tc>
            </w:tr>
            <w:tr w14:paraId="3DFFE7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02" w:type="dxa"/>
                  <w:vAlign w:val="center"/>
                </w:tcPr>
                <w:p w14:paraId="2751A01B">
                  <w:pPr>
                    <w:jc w:val="center"/>
                    <w:rPr>
                      <w:color w:val="auto"/>
                      <w:sz w:val="18"/>
                      <w:szCs w:val="18"/>
                    </w:rPr>
                  </w:pPr>
                  <w:r>
                    <w:rPr>
                      <w:color w:val="auto"/>
                      <w:sz w:val="18"/>
                      <w:szCs w:val="18"/>
                    </w:rPr>
                    <w:t>N1</w:t>
                  </w:r>
                </w:p>
              </w:tc>
              <w:tc>
                <w:tcPr>
                  <w:tcW w:w="2048" w:type="dxa"/>
                  <w:vAlign w:val="center"/>
                </w:tcPr>
                <w:p w14:paraId="573ECD42">
                  <w:pPr>
                    <w:ind w:left="92" w:hanging="91" w:hangingChars="51"/>
                    <w:jc w:val="center"/>
                    <w:rPr>
                      <w:color w:val="auto"/>
                      <w:sz w:val="18"/>
                      <w:szCs w:val="18"/>
                    </w:rPr>
                  </w:pPr>
                  <w:r>
                    <w:rPr>
                      <w:color w:val="auto"/>
                      <w:sz w:val="18"/>
                      <w:szCs w:val="18"/>
                    </w:rPr>
                    <w:t>厂界</w:t>
                  </w:r>
                  <w:r>
                    <w:rPr>
                      <w:rFonts w:hint="eastAsia"/>
                      <w:color w:val="auto"/>
                      <w:sz w:val="18"/>
                      <w:szCs w:val="18"/>
                    </w:rPr>
                    <w:t>东</w:t>
                  </w:r>
                </w:p>
              </w:tc>
              <w:tc>
                <w:tcPr>
                  <w:tcW w:w="2468" w:type="dxa"/>
                  <w:vAlign w:val="center"/>
                </w:tcPr>
                <w:p w14:paraId="4FC3DF48">
                  <w:pPr>
                    <w:jc w:val="center"/>
                    <w:rPr>
                      <w:rFonts w:hint="default" w:eastAsia="宋体"/>
                      <w:color w:val="auto"/>
                      <w:sz w:val="18"/>
                      <w:szCs w:val="18"/>
                      <w:lang w:val="en-US" w:eastAsia="zh-CN"/>
                    </w:rPr>
                  </w:pPr>
                  <w:r>
                    <w:rPr>
                      <w:rFonts w:hint="eastAsia"/>
                      <w:color w:val="auto"/>
                      <w:kern w:val="0"/>
                      <w:szCs w:val="21"/>
                      <w:lang w:val="en-US" w:eastAsia="zh-CN"/>
                    </w:rPr>
                    <w:t>50</w:t>
                  </w:r>
                </w:p>
              </w:tc>
              <w:tc>
                <w:tcPr>
                  <w:tcW w:w="2181" w:type="dxa"/>
                  <w:vMerge w:val="restart"/>
                  <w:vAlign w:val="center"/>
                </w:tcPr>
                <w:p w14:paraId="5689961A">
                  <w:pPr>
                    <w:jc w:val="center"/>
                    <w:rPr>
                      <w:color w:val="auto"/>
                      <w:sz w:val="18"/>
                      <w:szCs w:val="18"/>
                    </w:rPr>
                  </w:pPr>
                  <w:r>
                    <w:rPr>
                      <w:rFonts w:hint="eastAsia"/>
                      <w:color w:val="auto"/>
                      <w:sz w:val="18"/>
                      <w:szCs w:val="18"/>
                    </w:rPr>
                    <w:t>昼间：6</w:t>
                  </w:r>
                  <w:r>
                    <w:rPr>
                      <w:rFonts w:hint="eastAsia"/>
                      <w:color w:val="auto"/>
                      <w:sz w:val="18"/>
                      <w:szCs w:val="18"/>
                      <w:lang w:val="en-US" w:eastAsia="zh-CN"/>
                    </w:rPr>
                    <w:t>0</w:t>
                  </w:r>
                  <w:r>
                    <w:rPr>
                      <w:rFonts w:hint="eastAsia"/>
                      <w:color w:val="auto"/>
                      <w:sz w:val="18"/>
                      <w:szCs w:val="18"/>
                    </w:rPr>
                    <w:t>dB(A)</w:t>
                  </w:r>
                </w:p>
              </w:tc>
            </w:tr>
            <w:tr w14:paraId="427DDE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02" w:type="dxa"/>
                  <w:vAlign w:val="center"/>
                </w:tcPr>
                <w:p w14:paraId="529D2FA3">
                  <w:pPr>
                    <w:jc w:val="center"/>
                    <w:rPr>
                      <w:color w:val="auto"/>
                      <w:sz w:val="18"/>
                      <w:szCs w:val="18"/>
                    </w:rPr>
                  </w:pPr>
                  <w:r>
                    <w:rPr>
                      <w:color w:val="auto"/>
                      <w:sz w:val="18"/>
                      <w:szCs w:val="18"/>
                    </w:rPr>
                    <w:t>N2</w:t>
                  </w:r>
                </w:p>
              </w:tc>
              <w:tc>
                <w:tcPr>
                  <w:tcW w:w="2048" w:type="dxa"/>
                  <w:vAlign w:val="center"/>
                </w:tcPr>
                <w:p w14:paraId="4C7DCD24">
                  <w:pPr>
                    <w:ind w:left="92" w:hanging="91" w:hangingChars="51"/>
                    <w:jc w:val="center"/>
                    <w:rPr>
                      <w:color w:val="auto"/>
                      <w:sz w:val="18"/>
                      <w:szCs w:val="18"/>
                    </w:rPr>
                  </w:pPr>
                  <w:r>
                    <w:rPr>
                      <w:color w:val="auto"/>
                      <w:sz w:val="18"/>
                      <w:szCs w:val="18"/>
                    </w:rPr>
                    <w:t>厂界</w:t>
                  </w:r>
                  <w:r>
                    <w:rPr>
                      <w:rFonts w:hint="eastAsia"/>
                      <w:color w:val="auto"/>
                      <w:sz w:val="18"/>
                      <w:szCs w:val="18"/>
                    </w:rPr>
                    <w:t>南</w:t>
                  </w:r>
                </w:p>
              </w:tc>
              <w:tc>
                <w:tcPr>
                  <w:tcW w:w="2468" w:type="dxa"/>
                  <w:vAlign w:val="center"/>
                </w:tcPr>
                <w:p w14:paraId="63AF47C5">
                  <w:pPr>
                    <w:jc w:val="center"/>
                    <w:rPr>
                      <w:rFonts w:hint="default" w:eastAsia="宋体"/>
                      <w:color w:val="auto"/>
                      <w:sz w:val="18"/>
                      <w:szCs w:val="18"/>
                      <w:lang w:val="en-US" w:eastAsia="zh-CN"/>
                    </w:rPr>
                  </w:pPr>
                  <w:r>
                    <w:rPr>
                      <w:rFonts w:hint="eastAsia"/>
                      <w:color w:val="auto"/>
                      <w:kern w:val="0"/>
                      <w:szCs w:val="21"/>
                      <w:lang w:val="en-US" w:eastAsia="zh-CN"/>
                    </w:rPr>
                    <w:t>53</w:t>
                  </w:r>
                </w:p>
              </w:tc>
              <w:tc>
                <w:tcPr>
                  <w:tcW w:w="2181" w:type="dxa"/>
                  <w:vMerge w:val="continue"/>
                  <w:vAlign w:val="center"/>
                </w:tcPr>
                <w:p w14:paraId="63563077">
                  <w:pPr>
                    <w:jc w:val="center"/>
                    <w:rPr>
                      <w:color w:val="auto"/>
                      <w:sz w:val="18"/>
                      <w:szCs w:val="18"/>
                    </w:rPr>
                  </w:pPr>
                </w:p>
              </w:tc>
            </w:tr>
            <w:tr w14:paraId="24915E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02" w:type="dxa"/>
                  <w:vAlign w:val="center"/>
                </w:tcPr>
                <w:p w14:paraId="748BAC90">
                  <w:pPr>
                    <w:jc w:val="center"/>
                    <w:rPr>
                      <w:color w:val="auto"/>
                      <w:sz w:val="18"/>
                      <w:szCs w:val="18"/>
                    </w:rPr>
                  </w:pPr>
                  <w:r>
                    <w:rPr>
                      <w:color w:val="auto"/>
                      <w:sz w:val="18"/>
                      <w:szCs w:val="18"/>
                    </w:rPr>
                    <w:t>N3</w:t>
                  </w:r>
                </w:p>
              </w:tc>
              <w:tc>
                <w:tcPr>
                  <w:tcW w:w="2048" w:type="dxa"/>
                  <w:vAlign w:val="center"/>
                </w:tcPr>
                <w:p w14:paraId="1DF778DE">
                  <w:pPr>
                    <w:ind w:left="92" w:hanging="91" w:hangingChars="51"/>
                    <w:jc w:val="center"/>
                    <w:rPr>
                      <w:color w:val="auto"/>
                      <w:sz w:val="18"/>
                      <w:szCs w:val="18"/>
                    </w:rPr>
                  </w:pPr>
                  <w:r>
                    <w:rPr>
                      <w:color w:val="auto"/>
                      <w:sz w:val="18"/>
                      <w:szCs w:val="18"/>
                    </w:rPr>
                    <w:t>厂界</w:t>
                  </w:r>
                  <w:r>
                    <w:rPr>
                      <w:rFonts w:hint="eastAsia"/>
                      <w:color w:val="auto"/>
                      <w:sz w:val="18"/>
                      <w:szCs w:val="18"/>
                    </w:rPr>
                    <w:t>西</w:t>
                  </w:r>
                </w:p>
              </w:tc>
              <w:tc>
                <w:tcPr>
                  <w:tcW w:w="2468" w:type="dxa"/>
                  <w:vAlign w:val="center"/>
                </w:tcPr>
                <w:p w14:paraId="717929A7">
                  <w:pPr>
                    <w:jc w:val="center"/>
                    <w:rPr>
                      <w:rFonts w:hint="default" w:eastAsia="宋体"/>
                      <w:color w:val="auto"/>
                      <w:sz w:val="18"/>
                      <w:szCs w:val="18"/>
                      <w:lang w:val="en-US" w:eastAsia="zh-CN"/>
                    </w:rPr>
                  </w:pPr>
                  <w:r>
                    <w:rPr>
                      <w:rFonts w:hint="eastAsia"/>
                      <w:color w:val="auto"/>
                      <w:kern w:val="0"/>
                      <w:szCs w:val="21"/>
                      <w:lang w:val="en-US" w:eastAsia="zh-CN"/>
                    </w:rPr>
                    <w:t>51</w:t>
                  </w:r>
                </w:p>
              </w:tc>
              <w:tc>
                <w:tcPr>
                  <w:tcW w:w="2181" w:type="dxa"/>
                  <w:vMerge w:val="continue"/>
                  <w:vAlign w:val="center"/>
                </w:tcPr>
                <w:p w14:paraId="0673DA89">
                  <w:pPr>
                    <w:jc w:val="center"/>
                    <w:rPr>
                      <w:color w:val="auto"/>
                      <w:sz w:val="18"/>
                      <w:szCs w:val="18"/>
                    </w:rPr>
                  </w:pPr>
                </w:p>
              </w:tc>
            </w:tr>
            <w:tr w14:paraId="5739D6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02" w:type="dxa"/>
                  <w:vAlign w:val="center"/>
                </w:tcPr>
                <w:p w14:paraId="7E1F3BA0">
                  <w:pPr>
                    <w:jc w:val="center"/>
                    <w:rPr>
                      <w:color w:val="auto"/>
                      <w:sz w:val="18"/>
                      <w:szCs w:val="18"/>
                    </w:rPr>
                  </w:pPr>
                  <w:r>
                    <w:rPr>
                      <w:color w:val="auto"/>
                      <w:sz w:val="18"/>
                      <w:szCs w:val="18"/>
                    </w:rPr>
                    <w:t>N4</w:t>
                  </w:r>
                </w:p>
              </w:tc>
              <w:tc>
                <w:tcPr>
                  <w:tcW w:w="2048" w:type="dxa"/>
                  <w:vAlign w:val="center"/>
                </w:tcPr>
                <w:p w14:paraId="7385C8AD">
                  <w:pPr>
                    <w:ind w:left="92" w:hanging="91" w:hangingChars="51"/>
                    <w:jc w:val="center"/>
                    <w:rPr>
                      <w:color w:val="auto"/>
                      <w:sz w:val="18"/>
                      <w:szCs w:val="18"/>
                    </w:rPr>
                  </w:pPr>
                  <w:r>
                    <w:rPr>
                      <w:color w:val="auto"/>
                      <w:sz w:val="18"/>
                      <w:szCs w:val="18"/>
                    </w:rPr>
                    <w:t>厂界</w:t>
                  </w:r>
                  <w:r>
                    <w:rPr>
                      <w:rFonts w:hint="eastAsia"/>
                      <w:color w:val="auto"/>
                      <w:sz w:val="18"/>
                      <w:szCs w:val="18"/>
                    </w:rPr>
                    <w:t>北</w:t>
                  </w:r>
                </w:p>
              </w:tc>
              <w:tc>
                <w:tcPr>
                  <w:tcW w:w="2468" w:type="dxa"/>
                  <w:vAlign w:val="center"/>
                </w:tcPr>
                <w:p w14:paraId="34E1E1E6">
                  <w:pPr>
                    <w:jc w:val="center"/>
                    <w:rPr>
                      <w:rFonts w:hint="default" w:eastAsia="宋体"/>
                      <w:color w:val="auto"/>
                      <w:sz w:val="18"/>
                      <w:szCs w:val="18"/>
                      <w:lang w:val="en-US" w:eastAsia="zh-CN"/>
                    </w:rPr>
                  </w:pPr>
                  <w:r>
                    <w:rPr>
                      <w:rFonts w:hint="eastAsia"/>
                      <w:color w:val="auto"/>
                      <w:kern w:val="0"/>
                      <w:szCs w:val="21"/>
                      <w:lang w:val="en-US" w:eastAsia="zh-CN"/>
                    </w:rPr>
                    <w:t>50</w:t>
                  </w:r>
                </w:p>
              </w:tc>
              <w:tc>
                <w:tcPr>
                  <w:tcW w:w="2181" w:type="dxa"/>
                  <w:vMerge w:val="continue"/>
                  <w:vAlign w:val="center"/>
                </w:tcPr>
                <w:p w14:paraId="0A860854">
                  <w:pPr>
                    <w:jc w:val="center"/>
                    <w:rPr>
                      <w:color w:val="auto"/>
                      <w:sz w:val="18"/>
                      <w:szCs w:val="18"/>
                    </w:rPr>
                  </w:pPr>
                </w:p>
              </w:tc>
            </w:tr>
            <w:tr w14:paraId="702F66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02" w:type="dxa"/>
                  <w:vAlign w:val="center"/>
                </w:tcPr>
                <w:p w14:paraId="67C3CEF6">
                  <w:pPr>
                    <w:jc w:val="center"/>
                    <w:rPr>
                      <w:color w:val="auto"/>
                      <w:sz w:val="18"/>
                      <w:szCs w:val="18"/>
                    </w:rPr>
                  </w:pPr>
                  <w:r>
                    <w:rPr>
                      <w:color w:val="auto"/>
                      <w:sz w:val="18"/>
                      <w:szCs w:val="18"/>
                    </w:rPr>
                    <w:t>N5</w:t>
                  </w:r>
                </w:p>
              </w:tc>
              <w:tc>
                <w:tcPr>
                  <w:tcW w:w="2048" w:type="dxa"/>
                  <w:vAlign w:val="center"/>
                </w:tcPr>
                <w:p w14:paraId="2391495C">
                  <w:pPr>
                    <w:widowControl/>
                    <w:jc w:val="center"/>
                    <w:rPr>
                      <w:rFonts w:hint="default" w:eastAsia="宋体"/>
                      <w:color w:val="auto"/>
                      <w:sz w:val="18"/>
                      <w:szCs w:val="18"/>
                      <w:highlight w:val="none"/>
                      <w:lang w:val="en-US" w:eastAsia="zh-CN"/>
                    </w:rPr>
                  </w:pPr>
                  <w:r>
                    <w:rPr>
                      <w:rFonts w:hint="eastAsia"/>
                      <w:color w:val="auto"/>
                      <w:sz w:val="18"/>
                      <w:szCs w:val="18"/>
                      <w:highlight w:val="none"/>
                      <w:lang w:eastAsia="zh-CN"/>
                    </w:rPr>
                    <w:t>项目厂区场界东南侧</w:t>
                  </w:r>
                  <w:r>
                    <w:rPr>
                      <w:rFonts w:hint="eastAsia"/>
                      <w:color w:val="auto"/>
                      <w:sz w:val="18"/>
                      <w:szCs w:val="18"/>
                      <w:highlight w:val="none"/>
                      <w:lang w:val="en-US" w:eastAsia="zh-CN"/>
                    </w:rPr>
                    <w:t>65m处居民N5</w:t>
                  </w:r>
                </w:p>
              </w:tc>
              <w:tc>
                <w:tcPr>
                  <w:tcW w:w="2468" w:type="dxa"/>
                  <w:vAlign w:val="center"/>
                </w:tcPr>
                <w:p w14:paraId="34AABA43">
                  <w:pPr>
                    <w:jc w:val="center"/>
                    <w:rPr>
                      <w:rFonts w:hint="default" w:eastAsia="宋体"/>
                      <w:color w:val="auto"/>
                      <w:sz w:val="18"/>
                      <w:szCs w:val="18"/>
                      <w:lang w:val="en-US" w:eastAsia="zh-CN"/>
                    </w:rPr>
                  </w:pPr>
                  <w:r>
                    <w:rPr>
                      <w:rFonts w:hint="eastAsia"/>
                      <w:color w:val="auto"/>
                      <w:kern w:val="0"/>
                      <w:szCs w:val="21"/>
                      <w:lang w:val="en-US" w:eastAsia="zh-CN"/>
                    </w:rPr>
                    <w:t>45</w:t>
                  </w:r>
                </w:p>
              </w:tc>
              <w:tc>
                <w:tcPr>
                  <w:tcW w:w="2181" w:type="dxa"/>
                  <w:vAlign w:val="center"/>
                </w:tcPr>
                <w:p w14:paraId="48ADECA3">
                  <w:pPr>
                    <w:jc w:val="center"/>
                    <w:rPr>
                      <w:color w:val="auto"/>
                      <w:sz w:val="18"/>
                      <w:szCs w:val="18"/>
                    </w:rPr>
                  </w:pPr>
                  <w:r>
                    <w:rPr>
                      <w:rFonts w:hint="eastAsia"/>
                      <w:color w:val="auto"/>
                      <w:sz w:val="18"/>
                      <w:szCs w:val="18"/>
                    </w:rPr>
                    <w:t>昼间：60dB(A)</w:t>
                  </w:r>
                </w:p>
              </w:tc>
            </w:tr>
          </w:tbl>
          <w:p w14:paraId="5683E391">
            <w:pPr>
              <w:adjustRightInd w:val="0"/>
              <w:snapToGrid w:val="0"/>
              <w:spacing w:line="460" w:lineRule="exact"/>
              <w:ind w:firstLine="420" w:firstLineChars="200"/>
              <w:rPr>
                <w:color w:val="auto"/>
                <w:kern w:val="0"/>
                <w:szCs w:val="21"/>
              </w:rPr>
            </w:pPr>
            <w:r>
              <w:rPr>
                <w:color w:val="auto"/>
                <w:kern w:val="0"/>
                <w:szCs w:val="21"/>
              </w:rPr>
              <w:t>由上表可知，项目</w:t>
            </w:r>
            <w:r>
              <w:rPr>
                <w:rFonts w:hint="eastAsia"/>
                <w:color w:val="auto"/>
                <w:kern w:val="0"/>
                <w:szCs w:val="21"/>
                <w:lang w:eastAsia="zh-CN"/>
              </w:rPr>
              <w:t>四周</w:t>
            </w:r>
            <w:r>
              <w:rPr>
                <w:rFonts w:hint="eastAsia"/>
                <w:color w:val="auto"/>
                <w:kern w:val="0"/>
                <w:szCs w:val="21"/>
              </w:rPr>
              <w:t>厂界噪声能满足《声环境质量标准》（GB3096-2008）中</w:t>
            </w:r>
            <w:r>
              <w:rPr>
                <w:rFonts w:hint="eastAsia"/>
                <w:color w:val="auto"/>
                <w:kern w:val="0"/>
                <w:szCs w:val="21"/>
                <w:lang w:val="en-US" w:eastAsia="zh-CN"/>
              </w:rPr>
              <w:t>2</w:t>
            </w:r>
            <w:r>
              <w:rPr>
                <w:rFonts w:hint="eastAsia"/>
                <w:color w:val="auto"/>
                <w:kern w:val="0"/>
                <w:szCs w:val="21"/>
              </w:rPr>
              <w:t>类标准</w:t>
            </w:r>
            <w:r>
              <w:rPr>
                <w:rFonts w:hint="eastAsia"/>
                <w:color w:val="auto"/>
                <w:kern w:val="0"/>
                <w:szCs w:val="21"/>
                <w:lang w:eastAsia="zh-CN"/>
              </w:rPr>
              <w:t>，</w:t>
            </w:r>
            <w:r>
              <w:rPr>
                <w:rFonts w:hint="eastAsia"/>
                <w:color w:val="auto"/>
                <w:kern w:val="0"/>
                <w:szCs w:val="21"/>
              </w:rPr>
              <w:t>敏感</w:t>
            </w:r>
            <w:r>
              <w:rPr>
                <w:rFonts w:hint="eastAsia"/>
                <w:color w:val="auto"/>
                <w:kern w:val="0"/>
                <w:szCs w:val="21"/>
                <w:lang w:eastAsia="zh-CN"/>
              </w:rPr>
              <w:t>目标</w:t>
            </w:r>
            <w:r>
              <w:rPr>
                <w:rFonts w:hint="eastAsia"/>
                <w:color w:val="auto"/>
                <w:kern w:val="0"/>
                <w:szCs w:val="21"/>
              </w:rPr>
              <w:t>可满足《声环境质量标准》（GB3096-2008）2类标准限值</w:t>
            </w:r>
            <w:r>
              <w:rPr>
                <w:color w:val="auto"/>
                <w:kern w:val="0"/>
                <w:szCs w:val="21"/>
              </w:rPr>
              <w:t>。项目地声环境质量现状较好，能满足环境功能要求。</w:t>
            </w:r>
          </w:p>
          <w:p w14:paraId="01950A5F">
            <w:pPr>
              <w:widowControl/>
              <w:spacing w:line="500" w:lineRule="exact"/>
              <w:ind w:firstLine="422" w:firstLineChars="200"/>
              <w:jc w:val="left"/>
              <w:rPr>
                <w:szCs w:val="21"/>
              </w:rPr>
            </w:pPr>
            <w:r>
              <w:rPr>
                <w:b/>
                <w:bCs/>
                <w:color w:val="000000"/>
                <w:kern w:val="0"/>
                <w:szCs w:val="21"/>
                <w:lang w:bidi="ar"/>
              </w:rPr>
              <w:t xml:space="preserve">4、生态环境质量 </w:t>
            </w:r>
          </w:p>
          <w:p w14:paraId="1267BF3C">
            <w:pPr>
              <w:widowControl/>
              <w:spacing w:line="500" w:lineRule="exact"/>
              <w:ind w:firstLine="420" w:firstLineChars="200"/>
              <w:jc w:val="left"/>
              <w:rPr>
                <w:rFonts w:hint="eastAsia" w:eastAsia="宋体"/>
                <w:color w:val="000000"/>
                <w:kern w:val="0"/>
                <w:szCs w:val="21"/>
                <w:lang w:val="en-US" w:eastAsia="zh-CN" w:bidi="ar"/>
              </w:rPr>
            </w:pPr>
            <w:r>
              <w:rPr>
                <w:color w:val="000000"/>
                <w:kern w:val="0"/>
                <w:szCs w:val="21"/>
                <w:lang w:bidi="ar"/>
              </w:rPr>
              <w:t>根据《202</w:t>
            </w:r>
            <w:r>
              <w:rPr>
                <w:rFonts w:hint="eastAsia"/>
                <w:color w:val="000000"/>
                <w:kern w:val="0"/>
                <w:szCs w:val="21"/>
                <w:lang w:val="en-US" w:eastAsia="zh-CN" w:bidi="ar"/>
              </w:rPr>
              <w:t>3</w:t>
            </w:r>
            <w:r>
              <w:rPr>
                <w:color w:val="000000"/>
                <w:kern w:val="0"/>
                <w:szCs w:val="21"/>
                <w:lang w:bidi="ar"/>
              </w:rPr>
              <w:t>年度南通市生态环境状况公报》，</w:t>
            </w:r>
            <w:r>
              <w:rPr>
                <w:rFonts w:hint="eastAsia"/>
                <w:color w:val="000000"/>
                <w:kern w:val="0"/>
                <w:szCs w:val="21"/>
                <w:lang w:bidi="ar"/>
              </w:rPr>
              <w:t>2023年南通市生态质量指数为53.51，类别为“三类”，各县（市、区）生态质量指数介于44.83~58.28之间。南通市共有7个县（市、区）参与生态质量评价，其中如东、启东、海安为“二类”，通州、崇川、海门、如皋为“三类”。2023年南通全市除启东、海门、通州上升0.60、0.23和0.18外，其余4个区县EQI均下降；其中如皋、海安、如东、崇川EQI下降分别为-1.01、-0.73、-0.53和-0.03。由于生物多样性指数全省统一值，各县区该指标无差别；崇川生态胁迫指数最高，为100；如东生态格局指数最高，为37.31；海安生态功能指数最高，为83.23</w:t>
            </w:r>
            <w:r>
              <w:rPr>
                <w:rFonts w:hint="eastAsia"/>
                <w:color w:val="000000"/>
                <w:kern w:val="0"/>
                <w:szCs w:val="21"/>
                <w:lang w:eastAsia="zh-CN" w:bidi="ar"/>
              </w:rPr>
              <w:t>。</w:t>
            </w:r>
          </w:p>
          <w:p w14:paraId="042CCF3C">
            <w:pPr>
              <w:widowControl/>
              <w:spacing w:line="500" w:lineRule="exact"/>
              <w:ind w:firstLine="422" w:firstLineChars="200"/>
              <w:jc w:val="left"/>
              <w:rPr>
                <w:szCs w:val="21"/>
              </w:rPr>
            </w:pPr>
            <w:r>
              <w:rPr>
                <w:b/>
                <w:bCs/>
                <w:color w:val="000000"/>
                <w:kern w:val="0"/>
                <w:szCs w:val="21"/>
                <w:lang w:bidi="ar"/>
              </w:rPr>
              <w:t xml:space="preserve">5、地下水环境质量 </w:t>
            </w:r>
          </w:p>
          <w:p w14:paraId="13C1CDF7">
            <w:pPr>
              <w:widowControl/>
              <w:spacing w:line="500" w:lineRule="exact"/>
              <w:ind w:firstLine="420" w:firstLineChars="200"/>
              <w:jc w:val="left"/>
              <w:rPr>
                <w:color w:val="000000"/>
                <w:kern w:val="0"/>
                <w:szCs w:val="21"/>
                <w:lang w:bidi="ar"/>
              </w:rPr>
            </w:pPr>
            <w:r>
              <w:rPr>
                <w:color w:val="000000"/>
                <w:kern w:val="0"/>
                <w:szCs w:val="21"/>
                <w:lang w:bidi="ar"/>
              </w:rPr>
              <w:t>根据《202</w:t>
            </w:r>
            <w:r>
              <w:rPr>
                <w:rFonts w:hint="eastAsia"/>
                <w:color w:val="000000"/>
                <w:kern w:val="0"/>
                <w:szCs w:val="21"/>
                <w:lang w:val="en-US" w:eastAsia="zh-CN" w:bidi="ar"/>
              </w:rPr>
              <w:t>3</w:t>
            </w:r>
            <w:r>
              <w:rPr>
                <w:color w:val="000000"/>
                <w:kern w:val="0"/>
                <w:szCs w:val="21"/>
                <w:lang w:bidi="ar"/>
              </w:rPr>
              <w:t>年度南通市生态环境状况公报》，</w:t>
            </w:r>
            <w:r>
              <w:rPr>
                <w:rFonts w:hint="eastAsia"/>
                <w:color w:val="000000"/>
                <w:kern w:val="0"/>
                <w:szCs w:val="21"/>
                <w:lang w:bidi="ar"/>
              </w:rPr>
              <w:t>2023年，南通市省控以上23个地下水区域监测点位，水质达Ⅲ类的6个，满足Ⅳ类标准的14个，水质为Ⅴ类的3个，分别占比 26.1%、60.9%、13.0%，与2022年相比，地下水水质总体有所好转，Ⅳ类及以上水质占比为87.0%，增加13.3个百分点，相应Ⅴ类比例减少13.3个百分点。</w:t>
            </w:r>
          </w:p>
          <w:p w14:paraId="3ADC3752">
            <w:pPr>
              <w:widowControl/>
              <w:spacing w:line="500" w:lineRule="exact"/>
              <w:ind w:firstLine="420" w:firstLineChars="200"/>
              <w:jc w:val="left"/>
              <w:rPr>
                <w:szCs w:val="21"/>
              </w:rPr>
            </w:pPr>
            <w:r>
              <w:rPr>
                <w:kern w:val="0"/>
                <w:szCs w:val="21"/>
                <w:lang w:bidi="ar"/>
              </w:rPr>
              <w:t>本项目所属国民经济行业类别为</w:t>
            </w:r>
            <w:r>
              <w:rPr>
                <w:rFonts w:hint="eastAsia"/>
                <w:kern w:val="0"/>
                <w:szCs w:val="21"/>
                <w:lang w:bidi="ar"/>
              </w:rPr>
              <w:t>塑料零件及其它塑料制品制造</w:t>
            </w:r>
            <w:r>
              <w:rPr>
                <w:kern w:val="0"/>
                <w:szCs w:val="21"/>
                <w:lang w:bidi="ar"/>
              </w:rPr>
              <w:t>，非化工行业，</w:t>
            </w:r>
            <w:r>
              <w:rPr>
                <w:rFonts w:hint="eastAsia"/>
                <w:kern w:val="0"/>
                <w:szCs w:val="21"/>
                <w:lang w:eastAsia="zh-CN" w:bidi="ar"/>
              </w:rPr>
              <w:t>在采取分区防渗的条件下</w:t>
            </w:r>
            <w:r>
              <w:rPr>
                <w:kern w:val="0"/>
                <w:szCs w:val="21"/>
                <w:lang w:bidi="ar"/>
              </w:rPr>
              <w:t>，通过加强日常管理，对区域地下水环境污染较小，因此，暂不开展地下水环境现状调查。</w:t>
            </w:r>
          </w:p>
          <w:p w14:paraId="64B8AB8C">
            <w:pPr>
              <w:widowControl/>
              <w:spacing w:line="500" w:lineRule="exact"/>
              <w:ind w:firstLine="422" w:firstLineChars="200"/>
              <w:jc w:val="left"/>
              <w:rPr>
                <w:szCs w:val="21"/>
              </w:rPr>
            </w:pPr>
            <w:r>
              <w:rPr>
                <w:b/>
                <w:bCs/>
                <w:color w:val="000000"/>
                <w:kern w:val="0"/>
                <w:szCs w:val="21"/>
                <w:lang w:bidi="ar"/>
              </w:rPr>
              <w:t xml:space="preserve">6、土壤环境质量 </w:t>
            </w:r>
          </w:p>
          <w:p w14:paraId="66910A23">
            <w:pPr>
              <w:widowControl/>
              <w:spacing w:line="500" w:lineRule="exact"/>
              <w:ind w:firstLine="420" w:firstLineChars="200"/>
              <w:jc w:val="left"/>
              <w:rPr>
                <w:spacing w:val="7"/>
                <w:szCs w:val="21"/>
              </w:rPr>
            </w:pPr>
            <w:r>
              <w:rPr>
                <w:color w:val="000000"/>
                <w:kern w:val="0"/>
                <w:szCs w:val="21"/>
                <w:lang w:bidi="ar"/>
              </w:rPr>
              <w:t>根据《202</w:t>
            </w:r>
            <w:r>
              <w:rPr>
                <w:rFonts w:hint="eastAsia"/>
                <w:color w:val="000000"/>
                <w:kern w:val="0"/>
                <w:szCs w:val="21"/>
                <w:lang w:val="en-US" w:eastAsia="zh-CN" w:bidi="ar"/>
              </w:rPr>
              <w:t>3</w:t>
            </w:r>
            <w:r>
              <w:rPr>
                <w:color w:val="000000"/>
                <w:kern w:val="0"/>
                <w:szCs w:val="21"/>
                <w:lang w:bidi="ar"/>
              </w:rPr>
              <w:t>年度南通市生态环境状况公报》，</w:t>
            </w:r>
            <w:r>
              <w:rPr>
                <w:rFonts w:hint="eastAsia"/>
                <w:color w:val="000000"/>
                <w:kern w:val="0"/>
                <w:szCs w:val="21"/>
                <w:lang w:bidi="ar"/>
              </w:rPr>
              <w:t>2023 年南通市共监测96个国家网土壤环境监测点，包括88个基础点和8个背景点，均为耕地类型，土壤环境质量状况总体良好。与“十三五”期间相比，土壤环境质量未发生显著变化。</w:t>
            </w:r>
            <w:r>
              <w:rPr>
                <w:color w:val="000000"/>
                <w:kern w:val="0"/>
                <w:szCs w:val="21"/>
                <w:lang w:bidi="ar"/>
              </w:rPr>
              <w:t>本项目所属国民经济行业类别为</w:t>
            </w:r>
            <w:r>
              <w:rPr>
                <w:rFonts w:hint="eastAsia"/>
                <w:color w:val="000000"/>
                <w:kern w:val="0"/>
                <w:szCs w:val="21"/>
                <w:lang w:bidi="ar"/>
              </w:rPr>
              <w:t>塑料零件及其它塑料制品制造</w:t>
            </w:r>
            <w:r>
              <w:rPr>
                <w:color w:val="000000"/>
                <w:kern w:val="0"/>
                <w:szCs w:val="21"/>
                <w:lang w:bidi="ar"/>
              </w:rPr>
              <w:t>，非化工行业，日常生产过程中，</w:t>
            </w:r>
            <w:r>
              <w:rPr>
                <w:kern w:val="0"/>
                <w:szCs w:val="21"/>
              </w:rPr>
              <w:t>项目对可能产生</w:t>
            </w:r>
            <w:r>
              <w:rPr>
                <w:rFonts w:hint="eastAsia"/>
                <w:kern w:val="0"/>
                <w:szCs w:val="21"/>
                <w:lang w:eastAsia="zh-CN"/>
              </w:rPr>
              <w:t>土壤</w:t>
            </w:r>
            <w:r>
              <w:rPr>
                <w:kern w:val="0"/>
                <w:szCs w:val="21"/>
              </w:rPr>
              <w:t>影响的各项途径均进行有效预防，在确保各项防渗措施得以落实，并加强维护和厂区环境管理的前提下，不存在土壤环境污染途径</w:t>
            </w:r>
            <w:r>
              <w:rPr>
                <w:color w:val="000000"/>
                <w:kern w:val="0"/>
                <w:szCs w:val="21"/>
                <w:lang w:bidi="ar"/>
              </w:rPr>
              <w:t>，因此，暂不开展</w:t>
            </w:r>
            <w:r>
              <w:rPr>
                <w:rFonts w:hint="eastAsia"/>
                <w:color w:val="000000"/>
                <w:kern w:val="0"/>
                <w:szCs w:val="21"/>
                <w:lang w:bidi="ar"/>
              </w:rPr>
              <w:t>土壤</w:t>
            </w:r>
            <w:r>
              <w:rPr>
                <w:color w:val="000000"/>
                <w:kern w:val="0"/>
                <w:szCs w:val="21"/>
                <w:lang w:bidi="ar"/>
              </w:rPr>
              <w:t>环境现状调查。</w:t>
            </w:r>
          </w:p>
        </w:tc>
      </w:tr>
      <w:tr w14:paraId="2A72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0" w:hRule="atLeast"/>
          <w:jc w:val="center"/>
        </w:trPr>
        <w:tc>
          <w:tcPr>
            <w:tcW w:w="794" w:type="dxa"/>
            <w:vAlign w:val="center"/>
          </w:tcPr>
          <w:p w14:paraId="1BFB072E">
            <w:pPr>
              <w:pStyle w:val="2"/>
              <w:rPr>
                <w:rFonts w:ascii="Times New Roman" w:hAnsi="Times New Roman"/>
                <w:szCs w:val="32"/>
              </w:rPr>
            </w:pPr>
          </w:p>
          <w:p w14:paraId="677FA0A1">
            <w:pPr>
              <w:jc w:val="center"/>
              <w:rPr>
                <w:szCs w:val="21"/>
              </w:rPr>
            </w:pPr>
            <w:r>
              <w:rPr>
                <w:szCs w:val="21"/>
              </w:rPr>
              <w:t>环</w:t>
            </w:r>
          </w:p>
          <w:p w14:paraId="3269A862">
            <w:pPr>
              <w:jc w:val="center"/>
              <w:rPr>
                <w:szCs w:val="21"/>
              </w:rPr>
            </w:pPr>
          </w:p>
          <w:p w14:paraId="05E10CC2">
            <w:pPr>
              <w:jc w:val="center"/>
              <w:rPr>
                <w:szCs w:val="21"/>
              </w:rPr>
            </w:pPr>
            <w:r>
              <w:rPr>
                <w:szCs w:val="21"/>
              </w:rPr>
              <w:t>境</w:t>
            </w:r>
          </w:p>
          <w:p w14:paraId="7273C4F5">
            <w:pPr>
              <w:jc w:val="center"/>
              <w:rPr>
                <w:szCs w:val="21"/>
              </w:rPr>
            </w:pPr>
          </w:p>
          <w:p w14:paraId="28BDE84C">
            <w:pPr>
              <w:jc w:val="center"/>
              <w:rPr>
                <w:szCs w:val="21"/>
              </w:rPr>
            </w:pPr>
            <w:r>
              <w:rPr>
                <w:szCs w:val="21"/>
              </w:rPr>
              <w:t>保</w:t>
            </w:r>
          </w:p>
          <w:p w14:paraId="010DE56B">
            <w:pPr>
              <w:jc w:val="center"/>
              <w:rPr>
                <w:szCs w:val="21"/>
              </w:rPr>
            </w:pPr>
          </w:p>
          <w:p w14:paraId="4B8397FA">
            <w:pPr>
              <w:jc w:val="center"/>
              <w:rPr>
                <w:szCs w:val="21"/>
              </w:rPr>
            </w:pPr>
            <w:r>
              <w:rPr>
                <w:szCs w:val="21"/>
              </w:rPr>
              <w:t>护</w:t>
            </w:r>
          </w:p>
          <w:p w14:paraId="2B80AA9C">
            <w:pPr>
              <w:jc w:val="center"/>
              <w:rPr>
                <w:szCs w:val="21"/>
              </w:rPr>
            </w:pPr>
          </w:p>
          <w:p w14:paraId="68DA10F0">
            <w:pPr>
              <w:jc w:val="center"/>
              <w:rPr>
                <w:szCs w:val="21"/>
              </w:rPr>
            </w:pPr>
            <w:r>
              <w:rPr>
                <w:szCs w:val="21"/>
              </w:rPr>
              <w:t>目</w:t>
            </w:r>
          </w:p>
          <w:p w14:paraId="1BCCA857">
            <w:pPr>
              <w:jc w:val="center"/>
              <w:rPr>
                <w:szCs w:val="21"/>
              </w:rPr>
            </w:pPr>
          </w:p>
          <w:p w14:paraId="164D914C">
            <w:pPr>
              <w:jc w:val="center"/>
              <w:rPr>
                <w:szCs w:val="21"/>
              </w:rPr>
            </w:pPr>
            <w:r>
              <w:rPr>
                <w:szCs w:val="21"/>
              </w:rPr>
              <w:t>标</w:t>
            </w:r>
          </w:p>
          <w:p w14:paraId="229B381A">
            <w:pPr>
              <w:pStyle w:val="2"/>
              <w:rPr>
                <w:rFonts w:ascii="Times New Roman" w:hAnsi="Times New Roman"/>
                <w:szCs w:val="32"/>
              </w:rPr>
            </w:pPr>
          </w:p>
        </w:tc>
        <w:tc>
          <w:tcPr>
            <w:tcW w:w="8280" w:type="dxa"/>
          </w:tcPr>
          <w:p w14:paraId="1C548979">
            <w:pPr>
              <w:keepNext w:val="0"/>
              <w:keepLines w:val="0"/>
              <w:pageBreakBefore w:val="0"/>
              <w:kinsoku/>
              <w:wordWrap/>
              <w:overflowPunct/>
              <w:topLinePunct w:val="0"/>
              <w:autoSpaceDE/>
              <w:autoSpaceDN/>
              <w:bidi w:val="0"/>
              <w:adjustRightInd/>
              <w:snapToGrid/>
              <w:spacing w:line="460" w:lineRule="exact"/>
              <w:ind w:firstLine="422" w:firstLineChars="200"/>
              <w:textAlignment w:val="auto"/>
              <w:rPr>
                <w:b/>
                <w:bCs/>
              </w:rPr>
            </w:pPr>
            <w:r>
              <w:rPr>
                <w:b/>
                <w:bCs/>
              </w:rPr>
              <w:t xml:space="preserve">1、大气环境 </w:t>
            </w:r>
          </w:p>
          <w:p w14:paraId="3274CD21">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pPr>
            <w:r>
              <w:t>本项目位于</w:t>
            </w:r>
            <w:r>
              <w:rPr>
                <w:rFonts w:hint="eastAsia"/>
              </w:rPr>
              <w:t>南通市通州区刘桥镇蒋一村十五组</w:t>
            </w:r>
            <w:r>
              <w:t>，根据</w:t>
            </w:r>
            <w:r>
              <w:rPr>
                <w:rFonts w:hint="eastAsia"/>
                <w:lang w:eastAsia="zh-CN"/>
              </w:rPr>
              <w:t>现场勘察</w:t>
            </w:r>
            <w:r>
              <w:t>，确定本项目的环境空气保护目标见表3-</w:t>
            </w:r>
            <w:r>
              <w:rPr>
                <w:rFonts w:hint="eastAsia"/>
              </w:rPr>
              <w:t>3</w:t>
            </w:r>
            <w:r>
              <w:t>。</w:t>
            </w:r>
          </w:p>
          <w:p w14:paraId="2D103F43">
            <w:pPr>
              <w:keepNext w:val="0"/>
              <w:keepLines w:val="0"/>
              <w:pageBreakBefore w:val="0"/>
              <w:widowControl/>
              <w:kinsoku/>
              <w:wordWrap/>
              <w:overflowPunct/>
              <w:topLinePunct w:val="0"/>
              <w:autoSpaceDE/>
              <w:autoSpaceDN/>
              <w:bidi w:val="0"/>
              <w:adjustRightInd/>
              <w:snapToGrid/>
              <w:spacing w:line="460" w:lineRule="exact"/>
              <w:ind w:firstLine="422" w:firstLineChars="200"/>
              <w:jc w:val="center"/>
              <w:textAlignment w:val="auto"/>
              <w:rPr>
                <w:b/>
                <w:bCs/>
              </w:rPr>
            </w:pPr>
            <w:r>
              <w:rPr>
                <w:b/>
                <w:bCs/>
              </w:rPr>
              <w:t>表3-</w:t>
            </w:r>
            <w:r>
              <w:rPr>
                <w:rFonts w:hint="eastAsia"/>
                <w:b/>
                <w:bCs/>
              </w:rPr>
              <w:t>3</w:t>
            </w:r>
            <w:r>
              <w:rPr>
                <w:b/>
                <w:bCs/>
              </w:rPr>
              <w:t xml:space="preserve"> 大气环境保护目标一览表</w:t>
            </w:r>
          </w:p>
          <w:tbl>
            <w:tblPr>
              <w:tblStyle w:val="16"/>
              <w:tblW w:w="810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208"/>
              <w:gridCol w:w="1037"/>
              <w:gridCol w:w="950"/>
              <w:gridCol w:w="855"/>
              <w:gridCol w:w="825"/>
              <w:gridCol w:w="751"/>
              <w:gridCol w:w="927"/>
            </w:tblGrid>
            <w:tr w14:paraId="12C36B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0" w:type="dxa"/>
                  <w:vMerge w:val="restart"/>
                  <w:vAlign w:val="center"/>
                </w:tcPr>
                <w:p w14:paraId="19609E51">
                  <w:pPr>
                    <w:widowControl/>
                    <w:jc w:val="center"/>
                    <w:rPr>
                      <w:sz w:val="18"/>
                      <w:szCs w:val="18"/>
                    </w:rPr>
                  </w:pPr>
                  <w:r>
                    <w:rPr>
                      <w:sz w:val="18"/>
                      <w:szCs w:val="18"/>
                    </w:rPr>
                    <w:t>环境空气保护目标名称</w:t>
                  </w:r>
                </w:p>
              </w:tc>
              <w:tc>
                <w:tcPr>
                  <w:tcW w:w="2245" w:type="dxa"/>
                  <w:gridSpan w:val="2"/>
                  <w:vAlign w:val="center"/>
                </w:tcPr>
                <w:p w14:paraId="1F58F299">
                  <w:pPr>
                    <w:widowControl/>
                    <w:jc w:val="center"/>
                    <w:rPr>
                      <w:sz w:val="18"/>
                      <w:szCs w:val="18"/>
                    </w:rPr>
                  </w:pPr>
                  <w:r>
                    <w:rPr>
                      <w:sz w:val="18"/>
                      <w:szCs w:val="18"/>
                    </w:rPr>
                    <w:t>坐标</w:t>
                  </w:r>
                </w:p>
              </w:tc>
              <w:tc>
                <w:tcPr>
                  <w:tcW w:w="950" w:type="dxa"/>
                  <w:vMerge w:val="restart"/>
                  <w:vAlign w:val="center"/>
                </w:tcPr>
                <w:p w14:paraId="19DEC64B">
                  <w:pPr>
                    <w:widowControl/>
                    <w:jc w:val="center"/>
                    <w:rPr>
                      <w:sz w:val="18"/>
                      <w:szCs w:val="18"/>
                    </w:rPr>
                  </w:pPr>
                  <w:r>
                    <w:rPr>
                      <w:sz w:val="18"/>
                      <w:szCs w:val="18"/>
                    </w:rPr>
                    <w:t>保护对象</w:t>
                  </w:r>
                </w:p>
              </w:tc>
              <w:tc>
                <w:tcPr>
                  <w:tcW w:w="855" w:type="dxa"/>
                  <w:vMerge w:val="restart"/>
                  <w:vAlign w:val="center"/>
                </w:tcPr>
                <w:p w14:paraId="424E3B34">
                  <w:pPr>
                    <w:widowControl/>
                    <w:jc w:val="center"/>
                    <w:rPr>
                      <w:sz w:val="18"/>
                      <w:szCs w:val="18"/>
                    </w:rPr>
                  </w:pPr>
                  <w:r>
                    <w:rPr>
                      <w:sz w:val="18"/>
                      <w:szCs w:val="18"/>
                    </w:rPr>
                    <w:t>规模</w:t>
                  </w:r>
                </w:p>
              </w:tc>
              <w:tc>
                <w:tcPr>
                  <w:tcW w:w="825" w:type="dxa"/>
                  <w:vMerge w:val="restart"/>
                  <w:vAlign w:val="center"/>
                </w:tcPr>
                <w:p w14:paraId="09923FD4">
                  <w:pPr>
                    <w:widowControl/>
                    <w:jc w:val="center"/>
                    <w:rPr>
                      <w:sz w:val="18"/>
                      <w:szCs w:val="18"/>
                    </w:rPr>
                  </w:pPr>
                  <w:r>
                    <w:rPr>
                      <w:sz w:val="18"/>
                      <w:szCs w:val="18"/>
                    </w:rPr>
                    <w:t>环境功能区</w:t>
                  </w:r>
                </w:p>
              </w:tc>
              <w:tc>
                <w:tcPr>
                  <w:tcW w:w="751" w:type="dxa"/>
                  <w:vMerge w:val="restart"/>
                  <w:vAlign w:val="center"/>
                </w:tcPr>
                <w:p w14:paraId="4E3AEE04">
                  <w:pPr>
                    <w:widowControl/>
                    <w:jc w:val="center"/>
                    <w:rPr>
                      <w:sz w:val="18"/>
                      <w:szCs w:val="18"/>
                    </w:rPr>
                  </w:pPr>
                  <w:r>
                    <w:rPr>
                      <w:sz w:val="18"/>
                      <w:szCs w:val="18"/>
                    </w:rPr>
                    <w:t>相对厂址方位</w:t>
                  </w:r>
                </w:p>
              </w:tc>
              <w:tc>
                <w:tcPr>
                  <w:tcW w:w="927" w:type="dxa"/>
                  <w:vMerge w:val="restart"/>
                  <w:vAlign w:val="center"/>
                </w:tcPr>
                <w:p w14:paraId="6AA58242">
                  <w:pPr>
                    <w:widowControl/>
                    <w:jc w:val="center"/>
                    <w:rPr>
                      <w:sz w:val="18"/>
                      <w:szCs w:val="18"/>
                    </w:rPr>
                  </w:pPr>
                  <w:r>
                    <w:rPr>
                      <w:sz w:val="18"/>
                      <w:szCs w:val="18"/>
                    </w:rPr>
                    <w:t>相对厂界距离</w:t>
                  </w:r>
                </w:p>
              </w:tc>
            </w:tr>
            <w:tr w14:paraId="1ECFD8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0" w:type="dxa"/>
                  <w:vMerge w:val="continue"/>
                  <w:vAlign w:val="center"/>
                </w:tcPr>
                <w:p w14:paraId="590F8188">
                  <w:pPr>
                    <w:widowControl/>
                    <w:jc w:val="center"/>
                    <w:rPr>
                      <w:sz w:val="18"/>
                      <w:szCs w:val="18"/>
                    </w:rPr>
                  </w:pPr>
                </w:p>
              </w:tc>
              <w:tc>
                <w:tcPr>
                  <w:tcW w:w="1208" w:type="dxa"/>
                  <w:vAlign w:val="center"/>
                </w:tcPr>
                <w:p w14:paraId="57E304C9">
                  <w:pPr>
                    <w:widowControl/>
                    <w:jc w:val="center"/>
                    <w:rPr>
                      <w:sz w:val="18"/>
                      <w:szCs w:val="18"/>
                    </w:rPr>
                  </w:pPr>
                  <w:r>
                    <w:rPr>
                      <w:sz w:val="18"/>
                      <w:szCs w:val="18"/>
                    </w:rPr>
                    <w:t>X</w:t>
                  </w:r>
                </w:p>
              </w:tc>
              <w:tc>
                <w:tcPr>
                  <w:tcW w:w="1037" w:type="dxa"/>
                  <w:vAlign w:val="center"/>
                </w:tcPr>
                <w:p w14:paraId="42A46436">
                  <w:pPr>
                    <w:widowControl/>
                    <w:jc w:val="center"/>
                    <w:rPr>
                      <w:sz w:val="18"/>
                      <w:szCs w:val="18"/>
                    </w:rPr>
                  </w:pPr>
                  <w:r>
                    <w:rPr>
                      <w:sz w:val="18"/>
                      <w:szCs w:val="18"/>
                    </w:rPr>
                    <w:t>Y</w:t>
                  </w:r>
                </w:p>
              </w:tc>
              <w:tc>
                <w:tcPr>
                  <w:tcW w:w="950" w:type="dxa"/>
                  <w:vMerge w:val="continue"/>
                  <w:vAlign w:val="center"/>
                </w:tcPr>
                <w:p w14:paraId="3A0ABC0C">
                  <w:pPr>
                    <w:widowControl/>
                    <w:jc w:val="center"/>
                    <w:rPr>
                      <w:sz w:val="18"/>
                      <w:szCs w:val="18"/>
                    </w:rPr>
                  </w:pPr>
                </w:p>
              </w:tc>
              <w:tc>
                <w:tcPr>
                  <w:tcW w:w="855" w:type="dxa"/>
                  <w:vMerge w:val="continue"/>
                  <w:vAlign w:val="center"/>
                </w:tcPr>
                <w:p w14:paraId="2B44CE51">
                  <w:pPr>
                    <w:widowControl/>
                    <w:jc w:val="center"/>
                    <w:rPr>
                      <w:sz w:val="18"/>
                      <w:szCs w:val="18"/>
                    </w:rPr>
                  </w:pPr>
                </w:p>
              </w:tc>
              <w:tc>
                <w:tcPr>
                  <w:tcW w:w="825" w:type="dxa"/>
                  <w:vMerge w:val="continue"/>
                  <w:vAlign w:val="center"/>
                </w:tcPr>
                <w:p w14:paraId="0A57AD13">
                  <w:pPr>
                    <w:widowControl/>
                    <w:jc w:val="center"/>
                    <w:rPr>
                      <w:sz w:val="18"/>
                      <w:szCs w:val="18"/>
                    </w:rPr>
                  </w:pPr>
                </w:p>
              </w:tc>
              <w:tc>
                <w:tcPr>
                  <w:tcW w:w="751" w:type="dxa"/>
                  <w:vMerge w:val="continue"/>
                  <w:vAlign w:val="center"/>
                </w:tcPr>
                <w:p w14:paraId="05AC249B">
                  <w:pPr>
                    <w:widowControl/>
                    <w:jc w:val="center"/>
                    <w:rPr>
                      <w:sz w:val="18"/>
                      <w:szCs w:val="18"/>
                    </w:rPr>
                  </w:pPr>
                </w:p>
              </w:tc>
              <w:tc>
                <w:tcPr>
                  <w:tcW w:w="927" w:type="dxa"/>
                  <w:vMerge w:val="continue"/>
                  <w:vAlign w:val="center"/>
                </w:tcPr>
                <w:p w14:paraId="31AA0496">
                  <w:pPr>
                    <w:widowControl/>
                    <w:jc w:val="center"/>
                    <w:rPr>
                      <w:sz w:val="18"/>
                      <w:szCs w:val="18"/>
                    </w:rPr>
                  </w:pPr>
                </w:p>
              </w:tc>
            </w:tr>
            <w:tr w14:paraId="696119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550" w:type="dxa"/>
                  <w:vAlign w:val="center"/>
                </w:tcPr>
                <w:p w14:paraId="4E4A8AC3">
                  <w:pPr>
                    <w:widowControl/>
                    <w:jc w:val="center"/>
                    <w:rPr>
                      <w:rFonts w:hint="eastAsia" w:eastAsia="宋体"/>
                      <w:sz w:val="18"/>
                      <w:szCs w:val="18"/>
                      <w:lang w:eastAsia="zh-CN"/>
                    </w:rPr>
                  </w:pPr>
                  <w:r>
                    <w:rPr>
                      <w:rFonts w:hint="eastAsia"/>
                      <w:sz w:val="18"/>
                      <w:szCs w:val="18"/>
                      <w:lang w:eastAsia="zh-CN"/>
                    </w:rPr>
                    <w:t>散户</w:t>
                  </w:r>
                </w:p>
              </w:tc>
              <w:tc>
                <w:tcPr>
                  <w:tcW w:w="1208" w:type="dxa"/>
                  <w:vAlign w:val="center"/>
                </w:tcPr>
                <w:p w14:paraId="0DF7DF21">
                  <w:pPr>
                    <w:widowControl/>
                    <w:jc w:val="center"/>
                    <w:rPr>
                      <w:sz w:val="18"/>
                      <w:szCs w:val="18"/>
                    </w:rPr>
                  </w:pPr>
                  <w:r>
                    <w:rPr>
                      <w:rFonts w:hint="eastAsia"/>
                      <w:sz w:val="18"/>
                      <w:szCs w:val="18"/>
                    </w:rPr>
                    <w:t>120.86231</w:t>
                  </w:r>
                </w:p>
              </w:tc>
              <w:tc>
                <w:tcPr>
                  <w:tcW w:w="1037" w:type="dxa"/>
                  <w:vAlign w:val="center"/>
                </w:tcPr>
                <w:p w14:paraId="187013C2">
                  <w:pPr>
                    <w:widowControl/>
                    <w:jc w:val="center"/>
                    <w:rPr>
                      <w:sz w:val="18"/>
                      <w:szCs w:val="18"/>
                    </w:rPr>
                  </w:pPr>
                  <w:r>
                    <w:rPr>
                      <w:rFonts w:hint="eastAsia"/>
                      <w:sz w:val="18"/>
                      <w:szCs w:val="18"/>
                    </w:rPr>
                    <w:t>32.17893</w:t>
                  </w:r>
                </w:p>
              </w:tc>
              <w:tc>
                <w:tcPr>
                  <w:tcW w:w="950" w:type="dxa"/>
                  <w:vAlign w:val="center"/>
                </w:tcPr>
                <w:p w14:paraId="05A8AC45">
                  <w:pPr>
                    <w:widowControl/>
                    <w:jc w:val="center"/>
                    <w:rPr>
                      <w:sz w:val="18"/>
                      <w:szCs w:val="18"/>
                    </w:rPr>
                  </w:pPr>
                  <w:r>
                    <w:rPr>
                      <w:sz w:val="18"/>
                      <w:szCs w:val="18"/>
                    </w:rPr>
                    <w:t>居住区</w:t>
                  </w:r>
                </w:p>
              </w:tc>
              <w:tc>
                <w:tcPr>
                  <w:tcW w:w="855" w:type="dxa"/>
                  <w:vAlign w:val="center"/>
                </w:tcPr>
                <w:p w14:paraId="40E04546">
                  <w:pPr>
                    <w:keepNext w:val="0"/>
                    <w:keepLines w:val="0"/>
                    <w:widowControl/>
                    <w:suppressLineNumbers w:val="0"/>
                    <w:jc w:val="left"/>
                    <w:rPr>
                      <w:sz w:val="18"/>
                      <w:szCs w:val="18"/>
                    </w:rPr>
                  </w:pPr>
                  <w:r>
                    <w:rPr>
                      <w:rFonts w:hint="eastAsia" w:cs="Times New Roman"/>
                      <w:color w:val="000000"/>
                      <w:kern w:val="0"/>
                      <w:sz w:val="20"/>
                      <w:szCs w:val="20"/>
                      <w:lang w:val="en-US" w:eastAsia="zh-CN" w:bidi="ar"/>
                    </w:rPr>
                    <w:t>5</w:t>
                  </w:r>
                  <w:r>
                    <w:rPr>
                      <w:rFonts w:hint="eastAsia" w:ascii="宋体" w:hAnsi="宋体" w:eastAsia="宋体" w:cs="宋体"/>
                      <w:color w:val="000000"/>
                      <w:kern w:val="0"/>
                      <w:sz w:val="20"/>
                      <w:szCs w:val="20"/>
                      <w:lang w:val="en-US" w:eastAsia="zh-CN" w:bidi="ar"/>
                    </w:rPr>
                    <w:t>户</w:t>
                  </w:r>
                  <w:r>
                    <w:rPr>
                      <w:rFonts w:hint="default" w:ascii="Times New Roman" w:hAnsi="Times New Roman" w:eastAsia="宋体" w:cs="Times New Roman"/>
                      <w:color w:val="000000"/>
                      <w:kern w:val="0"/>
                      <w:sz w:val="20"/>
                      <w:szCs w:val="20"/>
                      <w:lang w:val="en-US" w:eastAsia="zh-CN" w:bidi="ar"/>
                    </w:rPr>
                    <w:t>/</w:t>
                  </w:r>
                  <w:r>
                    <w:rPr>
                      <w:rFonts w:hint="eastAsia" w:cs="Times New Roman"/>
                      <w:color w:val="000000"/>
                      <w:kern w:val="0"/>
                      <w:sz w:val="20"/>
                      <w:szCs w:val="20"/>
                      <w:lang w:val="en-US" w:eastAsia="zh-CN" w:bidi="ar"/>
                    </w:rPr>
                    <w:t>1</w:t>
                  </w:r>
                  <w:r>
                    <w:rPr>
                      <w:rFonts w:hint="default" w:ascii="Times New Roman" w:hAnsi="Times New Roman" w:eastAsia="宋体" w:cs="Times New Roman"/>
                      <w:color w:val="000000"/>
                      <w:kern w:val="0"/>
                      <w:sz w:val="20"/>
                      <w:szCs w:val="20"/>
                      <w:lang w:val="en-US" w:eastAsia="zh-CN" w:bidi="ar"/>
                    </w:rPr>
                    <w:t>5</w:t>
                  </w:r>
                  <w:r>
                    <w:rPr>
                      <w:rFonts w:hint="eastAsia" w:ascii="宋体" w:hAnsi="宋体" w:eastAsia="宋体" w:cs="宋体"/>
                      <w:color w:val="000000"/>
                      <w:kern w:val="0"/>
                      <w:sz w:val="20"/>
                      <w:szCs w:val="20"/>
                      <w:lang w:val="en-US" w:eastAsia="zh-CN" w:bidi="ar"/>
                    </w:rPr>
                    <w:t>人</w:t>
                  </w:r>
                </w:p>
              </w:tc>
              <w:tc>
                <w:tcPr>
                  <w:tcW w:w="825" w:type="dxa"/>
                  <w:vAlign w:val="center"/>
                </w:tcPr>
                <w:p w14:paraId="3F3707F4">
                  <w:pPr>
                    <w:widowControl/>
                    <w:jc w:val="center"/>
                    <w:rPr>
                      <w:sz w:val="18"/>
                      <w:szCs w:val="18"/>
                    </w:rPr>
                  </w:pPr>
                  <w:r>
                    <w:rPr>
                      <w:sz w:val="18"/>
                      <w:szCs w:val="18"/>
                    </w:rPr>
                    <w:t>二类区</w:t>
                  </w:r>
                </w:p>
              </w:tc>
              <w:tc>
                <w:tcPr>
                  <w:tcW w:w="751" w:type="dxa"/>
                  <w:vAlign w:val="center"/>
                </w:tcPr>
                <w:p w14:paraId="69E70AA0">
                  <w:pPr>
                    <w:widowControl/>
                    <w:jc w:val="center"/>
                    <w:rPr>
                      <w:rFonts w:hint="default" w:eastAsia="宋体"/>
                      <w:sz w:val="18"/>
                      <w:szCs w:val="18"/>
                      <w:lang w:val="en-US" w:eastAsia="zh-CN"/>
                    </w:rPr>
                  </w:pPr>
                  <w:r>
                    <w:rPr>
                      <w:rFonts w:hint="eastAsia"/>
                      <w:sz w:val="18"/>
                      <w:szCs w:val="18"/>
                      <w:lang w:val="en-US" w:eastAsia="zh-CN"/>
                    </w:rPr>
                    <w:t>ES</w:t>
                  </w:r>
                </w:p>
              </w:tc>
              <w:tc>
                <w:tcPr>
                  <w:tcW w:w="927" w:type="dxa"/>
                  <w:vAlign w:val="center"/>
                </w:tcPr>
                <w:p w14:paraId="79BB63AF">
                  <w:pPr>
                    <w:widowControl/>
                    <w:jc w:val="center"/>
                    <w:rPr>
                      <w:rFonts w:hint="default" w:eastAsia="宋体"/>
                      <w:sz w:val="18"/>
                      <w:szCs w:val="18"/>
                      <w:lang w:val="en-US" w:eastAsia="zh-CN"/>
                    </w:rPr>
                  </w:pPr>
                  <w:r>
                    <w:rPr>
                      <w:rFonts w:hint="eastAsia"/>
                      <w:sz w:val="18"/>
                      <w:szCs w:val="18"/>
                      <w:lang w:val="en-US" w:eastAsia="zh-CN"/>
                    </w:rPr>
                    <w:t>49.59m</w:t>
                  </w:r>
                </w:p>
              </w:tc>
            </w:tr>
            <w:tr w14:paraId="3E1F41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50" w:type="dxa"/>
                  <w:vAlign w:val="center"/>
                </w:tcPr>
                <w:p w14:paraId="69C7CFF0">
                  <w:pPr>
                    <w:widowControl/>
                    <w:jc w:val="center"/>
                    <w:rPr>
                      <w:rFonts w:hint="eastAsia" w:eastAsia="宋体"/>
                      <w:sz w:val="18"/>
                      <w:szCs w:val="18"/>
                      <w:lang w:eastAsia="zh-CN"/>
                    </w:rPr>
                  </w:pPr>
                  <w:r>
                    <w:rPr>
                      <w:rFonts w:hint="eastAsia"/>
                      <w:sz w:val="18"/>
                      <w:szCs w:val="18"/>
                      <w:lang w:eastAsia="zh-CN"/>
                    </w:rPr>
                    <w:t>蒋一村十五组</w:t>
                  </w:r>
                </w:p>
              </w:tc>
              <w:tc>
                <w:tcPr>
                  <w:tcW w:w="1208" w:type="dxa"/>
                  <w:vAlign w:val="center"/>
                </w:tcPr>
                <w:p w14:paraId="629BF9EF">
                  <w:pPr>
                    <w:widowControl/>
                    <w:jc w:val="center"/>
                    <w:rPr>
                      <w:sz w:val="18"/>
                      <w:szCs w:val="18"/>
                    </w:rPr>
                  </w:pPr>
                  <w:r>
                    <w:rPr>
                      <w:rFonts w:hint="eastAsia"/>
                      <w:sz w:val="18"/>
                      <w:szCs w:val="18"/>
                    </w:rPr>
                    <w:t>120.86198</w:t>
                  </w:r>
                </w:p>
              </w:tc>
              <w:tc>
                <w:tcPr>
                  <w:tcW w:w="1037" w:type="dxa"/>
                  <w:vAlign w:val="center"/>
                </w:tcPr>
                <w:p w14:paraId="129A0048">
                  <w:pPr>
                    <w:widowControl/>
                    <w:jc w:val="center"/>
                    <w:rPr>
                      <w:rFonts w:hint="eastAsia" w:eastAsia="宋体"/>
                      <w:sz w:val="18"/>
                      <w:szCs w:val="18"/>
                      <w:lang w:val="en-US" w:eastAsia="zh-CN"/>
                    </w:rPr>
                  </w:pPr>
                  <w:r>
                    <w:rPr>
                      <w:rFonts w:hint="eastAsia"/>
                      <w:sz w:val="18"/>
                      <w:szCs w:val="18"/>
                    </w:rPr>
                    <w:t>32.17795</w:t>
                  </w:r>
                </w:p>
              </w:tc>
              <w:tc>
                <w:tcPr>
                  <w:tcW w:w="950" w:type="dxa"/>
                  <w:vAlign w:val="center"/>
                </w:tcPr>
                <w:p w14:paraId="1867FD37">
                  <w:pPr>
                    <w:widowControl/>
                    <w:jc w:val="center"/>
                    <w:rPr>
                      <w:sz w:val="18"/>
                      <w:szCs w:val="18"/>
                    </w:rPr>
                  </w:pPr>
                  <w:r>
                    <w:rPr>
                      <w:sz w:val="18"/>
                      <w:szCs w:val="18"/>
                    </w:rPr>
                    <w:t>居住区</w:t>
                  </w:r>
                </w:p>
              </w:tc>
              <w:tc>
                <w:tcPr>
                  <w:tcW w:w="855" w:type="dxa"/>
                  <w:vAlign w:val="center"/>
                </w:tcPr>
                <w:p w14:paraId="3E056F9C">
                  <w:pPr>
                    <w:keepNext w:val="0"/>
                    <w:keepLines w:val="0"/>
                    <w:widowControl/>
                    <w:suppressLineNumbers w:val="0"/>
                    <w:jc w:val="left"/>
                    <w:rPr>
                      <w:sz w:val="18"/>
                      <w:szCs w:val="18"/>
                    </w:rPr>
                  </w:pPr>
                  <w:r>
                    <w:rPr>
                      <w:rFonts w:hint="eastAsia" w:cs="Times New Roman"/>
                      <w:color w:val="000000"/>
                      <w:kern w:val="0"/>
                      <w:sz w:val="20"/>
                      <w:szCs w:val="20"/>
                      <w:lang w:val="en-US" w:eastAsia="zh-CN" w:bidi="ar"/>
                    </w:rPr>
                    <w:t>20</w:t>
                  </w:r>
                  <w:r>
                    <w:rPr>
                      <w:rFonts w:hint="eastAsia" w:ascii="宋体" w:hAnsi="宋体" w:eastAsia="宋体" w:cs="宋体"/>
                      <w:color w:val="000000"/>
                      <w:kern w:val="0"/>
                      <w:sz w:val="20"/>
                      <w:szCs w:val="20"/>
                      <w:lang w:val="en-US" w:eastAsia="zh-CN" w:bidi="ar"/>
                    </w:rPr>
                    <w:t>户</w:t>
                  </w:r>
                  <w:r>
                    <w:rPr>
                      <w:rFonts w:hint="default" w:ascii="Times New Roman" w:hAnsi="Times New Roman" w:eastAsia="宋体" w:cs="Times New Roman"/>
                      <w:color w:val="000000"/>
                      <w:kern w:val="0"/>
                      <w:sz w:val="20"/>
                      <w:szCs w:val="20"/>
                      <w:lang w:val="en-US" w:eastAsia="zh-CN" w:bidi="ar"/>
                    </w:rPr>
                    <w:t>/</w:t>
                  </w:r>
                  <w:r>
                    <w:rPr>
                      <w:rFonts w:hint="eastAsia" w:cs="Times New Roman"/>
                      <w:color w:val="000000"/>
                      <w:kern w:val="0"/>
                      <w:sz w:val="20"/>
                      <w:szCs w:val="20"/>
                      <w:lang w:val="en-US" w:eastAsia="zh-CN" w:bidi="ar"/>
                    </w:rPr>
                    <w:t>7</w:t>
                  </w:r>
                  <w:r>
                    <w:rPr>
                      <w:rFonts w:hint="default" w:ascii="Times New Roman" w:hAnsi="Times New Roman" w:eastAsia="宋体" w:cs="Times New Roman"/>
                      <w:color w:val="000000"/>
                      <w:kern w:val="0"/>
                      <w:sz w:val="20"/>
                      <w:szCs w:val="20"/>
                      <w:lang w:val="en-US" w:eastAsia="zh-CN" w:bidi="ar"/>
                    </w:rPr>
                    <w:t>5</w:t>
                  </w:r>
                  <w:r>
                    <w:rPr>
                      <w:rFonts w:hint="eastAsia" w:ascii="宋体" w:hAnsi="宋体" w:eastAsia="宋体" w:cs="宋体"/>
                      <w:color w:val="000000"/>
                      <w:kern w:val="0"/>
                      <w:sz w:val="20"/>
                      <w:szCs w:val="20"/>
                      <w:lang w:val="en-US" w:eastAsia="zh-CN" w:bidi="ar"/>
                    </w:rPr>
                    <w:t>人</w:t>
                  </w:r>
                </w:p>
              </w:tc>
              <w:tc>
                <w:tcPr>
                  <w:tcW w:w="825" w:type="dxa"/>
                  <w:vAlign w:val="center"/>
                </w:tcPr>
                <w:p w14:paraId="23C45B6C">
                  <w:pPr>
                    <w:widowControl/>
                    <w:jc w:val="center"/>
                    <w:rPr>
                      <w:sz w:val="18"/>
                      <w:szCs w:val="18"/>
                      <w:highlight w:val="none"/>
                    </w:rPr>
                  </w:pPr>
                  <w:r>
                    <w:rPr>
                      <w:sz w:val="18"/>
                      <w:szCs w:val="18"/>
                      <w:highlight w:val="none"/>
                    </w:rPr>
                    <w:t>二类区</w:t>
                  </w:r>
                </w:p>
              </w:tc>
              <w:tc>
                <w:tcPr>
                  <w:tcW w:w="751" w:type="dxa"/>
                  <w:vAlign w:val="center"/>
                </w:tcPr>
                <w:p w14:paraId="08EF66C7">
                  <w:pPr>
                    <w:widowControl/>
                    <w:jc w:val="center"/>
                    <w:rPr>
                      <w:rFonts w:hint="eastAsia" w:eastAsia="宋体"/>
                      <w:sz w:val="18"/>
                      <w:szCs w:val="18"/>
                      <w:highlight w:val="none"/>
                      <w:lang w:val="en-US" w:eastAsia="zh-CN"/>
                    </w:rPr>
                  </w:pPr>
                  <w:r>
                    <w:rPr>
                      <w:rFonts w:hint="eastAsia"/>
                      <w:sz w:val="18"/>
                      <w:szCs w:val="18"/>
                      <w:highlight w:val="none"/>
                      <w:lang w:val="en-US" w:eastAsia="zh-CN"/>
                    </w:rPr>
                    <w:t>ES</w:t>
                  </w:r>
                </w:p>
              </w:tc>
              <w:tc>
                <w:tcPr>
                  <w:tcW w:w="927" w:type="dxa"/>
                  <w:vAlign w:val="center"/>
                </w:tcPr>
                <w:p w14:paraId="40015581">
                  <w:pPr>
                    <w:widowControl/>
                    <w:jc w:val="center"/>
                    <w:rPr>
                      <w:rFonts w:hint="default" w:eastAsia="宋体"/>
                      <w:sz w:val="18"/>
                      <w:szCs w:val="18"/>
                      <w:lang w:val="en-US" w:eastAsia="zh-CN"/>
                    </w:rPr>
                  </w:pPr>
                  <w:r>
                    <w:rPr>
                      <w:rFonts w:hint="eastAsia"/>
                      <w:sz w:val="18"/>
                      <w:szCs w:val="18"/>
                      <w:lang w:val="en-US" w:eastAsia="zh-CN"/>
                    </w:rPr>
                    <w:t>105.8m</w:t>
                  </w:r>
                </w:p>
              </w:tc>
            </w:tr>
            <w:tr w14:paraId="653BB5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0" w:type="dxa"/>
                  <w:vAlign w:val="center"/>
                </w:tcPr>
                <w:p w14:paraId="4411EC9A">
                  <w:pPr>
                    <w:widowControl/>
                    <w:jc w:val="center"/>
                    <w:rPr>
                      <w:rFonts w:hint="default" w:eastAsia="宋体"/>
                      <w:sz w:val="18"/>
                      <w:szCs w:val="18"/>
                      <w:lang w:val="en-US" w:eastAsia="zh-CN"/>
                    </w:rPr>
                  </w:pPr>
                  <w:r>
                    <w:rPr>
                      <w:rFonts w:hint="eastAsia"/>
                      <w:sz w:val="18"/>
                      <w:szCs w:val="18"/>
                      <w:lang w:eastAsia="zh-CN"/>
                    </w:rPr>
                    <w:t>段家桥村</w:t>
                  </w:r>
                </w:p>
              </w:tc>
              <w:tc>
                <w:tcPr>
                  <w:tcW w:w="1208" w:type="dxa"/>
                  <w:vAlign w:val="center"/>
                </w:tcPr>
                <w:p w14:paraId="4688BB0A">
                  <w:pPr>
                    <w:widowControl/>
                    <w:jc w:val="center"/>
                    <w:rPr>
                      <w:rFonts w:hint="eastAsia" w:eastAsia="宋体"/>
                      <w:sz w:val="18"/>
                      <w:szCs w:val="18"/>
                      <w:lang w:val="en-US" w:eastAsia="zh-CN"/>
                    </w:rPr>
                  </w:pPr>
                  <w:r>
                    <w:rPr>
                      <w:rFonts w:hint="eastAsia"/>
                      <w:sz w:val="18"/>
                      <w:szCs w:val="18"/>
                    </w:rPr>
                    <w:t>121.01467</w:t>
                  </w:r>
                </w:p>
              </w:tc>
              <w:tc>
                <w:tcPr>
                  <w:tcW w:w="1037" w:type="dxa"/>
                  <w:vAlign w:val="center"/>
                </w:tcPr>
                <w:p w14:paraId="6A255E6D">
                  <w:pPr>
                    <w:widowControl/>
                    <w:jc w:val="center"/>
                    <w:rPr>
                      <w:rFonts w:hint="eastAsia" w:eastAsia="宋体"/>
                      <w:sz w:val="18"/>
                      <w:szCs w:val="18"/>
                      <w:lang w:val="en-US" w:eastAsia="zh-CN"/>
                    </w:rPr>
                  </w:pPr>
                  <w:r>
                    <w:rPr>
                      <w:rFonts w:hint="eastAsia"/>
                      <w:sz w:val="18"/>
                      <w:szCs w:val="18"/>
                    </w:rPr>
                    <w:t>32.10492</w:t>
                  </w:r>
                </w:p>
              </w:tc>
              <w:tc>
                <w:tcPr>
                  <w:tcW w:w="950" w:type="dxa"/>
                  <w:vAlign w:val="center"/>
                </w:tcPr>
                <w:p w14:paraId="2BCB7131">
                  <w:pPr>
                    <w:widowControl/>
                    <w:jc w:val="center"/>
                    <w:rPr>
                      <w:sz w:val="18"/>
                      <w:szCs w:val="18"/>
                    </w:rPr>
                  </w:pPr>
                  <w:r>
                    <w:rPr>
                      <w:sz w:val="18"/>
                      <w:szCs w:val="18"/>
                    </w:rPr>
                    <w:t>居住区</w:t>
                  </w:r>
                </w:p>
              </w:tc>
              <w:tc>
                <w:tcPr>
                  <w:tcW w:w="855" w:type="dxa"/>
                  <w:vAlign w:val="center"/>
                </w:tcPr>
                <w:p w14:paraId="229085A0">
                  <w:pPr>
                    <w:widowControl/>
                    <w:jc w:val="center"/>
                    <w:rPr>
                      <w:sz w:val="18"/>
                      <w:szCs w:val="18"/>
                    </w:rPr>
                  </w:pPr>
                  <w:r>
                    <w:rPr>
                      <w:rFonts w:hint="eastAsia"/>
                      <w:sz w:val="18"/>
                      <w:szCs w:val="18"/>
                      <w:lang w:val="en-US" w:eastAsia="zh-CN"/>
                    </w:rPr>
                    <w:t>4</w:t>
                  </w:r>
                  <w:r>
                    <w:rPr>
                      <w:rFonts w:hint="eastAsia"/>
                      <w:sz w:val="18"/>
                      <w:szCs w:val="18"/>
                    </w:rPr>
                    <w:t>0户/</w:t>
                  </w:r>
                  <w:r>
                    <w:rPr>
                      <w:rFonts w:hint="eastAsia"/>
                      <w:sz w:val="18"/>
                      <w:szCs w:val="18"/>
                      <w:lang w:val="en-US" w:eastAsia="zh-CN"/>
                    </w:rPr>
                    <w:t>12</w:t>
                  </w:r>
                  <w:r>
                    <w:rPr>
                      <w:rFonts w:hint="eastAsia"/>
                      <w:sz w:val="18"/>
                      <w:szCs w:val="18"/>
                    </w:rPr>
                    <w:t>5人</w:t>
                  </w:r>
                </w:p>
              </w:tc>
              <w:tc>
                <w:tcPr>
                  <w:tcW w:w="825" w:type="dxa"/>
                  <w:vAlign w:val="center"/>
                </w:tcPr>
                <w:p w14:paraId="6C269D1C">
                  <w:pPr>
                    <w:widowControl/>
                    <w:jc w:val="center"/>
                    <w:rPr>
                      <w:sz w:val="18"/>
                      <w:szCs w:val="18"/>
                    </w:rPr>
                  </w:pPr>
                  <w:r>
                    <w:rPr>
                      <w:sz w:val="18"/>
                      <w:szCs w:val="18"/>
                    </w:rPr>
                    <w:t>二类区</w:t>
                  </w:r>
                </w:p>
              </w:tc>
              <w:tc>
                <w:tcPr>
                  <w:tcW w:w="751" w:type="dxa"/>
                  <w:vAlign w:val="center"/>
                </w:tcPr>
                <w:p w14:paraId="678E9333">
                  <w:pPr>
                    <w:widowControl/>
                    <w:jc w:val="center"/>
                    <w:rPr>
                      <w:rFonts w:hint="eastAsia" w:eastAsia="宋体"/>
                      <w:sz w:val="18"/>
                      <w:szCs w:val="18"/>
                      <w:lang w:val="en-US" w:eastAsia="zh-CN"/>
                    </w:rPr>
                  </w:pPr>
                  <w:r>
                    <w:rPr>
                      <w:rFonts w:hint="eastAsia"/>
                      <w:sz w:val="18"/>
                      <w:szCs w:val="18"/>
                      <w:lang w:val="en-US" w:eastAsia="zh-CN"/>
                    </w:rPr>
                    <w:t>S</w:t>
                  </w:r>
                </w:p>
              </w:tc>
              <w:tc>
                <w:tcPr>
                  <w:tcW w:w="927" w:type="dxa"/>
                  <w:vAlign w:val="center"/>
                </w:tcPr>
                <w:p w14:paraId="4D7CF5DC">
                  <w:pPr>
                    <w:widowControl/>
                    <w:jc w:val="center"/>
                    <w:rPr>
                      <w:rFonts w:hint="default" w:eastAsia="宋体"/>
                      <w:sz w:val="18"/>
                      <w:szCs w:val="18"/>
                      <w:lang w:val="en-US" w:eastAsia="zh-CN"/>
                    </w:rPr>
                  </w:pPr>
                  <w:r>
                    <w:rPr>
                      <w:rFonts w:hint="eastAsia"/>
                      <w:sz w:val="18"/>
                      <w:szCs w:val="18"/>
                      <w:lang w:val="en-US" w:eastAsia="zh-CN"/>
                    </w:rPr>
                    <w:t>153.62m</w:t>
                  </w:r>
                </w:p>
              </w:tc>
            </w:tr>
            <w:tr w14:paraId="43E32A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0" w:type="dxa"/>
                  <w:vAlign w:val="center"/>
                </w:tcPr>
                <w:p w14:paraId="0AC16C9A">
                  <w:pPr>
                    <w:widowControl/>
                    <w:jc w:val="center"/>
                    <w:rPr>
                      <w:sz w:val="18"/>
                      <w:szCs w:val="18"/>
                    </w:rPr>
                  </w:pPr>
                  <w:r>
                    <w:rPr>
                      <w:rFonts w:hint="eastAsia"/>
                      <w:sz w:val="18"/>
                      <w:szCs w:val="18"/>
                    </w:rPr>
                    <w:t>纪家店</w:t>
                  </w:r>
                </w:p>
              </w:tc>
              <w:tc>
                <w:tcPr>
                  <w:tcW w:w="1208" w:type="dxa"/>
                  <w:vAlign w:val="center"/>
                </w:tcPr>
                <w:p w14:paraId="24A5BD1F">
                  <w:pPr>
                    <w:widowControl/>
                    <w:jc w:val="center"/>
                    <w:rPr>
                      <w:sz w:val="18"/>
                      <w:szCs w:val="18"/>
                    </w:rPr>
                  </w:pPr>
                  <w:r>
                    <w:rPr>
                      <w:rFonts w:hint="eastAsia"/>
                      <w:sz w:val="18"/>
                      <w:szCs w:val="18"/>
                    </w:rPr>
                    <w:t>120.86445</w:t>
                  </w:r>
                </w:p>
              </w:tc>
              <w:tc>
                <w:tcPr>
                  <w:tcW w:w="1037" w:type="dxa"/>
                  <w:vAlign w:val="center"/>
                </w:tcPr>
                <w:p w14:paraId="4E0959A2">
                  <w:pPr>
                    <w:widowControl/>
                    <w:jc w:val="center"/>
                    <w:rPr>
                      <w:sz w:val="18"/>
                      <w:szCs w:val="18"/>
                    </w:rPr>
                  </w:pPr>
                  <w:r>
                    <w:rPr>
                      <w:rFonts w:hint="eastAsia"/>
                      <w:sz w:val="18"/>
                      <w:szCs w:val="18"/>
                    </w:rPr>
                    <w:t>32.17880</w:t>
                  </w:r>
                </w:p>
              </w:tc>
              <w:tc>
                <w:tcPr>
                  <w:tcW w:w="950" w:type="dxa"/>
                  <w:vAlign w:val="center"/>
                </w:tcPr>
                <w:p w14:paraId="2D3AD436">
                  <w:pPr>
                    <w:widowControl/>
                    <w:jc w:val="center"/>
                    <w:rPr>
                      <w:sz w:val="18"/>
                      <w:szCs w:val="18"/>
                    </w:rPr>
                  </w:pPr>
                  <w:r>
                    <w:rPr>
                      <w:sz w:val="18"/>
                      <w:szCs w:val="18"/>
                    </w:rPr>
                    <w:t>居住区</w:t>
                  </w:r>
                </w:p>
              </w:tc>
              <w:tc>
                <w:tcPr>
                  <w:tcW w:w="855" w:type="dxa"/>
                  <w:vAlign w:val="center"/>
                </w:tcPr>
                <w:p w14:paraId="07D01D1D">
                  <w:pPr>
                    <w:widowControl/>
                    <w:jc w:val="center"/>
                    <w:rPr>
                      <w:sz w:val="18"/>
                      <w:szCs w:val="18"/>
                    </w:rPr>
                  </w:pPr>
                  <w:r>
                    <w:rPr>
                      <w:rFonts w:hint="eastAsia"/>
                      <w:sz w:val="18"/>
                      <w:szCs w:val="18"/>
                      <w:lang w:val="en-US" w:eastAsia="zh-CN"/>
                    </w:rPr>
                    <w:t>37</w:t>
                  </w:r>
                  <w:r>
                    <w:rPr>
                      <w:rFonts w:hint="eastAsia"/>
                      <w:sz w:val="18"/>
                      <w:szCs w:val="18"/>
                    </w:rPr>
                    <w:t>户/</w:t>
                  </w:r>
                  <w:r>
                    <w:rPr>
                      <w:rFonts w:hint="eastAsia"/>
                      <w:sz w:val="18"/>
                      <w:szCs w:val="18"/>
                      <w:lang w:val="en-US" w:eastAsia="zh-CN"/>
                    </w:rPr>
                    <w:t>83</w:t>
                  </w:r>
                  <w:r>
                    <w:rPr>
                      <w:rFonts w:hint="eastAsia"/>
                      <w:sz w:val="18"/>
                      <w:szCs w:val="18"/>
                    </w:rPr>
                    <w:t>人</w:t>
                  </w:r>
                </w:p>
              </w:tc>
              <w:tc>
                <w:tcPr>
                  <w:tcW w:w="825" w:type="dxa"/>
                  <w:vAlign w:val="center"/>
                </w:tcPr>
                <w:p w14:paraId="0C1D63F0">
                  <w:pPr>
                    <w:widowControl/>
                    <w:jc w:val="center"/>
                    <w:rPr>
                      <w:sz w:val="18"/>
                      <w:szCs w:val="18"/>
                    </w:rPr>
                  </w:pPr>
                  <w:r>
                    <w:rPr>
                      <w:sz w:val="18"/>
                      <w:szCs w:val="18"/>
                    </w:rPr>
                    <w:t>二类区</w:t>
                  </w:r>
                </w:p>
              </w:tc>
              <w:tc>
                <w:tcPr>
                  <w:tcW w:w="751" w:type="dxa"/>
                  <w:vAlign w:val="center"/>
                </w:tcPr>
                <w:p w14:paraId="7DAB1F8F">
                  <w:pPr>
                    <w:widowControl/>
                    <w:jc w:val="center"/>
                    <w:rPr>
                      <w:rFonts w:hint="default" w:eastAsia="宋体"/>
                      <w:sz w:val="18"/>
                      <w:szCs w:val="18"/>
                      <w:lang w:val="en-US" w:eastAsia="zh-CN"/>
                    </w:rPr>
                  </w:pPr>
                  <w:r>
                    <w:rPr>
                      <w:rFonts w:hint="eastAsia"/>
                      <w:sz w:val="18"/>
                      <w:szCs w:val="18"/>
                      <w:lang w:val="en-US" w:eastAsia="zh-CN"/>
                    </w:rPr>
                    <w:t>ES</w:t>
                  </w:r>
                </w:p>
              </w:tc>
              <w:tc>
                <w:tcPr>
                  <w:tcW w:w="927" w:type="dxa"/>
                  <w:vAlign w:val="center"/>
                </w:tcPr>
                <w:p w14:paraId="00477A09">
                  <w:pPr>
                    <w:widowControl/>
                    <w:jc w:val="center"/>
                    <w:rPr>
                      <w:rFonts w:hint="default" w:eastAsia="宋体"/>
                      <w:sz w:val="18"/>
                      <w:szCs w:val="18"/>
                      <w:lang w:val="en-US" w:eastAsia="zh-CN"/>
                    </w:rPr>
                  </w:pPr>
                  <w:r>
                    <w:rPr>
                      <w:rFonts w:hint="eastAsia"/>
                      <w:sz w:val="18"/>
                      <w:szCs w:val="18"/>
                      <w:lang w:val="en-US" w:eastAsia="zh-CN"/>
                    </w:rPr>
                    <w:t>169.49m</w:t>
                  </w:r>
                </w:p>
              </w:tc>
            </w:tr>
            <w:tr w14:paraId="5E918C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50" w:type="dxa"/>
                  <w:vAlign w:val="center"/>
                </w:tcPr>
                <w:p w14:paraId="6CA6CAC8">
                  <w:pPr>
                    <w:widowControl/>
                    <w:jc w:val="center"/>
                    <w:rPr>
                      <w:rFonts w:hint="eastAsia" w:eastAsia="宋体"/>
                      <w:sz w:val="18"/>
                      <w:szCs w:val="18"/>
                      <w:lang w:eastAsia="zh-CN"/>
                    </w:rPr>
                  </w:pPr>
                  <w:r>
                    <w:rPr>
                      <w:rFonts w:hint="eastAsia"/>
                      <w:sz w:val="18"/>
                      <w:szCs w:val="18"/>
                      <w:lang w:eastAsia="zh-CN"/>
                    </w:rPr>
                    <w:t>刘桥社区散户</w:t>
                  </w:r>
                </w:p>
              </w:tc>
              <w:tc>
                <w:tcPr>
                  <w:tcW w:w="1208" w:type="dxa"/>
                  <w:vAlign w:val="center"/>
                </w:tcPr>
                <w:p w14:paraId="6D22E1CF">
                  <w:pPr>
                    <w:widowControl/>
                    <w:jc w:val="center"/>
                    <w:rPr>
                      <w:rFonts w:hint="eastAsia" w:eastAsia="宋体"/>
                      <w:sz w:val="18"/>
                      <w:szCs w:val="18"/>
                      <w:lang w:eastAsia="zh-CN"/>
                    </w:rPr>
                  </w:pPr>
                  <w:r>
                    <w:rPr>
                      <w:rFonts w:hint="eastAsia"/>
                      <w:sz w:val="18"/>
                      <w:szCs w:val="18"/>
                    </w:rPr>
                    <w:t>120.85968</w:t>
                  </w:r>
                </w:p>
              </w:tc>
              <w:tc>
                <w:tcPr>
                  <w:tcW w:w="1037" w:type="dxa"/>
                  <w:vAlign w:val="center"/>
                </w:tcPr>
                <w:p w14:paraId="6D8E54A3">
                  <w:pPr>
                    <w:widowControl/>
                    <w:jc w:val="center"/>
                    <w:rPr>
                      <w:rFonts w:hint="eastAsia" w:eastAsia="宋体"/>
                      <w:sz w:val="18"/>
                      <w:szCs w:val="18"/>
                      <w:lang w:eastAsia="zh-CN"/>
                    </w:rPr>
                  </w:pPr>
                  <w:r>
                    <w:rPr>
                      <w:rFonts w:hint="eastAsia"/>
                      <w:sz w:val="18"/>
                      <w:szCs w:val="18"/>
                    </w:rPr>
                    <w:t>32.17632</w:t>
                  </w:r>
                </w:p>
              </w:tc>
              <w:tc>
                <w:tcPr>
                  <w:tcW w:w="950" w:type="dxa"/>
                  <w:vAlign w:val="center"/>
                </w:tcPr>
                <w:p w14:paraId="79D5EDB5">
                  <w:pPr>
                    <w:widowControl/>
                    <w:jc w:val="center"/>
                    <w:rPr>
                      <w:sz w:val="18"/>
                      <w:szCs w:val="18"/>
                    </w:rPr>
                  </w:pPr>
                  <w:r>
                    <w:rPr>
                      <w:sz w:val="18"/>
                      <w:szCs w:val="18"/>
                    </w:rPr>
                    <w:t>居住区</w:t>
                  </w:r>
                </w:p>
              </w:tc>
              <w:tc>
                <w:tcPr>
                  <w:tcW w:w="855" w:type="dxa"/>
                  <w:vAlign w:val="center"/>
                </w:tcPr>
                <w:p w14:paraId="6FB145D2">
                  <w:pPr>
                    <w:widowControl/>
                    <w:jc w:val="center"/>
                    <w:rPr>
                      <w:sz w:val="18"/>
                      <w:szCs w:val="18"/>
                    </w:rPr>
                  </w:pPr>
                  <w:r>
                    <w:rPr>
                      <w:rFonts w:hint="eastAsia"/>
                      <w:sz w:val="18"/>
                      <w:szCs w:val="18"/>
                      <w:lang w:val="en-US" w:eastAsia="zh-CN"/>
                    </w:rPr>
                    <w:t>3</w:t>
                  </w:r>
                  <w:r>
                    <w:rPr>
                      <w:rFonts w:hint="eastAsia"/>
                      <w:sz w:val="18"/>
                      <w:szCs w:val="18"/>
                    </w:rPr>
                    <w:t>户/</w:t>
                  </w:r>
                  <w:r>
                    <w:rPr>
                      <w:rFonts w:hint="eastAsia"/>
                      <w:sz w:val="18"/>
                      <w:szCs w:val="18"/>
                      <w:lang w:val="en-US" w:eastAsia="zh-CN"/>
                    </w:rPr>
                    <w:t>10</w:t>
                  </w:r>
                  <w:r>
                    <w:rPr>
                      <w:rFonts w:hint="eastAsia"/>
                      <w:sz w:val="18"/>
                      <w:szCs w:val="18"/>
                    </w:rPr>
                    <w:t>人</w:t>
                  </w:r>
                </w:p>
              </w:tc>
              <w:tc>
                <w:tcPr>
                  <w:tcW w:w="825" w:type="dxa"/>
                  <w:vAlign w:val="center"/>
                </w:tcPr>
                <w:p w14:paraId="68E215F6">
                  <w:pPr>
                    <w:widowControl/>
                    <w:jc w:val="center"/>
                    <w:rPr>
                      <w:sz w:val="18"/>
                      <w:szCs w:val="18"/>
                    </w:rPr>
                  </w:pPr>
                  <w:r>
                    <w:rPr>
                      <w:rFonts w:hint="eastAsia"/>
                      <w:sz w:val="18"/>
                      <w:szCs w:val="18"/>
                    </w:rPr>
                    <w:t>二类区</w:t>
                  </w:r>
                </w:p>
              </w:tc>
              <w:tc>
                <w:tcPr>
                  <w:tcW w:w="751" w:type="dxa"/>
                  <w:vAlign w:val="center"/>
                </w:tcPr>
                <w:p w14:paraId="0F7CBC7E">
                  <w:pPr>
                    <w:widowControl/>
                    <w:jc w:val="center"/>
                    <w:rPr>
                      <w:rFonts w:hint="default" w:eastAsia="宋体"/>
                      <w:sz w:val="18"/>
                      <w:szCs w:val="18"/>
                      <w:lang w:val="en-US" w:eastAsia="zh-CN"/>
                    </w:rPr>
                  </w:pPr>
                  <w:r>
                    <w:rPr>
                      <w:rFonts w:hint="eastAsia"/>
                      <w:sz w:val="18"/>
                      <w:szCs w:val="18"/>
                      <w:lang w:val="en-US" w:eastAsia="zh-CN"/>
                    </w:rPr>
                    <w:t>WS</w:t>
                  </w:r>
                </w:p>
              </w:tc>
              <w:tc>
                <w:tcPr>
                  <w:tcW w:w="927" w:type="dxa"/>
                  <w:vAlign w:val="center"/>
                </w:tcPr>
                <w:p w14:paraId="43824078">
                  <w:pPr>
                    <w:widowControl/>
                    <w:jc w:val="center"/>
                    <w:rPr>
                      <w:rFonts w:hint="default" w:eastAsia="宋体"/>
                      <w:sz w:val="18"/>
                      <w:szCs w:val="18"/>
                      <w:lang w:val="en-US" w:eastAsia="zh-CN"/>
                    </w:rPr>
                  </w:pPr>
                  <w:r>
                    <w:rPr>
                      <w:rFonts w:hint="eastAsia"/>
                      <w:sz w:val="18"/>
                      <w:szCs w:val="18"/>
                      <w:lang w:val="en-US" w:eastAsia="zh-CN"/>
                    </w:rPr>
                    <w:t>286.65m</w:t>
                  </w:r>
                </w:p>
              </w:tc>
            </w:tr>
            <w:tr w14:paraId="573751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0" w:type="dxa"/>
                  <w:vAlign w:val="center"/>
                </w:tcPr>
                <w:p w14:paraId="2DE29FE4">
                  <w:pPr>
                    <w:widowControl/>
                    <w:jc w:val="center"/>
                    <w:rPr>
                      <w:sz w:val="18"/>
                      <w:szCs w:val="18"/>
                    </w:rPr>
                  </w:pPr>
                  <w:r>
                    <w:rPr>
                      <w:rFonts w:hint="eastAsia"/>
                      <w:sz w:val="18"/>
                      <w:szCs w:val="18"/>
                    </w:rPr>
                    <w:t>刘桥社区</w:t>
                  </w:r>
                </w:p>
              </w:tc>
              <w:tc>
                <w:tcPr>
                  <w:tcW w:w="1208" w:type="dxa"/>
                  <w:vAlign w:val="center"/>
                </w:tcPr>
                <w:p w14:paraId="40B5A307">
                  <w:pPr>
                    <w:widowControl/>
                    <w:jc w:val="center"/>
                    <w:rPr>
                      <w:sz w:val="18"/>
                      <w:szCs w:val="18"/>
                    </w:rPr>
                  </w:pPr>
                  <w:r>
                    <w:rPr>
                      <w:rFonts w:hint="eastAsia"/>
                      <w:sz w:val="18"/>
                      <w:szCs w:val="18"/>
                    </w:rPr>
                    <w:t>120.86287</w:t>
                  </w:r>
                </w:p>
              </w:tc>
              <w:tc>
                <w:tcPr>
                  <w:tcW w:w="1037" w:type="dxa"/>
                  <w:vAlign w:val="center"/>
                </w:tcPr>
                <w:p w14:paraId="15B476A0">
                  <w:pPr>
                    <w:widowControl/>
                    <w:jc w:val="center"/>
                    <w:rPr>
                      <w:rFonts w:hint="eastAsia" w:eastAsia="宋体"/>
                      <w:sz w:val="18"/>
                      <w:szCs w:val="18"/>
                      <w:lang w:eastAsia="zh-CN"/>
                    </w:rPr>
                  </w:pPr>
                  <w:r>
                    <w:rPr>
                      <w:rFonts w:hint="eastAsia"/>
                      <w:sz w:val="18"/>
                      <w:szCs w:val="18"/>
                    </w:rPr>
                    <w:t>32.1760</w:t>
                  </w:r>
                  <w:r>
                    <w:rPr>
                      <w:rFonts w:hint="eastAsia"/>
                      <w:sz w:val="18"/>
                      <w:szCs w:val="18"/>
                      <w:lang w:val="en-US" w:eastAsia="zh-CN"/>
                    </w:rPr>
                    <w:t>1</w:t>
                  </w:r>
                </w:p>
              </w:tc>
              <w:tc>
                <w:tcPr>
                  <w:tcW w:w="950" w:type="dxa"/>
                  <w:vAlign w:val="center"/>
                </w:tcPr>
                <w:p w14:paraId="088223AC">
                  <w:pPr>
                    <w:widowControl/>
                    <w:jc w:val="center"/>
                    <w:rPr>
                      <w:sz w:val="18"/>
                      <w:szCs w:val="18"/>
                    </w:rPr>
                  </w:pPr>
                  <w:r>
                    <w:rPr>
                      <w:sz w:val="18"/>
                      <w:szCs w:val="18"/>
                    </w:rPr>
                    <w:t>居住区</w:t>
                  </w:r>
                </w:p>
              </w:tc>
              <w:tc>
                <w:tcPr>
                  <w:tcW w:w="855" w:type="dxa"/>
                  <w:vAlign w:val="center"/>
                </w:tcPr>
                <w:p w14:paraId="1992C8B3">
                  <w:pPr>
                    <w:widowControl/>
                    <w:jc w:val="center"/>
                    <w:rPr>
                      <w:sz w:val="18"/>
                      <w:szCs w:val="18"/>
                    </w:rPr>
                  </w:pPr>
                  <w:r>
                    <w:rPr>
                      <w:rFonts w:hint="eastAsia"/>
                      <w:sz w:val="18"/>
                      <w:szCs w:val="18"/>
                      <w:lang w:val="en-US" w:eastAsia="zh-CN"/>
                    </w:rPr>
                    <w:t>55</w:t>
                  </w:r>
                  <w:r>
                    <w:rPr>
                      <w:rFonts w:hint="eastAsia"/>
                      <w:sz w:val="18"/>
                      <w:szCs w:val="18"/>
                    </w:rPr>
                    <w:t>户/</w:t>
                  </w:r>
                  <w:r>
                    <w:rPr>
                      <w:rFonts w:hint="eastAsia"/>
                      <w:sz w:val="18"/>
                      <w:szCs w:val="18"/>
                      <w:lang w:val="en-US" w:eastAsia="zh-CN"/>
                    </w:rPr>
                    <w:t>18</w:t>
                  </w:r>
                  <w:r>
                    <w:rPr>
                      <w:rFonts w:hint="eastAsia"/>
                      <w:sz w:val="18"/>
                      <w:szCs w:val="18"/>
                    </w:rPr>
                    <w:t>5人</w:t>
                  </w:r>
                </w:p>
              </w:tc>
              <w:tc>
                <w:tcPr>
                  <w:tcW w:w="825" w:type="dxa"/>
                  <w:vAlign w:val="center"/>
                </w:tcPr>
                <w:p w14:paraId="3DEE52AA">
                  <w:pPr>
                    <w:widowControl/>
                    <w:jc w:val="center"/>
                    <w:rPr>
                      <w:sz w:val="18"/>
                      <w:szCs w:val="18"/>
                    </w:rPr>
                  </w:pPr>
                  <w:r>
                    <w:rPr>
                      <w:rFonts w:hint="eastAsia"/>
                      <w:sz w:val="18"/>
                      <w:szCs w:val="18"/>
                    </w:rPr>
                    <w:t>二类区</w:t>
                  </w:r>
                </w:p>
              </w:tc>
              <w:tc>
                <w:tcPr>
                  <w:tcW w:w="751" w:type="dxa"/>
                  <w:vAlign w:val="center"/>
                </w:tcPr>
                <w:p w14:paraId="59C04399">
                  <w:pPr>
                    <w:widowControl/>
                    <w:jc w:val="center"/>
                    <w:rPr>
                      <w:rFonts w:hint="default" w:eastAsia="宋体"/>
                      <w:sz w:val="18"/>
                      <w:szCs w:val="18"/>
                      <w:lang w:val="en-US" w:eastAsia="zh-CN"/>
                    </w:rPr>
                  </w:pPr>
                  <w:r>
                    <w:rPr>
                      <w:rFonts w:hint="eastAsia"/>
                      <w:sz w:val="18"/>
                      <w:szCs w:val="18"/>
                      <w:lang w:val="en-US" w:eastAsia="zh-CN"/>
                    </w:rPr>
                    <w:t>S</w:t>
                  </w:r>
                </w:p>
              </w:tc>
              <w:tc>
                <w:tcPr>
                  <w:tcW w:w="927" w:type="dxa"/>
                  <w:vAlign w:val="center"/>
                </w:tcPr>
                <w:p w14:paraId="145A2760">
                  <w:pPr>
                    <w:widowControl/>
                    <w:jc w:val="center"/>
                    <w:rPr>
                      <w:rFonts w:hint="default" w:eastAsia="宋体"/>
                      <w:sz w:val="18"/>
                      <w:szCs w:val="18"/>
                      <w:lang w:val="en-US" w:eastAsia="zh-CN"/>
                    </w:rPr>
                  </w:pPr>
                  <w:r>
                    <w:rPr>
                      <w:rFonts w:hint="eastAsia"/>
                      <w:sz w:val="18"/>
                      <w:szCs w:val="18"/>
                      <w:lang w:val="en-US" w:eastAsia="zh-CN"/>
                    </w:rPr>
                    <w:t>320.18m</w:t>
                  </w:r>
                </w:p>
              </w:tc>
            </w:tr>
            <w:tr w14:paraId="02FE4F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0" w:type="dxa"/>
                  <w:vAlign w:val="center"/>
                </w:tcPr>
                <w:p w14:paraId="69FD2E3E">
                  <w:pPr>
                    <w:widowControl/>
                    <w:jc w:val="center"/>
                    <w:rPr>
                      <w:rFonts w:hint="eastAsia"/>
                      <w:sz w:val="18"/>
                      <w:szCs w:val="18"/>
                    </w:rPr>
                  </w:pPr>
                  <w:r>
                    <w:rPr>
                      <w:rFonts w:hint="eastAsia"/>
                      <w:sz w:val="18"/>
                      <w:szCs w:val="18"/>
                      <w:lang w:eastAsia="zh-CN"/>
                    </w:rPr>
                    <w:t>蒋一村四十五组</w:t>
                  </w:r>
                </w:p>
              </w:tc>
              <w:tc>
                <w:tcPr>
                  <w:tcW w:w="1208" w:type="dxa"/>
                  <w:vAlign w:val="center"/>
                </w:tcPr>
                <w:p w14:paraId="2571497D">
                  <w:pPr>
                    <w:widowControl/>
                    <w:jc w:val="center"/>
                    <w:rPr>
                      <w:rFonts w:hint="eastAsia"/>
                      <w:sz w:val="18"/>
                      <w:szCs w:val="18"/>
                    </w:rPr>
                  </w:pPr>
                  <w:r>
                    <w:rPr>
                      <w:rFonts w:hint="eastAsia"/>
                      <w:sz w:val="18"/>
                      <w:szCs w:val="18"/>
                    </w:rPr>
                    <w:t>120.860190</w:t>
                  </w:r>
                </w:p>
              </w:tc>
              <w:tc>
                <w:tcPr>
                  <w:tcW w:w="1037" w:type="dxa"/>
                  <w:vAlign w:val="center"/>
                </w:tcPr>
                <w:p w14:paraId="69737728">
                  <w:pPr>
                    <w:widowControl/>
                    <w:jc w:val="center"/>
                    <w:rPr>
                      <w:rFonts w:hint="eastAsia"/>
                      <w:sz w:val="18"/>
                      <w:szCs w:val="18"/>
                    </w:rPr>
                  </w:pPr>
                  <w:r>
                    <w:rPr>
                      <w:rFonts w:hint="eastAsia"/>
                      <w:sz w:val="18"/>
                      <w:szCs w:val="18"/>
                    </w:rPr>
                    <w:t>32.181661</w:t>
                  </w:r>
                </w:p>
              </w:tc>
              <w:tc>
                <w:tcPr>
                  <w:tcW w:w="950" w:type="dxa"/>
                  <w:vAlign w:val="center"/>
                </w:tcPr>
                <w:p w14:paraId="2DE9D26B">
                  <w:pPr>
                    <w:widowControl/>
                    <w:jc w:val="center"/>
                    <w:rPr>
                      <w:rFonts w:hint="eastAsia" w:eastAsia="宋体"/>
                      <w:sz w:val="18"/>
                      <w:szCs w:val="18"/>
                      <w:lang w:eastAsia="zh-CN"/>
                    </w:rPr>
                  </w:pPr>
                  <w:r>
                    <w:rPr>
                      <w:rFonts w:hint="eastAsia"/>
                      <w:sz w:val="18"/>
                      <w:szCs w:val="18"/>
                      <w:lang w:eastAsia="zh-CN"/>
                    </w:rPr>
                    <w:t>居住区</w:t>
                  </w:r>
                </w:p>
              </w:tc>
              <w:tc>
                <w:tcPr>
                  <w:tcW w:w="855" w:type="dxa"/>
                  <w:vAlign w:val="center"/>
                </w:tcPr>
                <w:p w14:paraId="4C1EEC8C">
                  <w:pPr>
                    <w:widowControl/>
                    <w:jc w:val="center"/>
                    <w:rPr>
                      <w:rFonts w:hint="default"/>
                      <w:sz w:val="18"/>
                      <w:szCs w:val="18"/>
                      <w:lang w:val="en-US" w:eastAsia="zh-CN"/>
                    </w:rPr>
                  </w:pPr>
                  <w:r>
                    <w:rPr>
                      <w:rFonts w:hint="eastAsia"/>
                      <w:sz w:val="18"/>
                      <w:szCs w:val="18"/>
                      <w:lang w:val="en-US" w:eastAsia="zh-CN"/>
                    </w:rPr>
                    <w:t>38户//80人</w:t>
                  </w:r>
                </w:p>
              </w:tc>
              <w:tc>
                <w:tcPr>
                  <w:tcW w:w="825" w:type="dxa"/>
                  <w:vAlign w:val="center"/>
                </w:tcPr>
                <w:p w14:paraId="3A8F95DA">
                  <w:pPr>
                    <w:widowControl/>
                    <w:jc w:val="center"/>
                    <w:rPr>
                      <w:rFonts w:hint="eastAsia"/>
                      <w:sz w:val="18"/>
                      <w:szCs w:val="18"/>
                    </w:rPr>
                  </w:pPr>
                  <w:r>
                    <w:rPr>
                      <w:rFonts w:hint="eastAsia"/>
                      <w:sz w:val="18"/>
                      <w:szCs w:val="18"/>
                    </w:rPr>
                    <w:t>二类区</w:t>
                  </w:r>
                </w:p>
              </w:tc>
              <w:tc>
                <w:tcPr>
                  <w:tcW w:w="751" w:type="dxa"/>
                  <w:vAlign w:val="center"/>
                </w:tcPr>
                <w:p w14:paraId="35B07AF0">
                  <w:pPr>
                    <w:widowControl/>
                    <w:jc w:val="center"/>
                    <w:rPr>
                      <w:rFonts w:hint="default"/>
                      <w:sz w:val="18"/>
                      <w:szCs w:val="18"/>
                      <w:lang w:val="en-US" w:eastAsia="zh-CN"/>
                    </w:rPr>
                  </w:pPr>
                  <w:r>
                    <w:rPr>
                      <w:rFonts w:hint="eastAsia"/>
                      <w:sz w:val="18"/>
                      <w:szCs w:val="18"/>
                      <w:lang w:val="en-US" w:eastAsia="zh-CN"/>
                    </w:rPr>
                    <w:t>N</w:t>
                  </w:r>
                </w:p>
              </w:tc>
              <w:tc>
                <w:tcPr>
                  <w:tcW w:w="927" w:type="dxa"/>
                  <w:vAlign w:val="center"/>
                </w:tcPr>
                <w:p w14:paraId="748423C4">
                  <w:pPr>
                    <w:widowControl/>
                    <w:jc w:val="center"/>
                    <w:rPr>
                      <w:rFonts w:hint="default"/>
                      <w:lang w:val="en-US" w:eastAsia="zh-CN"/>
                    </w:rPr>
                  </w:pPr>
                  <w:r>
                    <w:rPr>
                      <w:rFonts w:hint="eastAsia"/>
                      <w:sz w:val="18"/>
                      <w:szCs w:val="18"/>
                      <w:lang w:val="en-US" w:eastAsia="zh-CN"/>
                    </w:rPr>
                    <w:t>249.8m</w:t>
                  </w:r>
                </w:p>
              </w:tc>
            </w:tr>
          </w:tbl>
          <w:p w14:paraId="7E72C437">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szCs w:val="21"/>
              </w:rPr>
            </w:pPr>
            <w:r>
              <w:rPr>
                <w:b/>
                <w:bCs/>
                <w:color w:val="000000"/>
                <w:kern w:val="0"/>
                <w:szCs w:val="21"/>
                <w:lang w:bidi="ar"/>
              </w:rPr>
              <w:t xml:space="preserve">2、声环境 </w:t>
            </w:r>
          </w:p>
          <w:p w14:paraId="26C57B1C">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pPr>
            <w:r>
              <w:rPr>
                <w:color w:val="000000"/>
                <w:kern w:val="0"/>
                <w:szCs w:val="21"/>
                <w:lang w:bidi="ar"/>
              </w:rPr>
              <w:t>本项目位于</w:t>
            </w:r>
            <w:r>
              <w:rPr>
                <w:rFonts w:hint="eastAsia"/>
              </w:rPr>
              <w:t>南通市通州区刘桥镇蒋一村十五组</w:t>
            </w:r>
            <w:r>
              <w:rPr>
                <w:color w:val="000000"/>
                <w:kern w:val="0"/>
                <w:szCs w:val="21"/>
                <w:lang w:bidi="ar"/>
              </w:rPr>
              <w:t>，根据现场踏勘，</w:t>
            </w:r>
            <w:r>
              <w:t>确定本项目的声环境保护目标见表3-</w:t>
            </w:r>
            <w:r>
              <w:rPr>
                <w:rFonts w:hint="eastAsia"/>
              </w:rPr>
              <w:t>4</w:t>
            </w:r>
            <w:r>
              <w:t>。</w:t>
            </w:r>
          </w:p>
          <w:p w14:paraId="3592F383">
            <w:pPr>
              <w:keepNext w:val="0"/>
              <w:keepLines w:val="0"/>
              <w:pageBreakBefore w:val="0"/>
              <w:kinsoku/>
              <w:wordWrap/>
              <w:overflowPunct/>
              <w:topLinePunct w:val="0"/>
              <w:autoSpaceDE/>
              <w:autoSpaceDN/>
              <w:bidi w:val="0"/>
              <w:adjustRightInd/>
              <w:snapToGrid/>
              <w:spacing w:line="460" w:lineRule="exact"/>
              <w:jc w:val="center"/>
              <w:textAlignment w:val="auto"/>
            </w:pPr>
            <w:r>
              <w:rPr>
                <w:b/>
                <w:bCs/>
              </w:rPr>
              <w:t>表3-</w:t>
            </w:r>
            <w:r>
              <w:rPr>
                <w:rFonts w:hint="eastAsia"/>
                <w:b/>
                <w:bCs/>
              </w:rPr>
              <w:t>4</w:t>
            </w:r>
            <w:r>
              <w:rPr>
                <w:b/>
                <w:bCs/>
              </w:rPr>
              <w:t xml:space="preserve"> 声环境保护目标表</w:t>
            </w:r>
          </w:p>
          <w:tbl>
            <w:tblPr>
              <w:tblStyle w:val="16"/>
              <w:tblW w:w="795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493"/>
              <w:gridCol w:w="1281"/>
              <w:gridCol w:w="1275"/>
              <w:gridCol w:w="1035"/>
              <w:gridCol w:w="884"/>
              <w:gridCol w:w="532"/>
              <w:gridCol w:w="1118"/>
              <w:gridCol w:w="1338"/>
            </w:tblGrid>
            <w:tr w14:paraId="6B3256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08" w:hRule="atLeast"/>
                <w:jc w:val="center"/>
              </w:trPr>
              <w:tc>
                <w:tcPr>
                  <w:tcW w:w="493" w:type="dxa"/>
                  <w:vMerge w:val="restart"/>
                  <w:noWrap w:val="0"/>
                  <w:vAlign w:val="center"/>
                </w:tcPr>
                <w:p w14:paraId="36AD68FA">
                  <w:pPr>
                    <w:jc w:val="center"/>
                    <w:rPr>
                      <w:b w:val="0"/>
                      <w:bCs w:val="0"/>
                      <w:color w:val="auto"/>
                      <w:sz w:val="18"/>
                      <w:szCs w:val="18"/>
                    </w:rPr>
                  </w:pPr>
                  <w:r>
                    <w:rPr>
                      <w:b w:val="0"/>
                      <w:bCs w:val="0"/>
                      <w:color w:val="auto"/>
                      <w:sz w:val="18"/>
                      <w:szCs w:val="18"/>
                    </w:rPr>
                    <w:t>序号</w:t>
                  </w:r>
                </w:p>
              </w:tc>
              <w:tc>
                <w:tcPr>
                  <w:tcW w:w="1281" w:type="dxa"/>
                  <w:vMerge w:val="restart"/>
                  <w:noWrap w:val="0"/>
                  <w:vAlign w:val="center"/>
                </w:tcPr>
                <w:p w14:paraId="27B587D1">
                  <w:pPr>
                    <w:jc w:val="center"/>
                    <w:rPr>
                      <w:b w:val="0"/>
                      <w:bCs w:val="0"/>
                      <w:color w:val="auto"/>
                      <w:sz w:val="18"/>
                      <w:szCs w:val="18"/>
                    </w:rPr>
                  </w:pPr>
                  <w:r>
                    <w:rPr>
                      <w:b w:val="0"/>
                      <w:bCs w:val="0"/>
                      <w:color w:val="auto"/>
                      <w:sz w:val="18"/>
                      <w:szCs w:val="18"/>
                    </w:rPr>
                    <w:t>名称</w:t>
                  </w:r>
                </w:p>
              </w:tc>
              <w:tc>
                <w:tcPr>
                  <w:tcW w:w="2310" w:type="dxa"/>
                  <w:gridSpan w:val="2"/>
                  <w:noWrap w:val="0"/>
                  <w:vAlign w:val="center"/>
                </w:tcPr>
                <w:p w14:paraId="15196E63">
                  <w:pPr>
                    <w:jc w:val="center"/>
                    <w:rPr>
                      <w:rFonts w:hint="eastAsia"/>
                      <w:b w:val="0"/>
                      <w:bCs w:val="0"/>
                      <w:color w:val="auto"/>
                      <w:sz w:val="18"/>
                      <w:szCs w:val="18"/>
                    </w:rPr>
                  </w:pPr>
                  <w:r>
                    <w:rPr>
                      <w:rFonts w:hint="eastAsia"/>
                      <w:b w:val="0"/>
                      <w:bCs w:val="0"/>
                      <w:color w:val="auto"/>
                      <w:sz w:val="18"/>
                      <w:szCs w:val="18"/>
                    </w:rPr>
                    <w:t>空间相对位置/m</w:t>
                  </w:r>
                </w:p>
              </w:tc>
              <w:tc>
                <w:tcPr>
                  <w:tcW w:w="884" w:type="dxa"/>
                  <w:vMerge w:val="restart"/>
                  <w:noWrap w:val="0"/>
                  <w:vAlign w:val="center"/>
                </w:tcPr>
                <w:p w14:paraId="2D338E2E">
                  <w:pPr>
                    <w:jc w:val="center"/>
                    <w:rPr>
                      <w:b w:val="0"/>
                      <w:bCs w:val="0"/>
                      <w:color w:val="auto"/>
                      <w:sz w:val="18"/>
                      <w:szCs w:val="18"/>
                    </w:rPr>
                  </w:pPr>
                  <w:r>
                    <w:rPr>
                      <w:rFonts w:hint="eastAsia"/>
                      <w:b w:val="0"/>
                      <w:bCs w:val="0"/>
                      <w:color w:val="auto"/>
                      <w:sz w:val="18"/>
                      <w:szCs w:val="18"/>
                    </w:rPr>
                    <w:t>距厂界最近距离/m</w:t>
                  </w:r>
                </w:p>
              </w:tc>
              <w:tc>
                <w:tcPr>
                  <w:tcW w:w="532" w:type="dxa"/>
                  <w:vMerge w:val="restart"/>
                  <w:noWrap w:val="0"/>
                  <w:vAlign w:val="center"/>
                </w:tcPr>
                <w:p w14:paraId="7F0C95E9">
                  <w:pPr>
                    <w:jc w:val="center"/>
                    <w:rPr>
                      <w:b w:val="0"/>
                      <w:bCs w:val="0"/>
                      <w:color w:val="auto"/>
                      <w:sz w:val="18"/>
                      <w:szCs w:val="18"/>
                    </w:rPr>
                  </w:pPr>
                  <w:r>
                    <w:rPr>
                      <w:rFonts w:hint="eastAsia"/>
                      <w:b w:val="0"/>
                      <w:bCs w:val="0"/>
                      <w:color w:val="auto"/>
                      <w:sz w:val="18"/>
                      <w:szCs w:val="18"/>
                    </w:rPr>
                    <w:t>方位</w:t>
                  </w:r>
                </w:p>
              </w:tc>
              <w:tc>
                <w:tcPr>
                  <w:tcW w:w="1118" w:type="dxa"/>
                  <w:vMerge w:val="restart"/>
                  <w:noWrap w:val="0"/>
                  <w:vAlign w:val="center"/>
                </w:tcPr>
                <w:p w14:paraId="544CC153">
                  <w:pPr>
                    <w:jc w:val="center"/>
                    <w:rPr>
                      <w:b w:val="0"/>
                      <w:bCs w:val="0"/>
                      <w:color w:val="auto"/>
                      <w:sz w:val="18"/>
                      <w:szCs w:val="18"/>
                    </w:rPr>
                  </w:pPr>
                  <w:r>
                    <w:rPr>
                      <w:rFonts w:hint="eastAsia"/>
                      <w:b w:val="0"/>
                      <w:bCs w:val="0"/>
                      <w:color w:val="auto"/>
                      <w:sz w:val="18"/>
                      <w:szCs w:val="18"/>
                    </w:rPr>
                    <w:t>执行标准/功能区类别</w:t>
                  </w:r>
                </w:p>
              </w:tc>
              <w:tc>
                <w:tcPr>
                  <w:tcW w:w="1338" w:type="dxa"/>
                  <w:vMerge w:val="restart"/>
                  <w:noWrap w:val="0"/>
                  <w:vAlign w:val="center"/>
                </w:tcPr>
                <w:p w14:paraId="0411AD4D">
                  <w:pPr>
                    <w:jc w:val="center"/>
                    <w:rPr>
                      <w:b w:val="0"/>
                      <w:bCs w:val="0"/>
                      <w:color w:val="auto"/>
                      <w:sz w:val="18"/>
                      <w:szCs w:val="18"/>
                    </w:rPr>
                  </w:pPr>
                  <w:r>
                    <w:rPr>
                      <w:rFonts w:hint="eastAsia"/>
                      <w:b w:val="0"/>
                      <w:bCs w:val="0"/>
                      <w:color w:val="auto"/>
                      <w:sz w:val="18"/>
                      <w:szCs w:val="18"/>
                    </w:rPr>
                    <w:t>声环境保护目标情况说明</w:t>
                  </w:r>
                </w:p>
              </w:tc>
            </w:tr>
            <w:tr w14:paraId="1ED077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93" w:type="dxa"/>
                  <w:vMerge w:val="continue"/>
                  <w:noWrap w:val="0"/>
                  <w:vAlign w:val="center"/>
                </w:tcPr>
                <w:p w14:paraId="1066222B">
                  <w:pPr>
                    <w:jc w:val="center"/>
                    <w:rPr>
                      <w:b w:val="0"/>
                      <w:bCs w:val="0"/>
                      <w:color w:val="auto"/>
                      <w:sz w:val="18"/>
                      <w:szCs w:val="18"/>
                    </w:rPr>
                  </w:pPr>
                </w:p>
              </w:tc>
              <w:tc>
                <w:tcPr>
                  <w:tcW w:w="1281" w:type="dxa"/>
                  <w:vMerge w:val="continue"/>
                  <w:noWrap w:val="0"/>
                  <w:vAlign w:val="center"/>
                </w:tcPr>
                <w:p w14:paraId="53E3FD8A">
                  <w:pPr>
                    <w:jc w:val="center"/>
                    <w:rPr>
                      <w:b w:val="0"/>
                      <w:bCs w:val="0"/>
                      <w:color w:val="auto"/>
                      <w:sz w:val="18"/>
                      <w:szCs w:val="18"/>
                    </w:rPr>
                  </w:pPr>
                </w:p>
              </w:tc>
              <w:tc>
                <w:tcPr>
                  <w:tcW w:w="1275" w:type="dxa"/>
                  <w:noWrap w:val="0"/>
                  <w:vAlign w:val="center"/>
                </w:tcPr>
                <w:p w14:paraId="600DE0C6">
                  <w:pPr>
                    <w:jc w:val="center"/>
                    <w:rPr>
                      <w:b w:val="0"/>
                      <w:bCs w:val="0"/>
                      <w:color w:val="auto"/>
                      <w:sz w:val="18"/>
                      <w:szCs w:val="18"/>
                    </w:rPr>
                  </w:pPr>
                  <w:r>
                    <w:rPr>
                      <w:b w:val="0"/>
                      <w:bCs w:val="0"/>
                      <w:color w:val="auto"/>
                      <w:sz w:val="18"/>
                      <w:szCs w:val="18"/>
                    </w:rPr>
                    <w:t>X</w:t>
                  </w:r>
                </w:p>
              </w:tc>
              <w:tc>
                <w:tcPr>
                  <w:tcW w:w="1035" w:type="dxa"/>
                  <w:noWrap w:val="0"/>
                  <w:vAlign w:val="center"/>
                </w:tcPr>
                <w:p w14:paraId="6EA41A7F">
                  <w:pPr>
                    <w:jc w:val="center"/>
                    <w:rPr>
                      <w:rFonts w:hint="eastAsia" w:eastAsia="宋体"/>
                      <w:b w:val="0"/>
                      <w:bCs w:val="0"/>
                      <w:color w:val="auto"/>
                      <w:sz w:val="18"/>
                      <w:szCs w:val="18"/>
                      <w:lang w:val="en-US" w:eastAsia="zh-CN"/>
                    </w:rPr>
                  </w:pPr>
                  <w:r>
                    <w:rPr>
                      <w:b w:val="0"/>
                      <w:bCs w:val="0"/>
                      <w:color w:val="auto"/>
                      <w:sz w:val="18"/>
                      <w:szCs w:val="18"/>
                    </w:rPr>
                    <w:t>Y</w:t>
                  </w:r>
                </w:p>
              </w:tc>
              <w:tc>
                <w:tcPr>
                  <w:tcW w:w="884" w:type="dxa"/>
                  <w:vMerge w:val="continue"/>
                  <w:noWrap w:val="0"/>
                  <w:vAlign w:val="center"/>
                </w:tcPr>
                <w:p w14:paraId="4C478589">
                  <w:pPr>
                    <w:jc w:val="center"/>
                    <w:rPr>
                      <w:color w:val="auto"/>
                      <w:sz w:val="18"/>
                      <w:szCs w:val="18"/>
                    </w:rPr>
                  </w:pPr>
                </w:p>
              </w:tc>
              <w:tc>
                <w:tcPr>
                  <w:tcW w:w="532" w:type="dxa"/>
                  <w:vMerge w:val="continue"/>
                  <w:noWrap w:val="0"/>
                  <w:vAlign w:val="center"/>
                </w:tcPr>
                <w:p w14:paraId="16BAA867">
                  <w:pPr>
                    <w:jc w:val="center"/>
                    <w:rPr>
                      <w:color w:val="auto"/>
                      <w:sz w:val="18"/>
                      <w:szCs w:val="18"/>
                    </w:rPr>
                  </w:pPr>
                </w:p>
              </w:tc>
              <w:tc>
                <w:tcPr>
                  <w:tcW w:w="1118" w:type="dxa"/>
                  <w:vMerge w:val="continue"/>
                  <w:noWrap w:val="0"/>
                  <w:vAlign w:val="center"/>
                </w:tcPr>
                <w:p w14:paraId="355B6A7D">
                  <w:pPr>
                    <w:jc w:val="center"/>
                    <w:rPr>
                      <w:color w:val="auto"/>
                      <w:sz w:val="18"/>
                      <w:szCs w:val="18"/>
                    </w:rPr>
                  </w:pPr>
                </w:p>
              </w:tc>
              <w:tc>
                <w:tcPr>
                  <w:tcW w:w="1338" w:type="dxa"/>
                  <w:vMerge w:val="continue"/>
                  <w:noWrap w:val="0"/>
                  <w:vAlign w:val="center"/>
                </w:tcPr>
                <w:p w14:paraId="75388A40">
                  <w:pPr>
                    <w:jc w:val="center"/>
                    <w:rPr>
                      <w:color w:val="auto"/>
                      <w:sz w:val="18"/>
                      <w:szCs w:val="18"/>
                    </w:rPr>
                  </w:pPr>
                </w:p>
              </w:tc>
            </w:tr>
            <w:tr w14:paraId="75E51B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5" w:hRule="atLeast"/>
                <w:jc w:val="center"/>
              </w:trPr>
              <w:tc>
                <w:tcPr>
                  <w:tcW w:w="493" w:type="dxa"/>
                  <w:noWrap w:val="0"/>
                  <w:vAlign w:val="center"/>
                </w:tcPr>
                <w:p w14:paraId="6A6F25AF">
                  <w:pPr>
                    <w:jc w:val="center"/>
                    <w:rPr>
                      <w:color w:val="auto"/>
                      <w:sz w:val="18"/>
                      <w:szCs w:val="18"/>
                    </w:rPr>
                  </w:pPr>
                  <w:r>
                    <w:rPr>
                      <w:rFonts w:hint="eastAsia"/>
                      <w:color w:val="auto"/>
                      <w:sz w:val="18"/>
                      <w:szCs w:val="18"/>
                    </w:rPr>
                    <w:t>1</w:t>
                  </w:r>
                </w:p>
              </w:tc>
              <w:tc>
                <w:tcPr>
                  <w:tcW w:w="1281" w:type="dxa"/>
                  <w:noWrap w:val="0"/>
                  <w:vAlign w:val="center"/>
                </w:tcPr>
                <w:p w14:paraId="2C9AC983">
                  <w:pPr>
                    <w:widowControl/>
                    <w:jc w:val="center"/>
                    <w:rPr>
                      <w:rFonts w:hint="default" w:eastAsia="宋体"/>
                      <w:color w:val="auto"/>
                      <w:sz w:val="18"/>
                      <w:szCs w:val="18"/>
                      <w:lang w:val="en-US" w:eastAsia="zh-CN"/>
                    </w:rPr>
                  </w:pPr>
                  <w:r>
                    <w:rPr>
                      <w:rFonts w:hint="eastAsia"/>
                      <w:sz w:val="18"/>
                      <w:szCs w:val="18"/>
                    </w:rPr>
                    <w:t>分散居民</w:t>
                  </w:r>
                </w:p>
              </w:tc>
              <w:tc>
                <w:tcPr>
                  <w:tcW w:w="1275" w:type="dxa"/>
                  <w:noWrap w:val="0"/>
                  <w:vAlign w:val="center"/>
                </w:tcPr>
                <w:p w14:paraId="3C608017">
                  <w:pPr>
                    <w:widowControl/>
                    <w:jc w:val="center"/>
                    <w:rPr>
                      <w:rFonts w:hint="default" w:eastAsia="宋体"/>
                      <w:color w:val="auto"/>
                      <w:spacing w:val="-11"/>
                      <w:sz w:val="18"/>
                      <w:szCs w:val="18"/>
                      <w:lang w:val="en-US" w:eastAsia="zh-CN"/>
                    </w:rPr>
                  </w:pPr>
                  <w:r>
                    <w:rPr>
                      <w:rFonts w:hint="eastAsia"/>
                      <w:sz w:val="18"/>
                      <w:szCs w:val="18"/>
                    </w:rPr>
                    <w:t>120.86231</w:t>
                  </w:r>
                </w:p>
              </w:tc>
              <w:tc>
                <w:tcPr>
                  <w:tcW w:w="1035" w:type="dxa"/>
                  <w:noWrap w:val="0"/>
                  <w:vAlign w:val="center"/>
                </w:tcPr>
                <w:p w14:paraId="5F2BCA76">
                  <w:pPr>
                    <w:widowControl/>
                    <w:jc w:val="center"/>
                    <w:rPr>
                      <w:rFonts w:hint="default" w:eastAsia="宋体"/>
                      <w:color w:val="auto"/>
                      <w:spacing w:val="-17"/>
                      <w:sz w:val="18"/>
                      <w:szCs w:val="18"/>
                      <w:lang w:val="en-US" w:eastAsia="zh-CN"/>
                    </w:rPr>
                  </w:pPr>
                  <w:r>
                    <w:rPr>
                      <w:rFonts w:hint="eastAsia"/>
                      <w:sz w:val="18"/>
                      <w:szCs w:val="18"/>
                    </w:rPr>
                    <w:t>32.17893</w:t>
                  </w:r>
                </w:p>
              </w:tc>
              <w:tc>
                <w:tcPr>
                  <w:tcW w:w="884" w:type="dxa"/>
                  <w:noWrap w:val="0"/>
                  <w:vAlign w:val="center"/>
                </w:tcPr>
                <w:p w14:paraId="0343536C">
                  <w:pPr>
                    <w:widowControl/>
                    <w:jc w:val="center"/>
                    <w:rPr>
                      <w:rFonts w:hint="default" w:eastAsia="宋体"/>
                      <w:color w:val="auto"/>
                      <w:sz w:val="18"/>
                      <w:szCs w:val="18"/>
                      <w:lang w:val="en-US" w:eastAsia="zh-CN"/>
                    </w:rPr>
                  </w:pPr>
                  <w:r>
                    <w:rPr>
                      <w:rFonts w:hint="eastAsia"/>
                      <w:sz w:val="18"/>
                      <w:szCs w:val="18"/>
                      <w:lang w:val="en-US" w:eastAsia="zh-CN"/>
                    </w:rPr>
                    <w:t>49.59m</w:t>
                  </w:r>
                </w:p>
              </w:tc>
              <w:tc>
                <w:tcPr>
                  <w:tcW w:w="532" w:type="dxa"/>
                  <w:noWrap w:val="0"/>
                  <w:vAlign w:val="center"/>
                </w:tcPr>
                <w:p w14:paraId="3EE863D5">
                  <w:pPr>
                    <w:widowControl/>
                    <w:jc w:val="center"/>
                    <w:rPr>
                      <w:rFonts w:hint="eastAsia" w:eastAsia="宋体"/>
                      <w:color w:val="auto"/>
                      <w:sz w:val="18"/>
                      <w:szCs w:val="18"/>
                      <w:lang w:val="en-US" w:eastAsia="zh-CN"/>
                    </w:rPr>
                  </w:pPr>
                  <w:r>
                    <w:rPr>
                      <w:rFonts w:hint="eastAsia"/>
                      <w:sz w:val="18"/>
                      <w:szCs w:val="18"/>
                      <w:lang w:val="en-US" w:eastAsia="zh-CN"/>
                    </w:rPr>
                    <w:t>ES</w:t>
                  </w:r>
                </w:p>
              </w:tc>
              <w:tc>
                <w:tcPr>
                  <w:tcW w:w="1118" w:type="dxa"/>
                  <w:noWrap w:val="0"/>
                  <w:vAlign w:val="center"/>
                </w:tcPr>
                <w:p w14:paraId="657E1BFF">
                  <w:pPr>
                    <w:jc w:val="center"/>
                    <w:rPr>
                      <w:color w:val="auto"/>
                      <w:sz w:val="18"/>
                      <w:szCs w:val="18"/>
                    </w:rPr>
                  </w:pPr>
                  <w:r>
                    <w:rPr>
                      <w:sz w:val="18"/>
                      <w:szCs w:val="18"/>
                    </w:rPr>
                    <w:t>二类区</w:t>
                  </w:r>
                </w:p>
              </w:tc>
              <w:tc>
                <w:tcPr>
                  <w:tcW w:w="1338" w:type="dxa"/>
                  <w:noWrap w:val="0"/>
                  <w:vAlign w:val="center"/>
                </w:tcPr>
                <w:p w14:paraId="2B3CEE7F">
                  <w:pPr>
                    <w:widowControl/>
                    <w:jc w:val="center"/>
                    <w:rPr>
                      <w:rFonts w:hint="default" w:eastAsia="宋体"/>
                      <w:color w:val="auto"/>
                      <w:sz w:val="18"/>
                      <w:szCs w:val="18"/>
                      <w:lang w:val="en-US" w:eastAsia="zh-CN"/>
                    </w:rPr>
                  </w:pPr>
                  <w:r>
                    <w:rPr>
                      <w:rFonts w:hint="eastAsia"/>
                      <w:sz w:val="18"/>
                      <w:szCs w:val="18"/>
                      <w:lang w:val="en-US" w:eastAsia="zh-CN"/>
                    </w:rPr>
                    <w:t>10户/25人</w:t>
                  </w:r>
                </w:p>
              </w:tc>
            </w:tr>
          </w:tbl>
          <w:p w14:paraId="48F3E409">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szCs w:val="21"/>
              </w:rPr>
            </w:pPr>
            <w:r>
              <w:rPr>
                <w:b/>
                <w:bCs/>
                <w:color w:val="000000"/>
                <w:kern w:val="0"/>
                <w:szCs w:val="21"/>
                <w:lang w:bidi="ar"/>
              </w:rPr>
              <w:t xml:space="preserve">3、地下水环境 </w:t>
            </w:r>
          </w:p>
          <w:p w14:paraId="0E53DE68">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szCs w:val="21"/>
              </w:rPr>
            </w:pPr>
            <w:r>
              <w:rPr>
                <w:color w:val="000000"/>
                <w:kern w:val="0"/>
                <w:szCs w:val="21"/>
                <w:lang w:bidi="ar"/>
              </w:rPr>
              <w:t>本项目厂界外500米范围内无地下水集中式饮用水水源和热水、矿泉水、温泉等特殊地下水资源。</w:t>
            </w:r>
          </w:p>
          <w:p w14:paraId="7FF87F75">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szCs w:val="21"/>
              </w:rPr>
            </w:pPr>
            <w:r>
              <w:rPr>
                <w:b/>
                <w:bCs/>
                <w:color w:val="000000"/>
                <w:kern w:val="0"/>
                <w:szCs w:val="21"/>
                <w:lang w:bidi="ar"/>
              </w:rPr>
              <w:t xml:space="preserve">4、生态 </w:t>
            </w:r>
          </w:p>
          <w:p w14:paraId="211ED626">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eastAsia="宋体"/>
                <w:color w:val="000000"/>
                <w:kern w:val="0"/>
                <w:szCs w:val="21"/>
                <w:lang w:eastAsia="zh-CN" w:bidi="ar"/>
              </w:rPr>
            </w:pPr>
            <w:r>
              <w:rPr>
                <w:color w:val="000000"/>
                <w:kern w:val="0"/>
                <w:szCs w:val="21"/>
                <w:lang w:bidi="ar"/>
              </w:rPr>
              <w:t>本项目不涉及生态环境保护目标</w:t>
            </w:r>
            <w:r>
              <w:rPr>
                <w:rFonts w:hint="eastAsia"/>
                <w:color w:val="000000"/>
                <w:kern w:val="0"/>
                <w:szCs w:val="21"/>
                <w:lang w:eastAsia="zh-CN" w:bidi="ar"/>
              </w:rPr>
              <w:t>。</w:t>
            </w:r>
          </w:p>
          <w:p w14:paraId="43A39433">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2A01F56A">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4973B1E4">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70597FF4">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534C26DB">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06309B41">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1065FB70">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77324E9D">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225F01BA">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051D3C20">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21938294">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66724AE5">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1BE319E8">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762F7F02">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12CC660E">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32C71A71">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30A5B115">
            <w:pPr>
              <w:pStyle w:val="2"/>
            </w:pPr>
          </w:p>
        </w:tc>
      </w:tr>
      <w:tr w14:paraId="3FEE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5" w:hRule="atLeast"/>
          <w:jc w:val="center"/>
        </w:trPr>
        <w:tc>
          <w:tcPr>
            <w:tcW w:w="794" w:type="dxa"/>
            <w:vAlign w:val="center"/>
          </w:tcPr>
          <w:p w14:paraId="2FC77844">
            <w:pPr>
              <w:jc w:val="center"/>
              <w:rPr>
                <w:szCs w:val="21"/>
              </w:rPr>
            </w:pPr>
          </w:p>
          <w:p w14:paraId="15952372">
            <w:pPr>
              <w:jc w:val="center"/>
              <w:rPr>
                <w:szCs w:val="21"/>
              </w:rPr>
            </w:pPr>
          </w:p>
          <w:p w14:paraId="4A949378">
            <w:pPr>
              <w:pStyle w:val="2"/>
              <w:jc w:val="center"/>
              <w:rPr>
                <w:rFonts w:ascii="Times New Roman" w:hAnsi="Times New Roman"/>
                <w:sz w:val="21"/>
                <w:szCs w:val="21"/>
              </w:rPr>
            </w:pPr>
          </w:p>
          <w:p w14:paraId="2383A752">
            <w:pPr>
              <w:jc w:val="center"/>
              <w:rPr>
                <w:szCs w:val="21"/>
              </w:rPr>
            </w:pPr>
          </w:p>
          <w:p w14:paraId="2DC24596">
            <w:pPr>
              <w:pStyle w:val="2"/>
              <w:jc w:val="center"/>
              <w:rPr>
                <w:rFonts w:ascii="Times New Roman" w:hAnsi="Times New Roman"/>
                <w:sz w:val="21"/>
                <w:szCs w:val="21"/>
              </w:rPr>
            </w:pPr>
          </w:p>
          <w:p w14:paraId="60685666">
            <w:pPr>
              <w:jc w:val="center"/>
              <w:rPr>
                <w:szCs w:val="21"/>
              </w:rPr>
            </w:pPr>
          </w:p>
          <w:p w14:paraId="44A2A9CC">
            <w:pPr>
              <w:pStyle w:val="2"/>
              <w:jc w:val="center"/>
              <w:rPr>
                <w:rFonts w:ascii="Times New Roman" w:hAnsi="Times New Roman"/>
                <w:sz w:val="21"/>
                <w:szCs w:val="21"/>
              </w:rPr>
            </w:pPr>
          </w:p>
          <w:p w14:paraId="29B10BE3">
            <w:pPr>
              <w:jc w:val="center"/>
              <w:rPr>
                <w:szCs w:val="21"/>
              </w:rPr>
            </w:pPr>
          </w:p>
          <w:p w14:paraId="37C9C865">
            <w:pPr>
              <w:pStyle w:val="2"/>
              <w:jc w:val="center"/>
              <w:rPr>
                <w:rFonts w:ascii="Times New Roman" w:hAnsi="Times New Roman"/>
                <w:sz w:val="21"/>
                <w:szCs w:val="21"/>
              </w:rPr>
            </w:pPr>
          </w:p>
          <w:p w14:paraId="084EA012">
            <w:pPr>
              <w:jc w:val="center"/>
              <w:rPr>
                <w:szCs w:val="21"/>
              </w:rPr>
            </w:pPr>
          </w:p>
          <w:p w14:paraId="5EB50012">
            <w:pPr>
              <w:pStyle w:val="2"/>
              <w:jc w:val="center"/>
              <w:rPr>
                <w:rFonts w:ascii="Times New Roman" w:hAnsi="Times New Roman"/>
                <w:sz w:val="21"/>
                <w:szCs w:val="21"/>
              </w:rPr>
            </w:pPr>
          </w:p>
          <w:p w14:paraId="28D99984">
            <w:pPr>
              <w:jc w:val="center"/>
              <w:rPr>
                <w:szCs w:val="21"/>
              </w:rPr>
            </w:pPr>
          </w:p>
          <w:p w14:paraId="45907308">
            <w:pPr>
              <w:pStyle w:val="2"/>
              <w:jc w:val="center"/>
              <w:rPr>
                <w:rFonts w:ascii="Times New Roman" w:hAnsi="Times New Roman"/>
                <w:sz w:val="21"/>
                <w:szCs w:val="21"/>
              </w:rPr>
            </w:pPr>
          </w:p>
          <w:p w14:paraId="17AD74C1">
            <w:pPr>
              <w:jc w:val="center"/>
              <w:rPr>
                <w:szCs w:val="21"/>
              </w:rPr>
            </w:pPr>
          </w:p>
          <w:p w14:paraId="1A102151">
            <w:pPr>
              <w:pStyle w:val="2"/>
              <w:jc w:val="center"/>
              <w:rPr>
                <w:rFonts w:ascii="Times New Roman" w:hAnsi="Times New Roman"/>
                <w:sz w:val="21"/>
                <w:szCs w:val="21"/>
              </w:rPr>
            </w:pPr>
          </w:p>
          <w:p w14:paraId="776F1760">
            <w:pPr>
              <w:jc w:val="center"/>
              <w:rPr>
                <w:szCs w:val="21"/>
              </w:rPr>
            </w:pPr>
          </w:p>
          <w:p w14:paraId="4CC25A66">
            <w:pPr>
              <w:pStyle w:val="2"/>
              <w:jc w:val="center"/>
              <w:rPr>
                <w:rFonts w:ascii="Times New Roman" w:hAnsi="Times New Roman"/>
                <w:sz w:val="21"/>
                <w:szCs w:val="21"/>
              </w:rPr>
            </w:pPr>
          </w:p>
          <w:p w14:paraId="21760A41">
            <w:pPr>
              <w:jc w:val="center"/>
              <w:rPr>
                <w:szCs w:val="21"/>
              </w:rPr>
            </w:pPr>
            <w:r>
              <w:rPr>
                <w:szCs w:val="21"/>
              </w:rPr>
              <w:t>污 染 物 排 放 控 制 标 准</w:t>
            </w:r>
          </w:p>
          <w:p w14:paraId="4626C816">
            <w:pPr>
              <w:pStyle w:val="2"/>
              <w:jc w:val="center"/>
              <w:rPr>
                <w:rFonts w:ascii="Times New Roman" w:hAnsi="Times New Roman"/>
              </w:rPr>
            </w:pPr>
          </w:p>
          <w:p w14:paraId="636AA951">
            <w:pPr>
              <w:pStyle w:val="2"/>
              <w:jc w:val="center"/>
              <w:rPr>
                <w:rFonts w:ascii="Times New Roman" w:hAnsi="Times New Roman"/>
              </w:rPr>
            </w:pPr>
          </w:p>
          <w:p w14:paraId="1B0B8927">
            <w:pPr>
              <w:pStyle w:val="2"/>
              <w:jc w:val="center"/>
              <w:rPr>
                <w:rFonts w:ascii="Times New Roman" w:hAnsi="Times New Roman"/>
              </w:rPr>
            </w:pPr>
          </w:p>
          <w:p w14:paraId="0B7B0E35">
            <w:pPr>
              <w:pStyle w:val="2"/>
              <w:jc w:val="center"/>
              <w:rPr>
                <w:rFonts w:ascii="Times New Roman" w:hAnsi="Times New Roman"/>
              </w:rPr>
            </w:pPr>
          </w:p>
          <w:p w14:paraId="019D8BA9">
            <w:pPr>
              <w:pStyle w:val="2"/>
              <w:jc w:val="center"/>
              <w:rPr>
                <w:rFonts w:ascii="Times New Roman" w:hAnsi="Times New Roman"/>
              </w:rPr>
            </w:pPr>
          </w:p>
          <w:p w14:paraId="38EE5A3B">
            <w:pPr>
              <w:pStyle w:val="2"/>
              <w:jc w:val="center"/>
              <w:rPr>
                <w:rFonts w:ascii="Times New Roman" w:hAnsi="Times New Roman"/>
              </w:rPr>
            </w:pPr>
          </w:p>
          <w:p w14:paraId="014E20C8">
            <w:pPr>
              <w:pStyle w:val="2"/>
              <w:jc w:val="center"/>
              <w:rPr>
                <w:rFonts w:ascii="Times New Roman" w:hAnsi="Times New Roman"/>
              </w:rPr>
            </w:pPr>
          </w:p>
          <w:p w14:paraId="749927BA">
            <w:pPr>
              <w:pStyle w:val="2"/>
              <w:jc w:val="center"/>
              <w:rPr>
                <w:rFonts w:ascii="Times New Roman" w:hAnsi="Times New Roman"/>
              </w:rPr>
            </w:pPr>
          </w:p>
          <w:p w14:paraId="2D866E50">
            <w:pPr>
              <w:pStyle w:val="2"/>
              <w:jc w:val="center"/>
              <w:rPr>
                <w:rFonts w:ascii="Times New Roman" w:hAnsi="Times New Roman"/>
              </w:rPr>
            </w:pPr>
          </w:p>
          <w:p w14:paraId="4E560D09">
            <w:pPr>
              <w:pStyle w:val="2"/>
              <w:jc w:val="center"/>
              <w:rPr>
                <w:rFonts w:ascii="Times New Roman" w:hAnsi="Times New Roman"/>
              </w:rPr>
            </w:pPr>
          </w:p>
          <w:p w14:paraId="47F6F6E3">
            <w:pPr>
              <w:pStyle w:val="2"/>
              <w:jc w:val="center"/>
              <w:rPr>
                <w:rFonts w:ascii="Times New Roman" w:hAnsi="Times New Roman"/>
              </w:rPr>
            </w:pPr>
          </w:p>
          <w:p w14:paraId="453255F4">
            <w:pPr>
              <w:pStyle w:val="2"/>
              <w:jc w:val="center"/>
              <w:rPr>
                <w:rFonts w:ascii="Times New Roman" w:hAnsi="Times New Roman"/>
              </w:rPr>
            </w:pPr>
          </w:p>
          <w:p w14:paraId="13DA1DF0">
            <w:pPr>
              <w:pStyle w:val="2"/>
              <w:jc w:val="center"/>
              <w:rPr>
                <w:rFonts w:ascii="Times New Roman" w:hAnsi="Times New Roman"/>
              </w:rPr>
            </w:pPr>
          </w:p>
        </w:tc>
        <w:tc>
          <w:tcPr>
            <w:tcW w:w="8280" w:type="dxa"/>
          </w:tcPr>
          <w:p w14:paraId="1E22630F">
            <w:pPr>
              <w:spacing w:line="500" w:lineRule="exact"/>
              <w:ind w:firstLine="422" w:firstLineChars="200"/>
              <w:rPr>
                <w:b/>
                <w:bCs/>
                <w:szCs w:val="21"/>
              </w:rPr>
            </w:pPr>
            <w:r>
              <w:rPr>
                <w:b/>
                <w:bCs/>
                <w:szCs w:val="21"/>
              </w:rPr>
              <w:t xml:space="preserve">1、大气污染物排放标准 </w:t>
            </w:r>
          </w:p>
          <w:p w14:paraId="3EFDF3E3">
            <w:pPr>
              <w:spacing w:line="500" w:lineRule="exact"/>
              <w:ind w:firstLine="420" w:firstLineChars="200"/>
              <w:rPr>
                <w:szCs w:val="21"/>
              </w:rPr>
            </w:pPr>
            <w:r>
              <w:rPr>
                <w:rFonts w:hint="eastAsia"/>
                <w:szCs w:val="21"/>
              </w:rPr>
              <w:t>本项目生产废气中颗粒物及非甲烷总烃排放执行排放执行《合成树脂工业污染物排放标准》（GB31572-2015）</w:t>
            </w:r>
            <w:r>
              <w:rPr>
                <w:rFonts w:hint="eastAsia"/>
                <w:szCs w:val="21"/>
                <w:lang w:eastAsia="zh-CN"/>
              </w:rPr>
              <w:t>及其修改单</w:t>
            </w:r>
            <w:r>
              <w:rPr>
                <w:rFonts w:hint="eastAsia"/>
                <w:szCs w:val="21"/>
              </w:rPr>
              <w:t>中表5的大气污染物特别排放限值，</w:t>
            </w:r>
            <w:r>
              <w:rPr>
                <w:rFonts w:hint="eastAsia"/>
                <w:szCs w:val="21"/>
                <w:lang w:eastAsia="zh-CN"/>
              </w:rPr>
              <w:t>厂界颗粒物执行江苏省《大气污染物综合排放标准》（DB32/4041-2021）</w:t>
            </w:r>
            <w:r>
              <w:rPr>
                <w:rFonts w:hint="eastAsia"/>
                <w:szCs w:val="21"/>
              </w:rPr>
              <w:t>；项目臭气浓度执行《恶臭污染物排放标准》（GB14554-93）中的二级标准，厂界执行《恶臭污染物排放标准》（GB14554-93）中的“二级新扩改建”标准限值</w:t>
            </w:r>
            <w:r>
              <w:rPr>
                <w:rFonts w:hint="eastAsia"/>
                <w:szCs w:val="21"/>
                <w:lang w:eastAsia="zh-CN"/>
              </w:rPr>
              <w:t>，</w:t>
            </w:r>
            <w:r>
              <w:rPr>
                <w:szCs w:val="21"/>
              </w:rPr>
              <w:t>具体见表3-</w:t>
            </w:r>
            <w:r>
              <w:rPr>
                <w:rFonts w:hint="eastAsia"/>
                <w:szCs w:val="21"/>
                <w:lang w:val="en-US" w:eastAsia="zh-CN"/>
              </w:rPr>
              <w:t>5</w:t>
            </w:r>
            <w:r>
              <w:rPr>
                <w:szCs w:val="21"/>
              </w:rPr>
              <w:t>。</w:t>
            </w:r>
          </w:p>
          <w:p w14:paraId="097E68AD">
            <w:pPr>
              <w:spacing w:line="360" w:lineRule="auto"/>
              <w:ind w:firstLine="422" w:firstLineChars="200"/>
              <w:jc w:val="center"/>
              <w:rPr>
                <w:rFonts w:hint="eastAsia" w:eastAsia="宋体"/>
                <w:b/>
                <w:bCs/>
                <w:szCs w:val="21"/>
                <w:lang w:eastAsia="zh-CN"/>
              </w:rPr>
            </w:pPr>
            <w:r>
              <w:rPr>
                <w:b/>
                <w:bCs/>
                <w:szCs w:val="21"/>
              </w:rPr>
              <w:t>表3-</w:t>
            </w:r>
            <w:r>
              <w:rPr>
                <w:rFonts w:hint="eastAsia"/>
                <w:b/>
                <w:bCs/>
                <w:szCs w:val="21"/>
                <w:lang w:val="en-US" w:eastAsia="zh-CN"/>
              </w:rPr>
              <w:t>5</w:t>
            </w:r>
            <w:r>
              <w:rPr>
                <w:b/>
                <w:bCs/>
                <w:szCs w:val="21"/>
              </w:rPr>
              <w:t xml:space="preserve"> </w:t>
            </w:r>
            <w:r>
              <w:rPr>
                <w:rFonts w:hint="eastAsia"/>
                <w:b/>
                <w:bCs/>
                <w:szCs w:val="21"/>
              </w:rPr>
              <w:t>《合成树脂工业污染物排放标准》（GB31572-2015）</w:t>
            </w:r>
            <w:r>
              <w:rPr>
                <w:rFonts w:hint="eastAsia"/>
                <w:b/>
                <w:bCs/>
                <w:szCs w:val="21"/>
                <w:lang w:eastAsia="zh-CN"/>
              </w:rPr>
              <w:t>及其修改单</w:t>
            </w:r>
          </w:p>
          <w:tbl>
            <w:tblPr>
              <w:tblStyle w:val="16"/>
              <w:tblW w:w="811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05"/>
              <w:gridCol w:w="1284"/>
              <w:gridCol w:w="1665"/>
              <w:gridCol w:w="2183"/>
            </w:tblGrid>
            <w:tr w14:paraId="249529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vAlign w:val="center"/>
                </w:tcPr>
                <w:p w14:paraId="7059AA11">
                  <w:pPr>
                    <w:jc w:val="center"/>
                    <w:rPr>
                      <w:sz w:val="18"/>
                      <w:szCs w:val="18"/>
                    </w:rPr>
                  </w:pPr>
                  <w:r>
                    <w:rPr>
                      <w:sz w:val="18"/>
                      <w:szCs w:val="18"/>
                    </w:rPr>
                    <w:t>污染物</w:t>
                  </w:r>
                </w:p>
              </w:tc>
              <w:tc>
                <w:tcPr>
                  <w:tcW w:w="1005" w:type="dxa"/>
                  <w:vAlign w:val="center"/>
                </w:tcPr>
                <w:p w14:paraId="60B45B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排气筒高度（m）</w:t>
                  </w:r>
                </w:p>
              </w:tc>
              <w:tc>
                <w:tcPr>
                  <w:tcW w:w="1284" w:type="dxa"/>
                  <w:vAlign w:val="center"/>
                </w:tcPr>
                <w:p w14:paraId="4589EB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排放浓度</w:t>
                  </w:r>
                  <w:r>
                    <w:rPr>
                      <w:rFonts w:hint="eastAsia"/>
                      <w:sz w:val="18"/>
                      <w:szCs w:val="18"/>
                      <w:lang w:eastAsia="zh-CN"/>
                    </w:rPr>
                    <w:t>限值（</w:t>
                  </w:r>
                  <w:r>
                    <w:rPr>
                      <w:sz w:val="18"/>
                      <w:szCs w:val="18"/>
                    </w:rPr>
                    <w:t>mg/m</w:t>
                  </w:r>
                  <w:r>
                    <w:rPr>
                      <w:sz w:val="18"/>
                      <w:szCs w:val="18"/>
                      <w:vertAlign w:val="superscript"/>
                    </w:rPr>
                    <w:t>3</w:t>
                  </w:r>
                  <w:r>
                    <w:rPr>
                      <w:sz w:val="18"/>
                      <w:szCs w:val="18"/>
                    </w:rPr>
                    <w:t>）</w:t>
                  </w:r>
                </w:p>
              </w:tc>
              <w:tc>
                <w:tcPr>
                  <w:tcW w:w="1665" w:type="dxa"/>
                  <w:vAlign w:val="center"/>
                </w:tcPr>
                <w:p w14:paraId="5DE5F1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无组织排放监控浓度限值</w:t>
                  </w:r>
                  <w:r>
                    <w:rPr>
                      <w:rFonts w:hint="eastAsia"/>
                      <w:sz w:val="18"/>
                      <w:szCs w:val="18"/>
                      <w:lang w:eastAsia="zh-CN"/>
                    </w:rPr>
                    <w:t>（</w:t>
                  </w:r>
                  <w:r>
                    <w:rPr>
                      <w:sz w:val="18"/>
                      <w:szCs w:val="18"/>
                    </w:rPr>
                    <w:t>mg/m</w:t>
                  </w:r>
                  <w:r>
                    <w:rPr>
                      <w:sz w:val="18"/>
                      <w:szCs w:val="18"/>
                      <w:vertAlign w:val="superscript"/>
                    </w:rPr>
                    <w:t>3</w:t>
                  </w:r>
                  <w:r>
                    <w:rPr>
                      <w:sz w:val="18"/>
                      <w:szCs w:val="18"/>
                    </w:rPr>
                    <w:t>）</w:t>
                  </w:r>
                </w:p>
              </w:tc>
              <w:tc>
                <w:tcPr>
                  <w:tcW w:w="2183" w:type="dxa"/>
                  <w:vAlign w:val="center"/>
                </w:tcPr>
                <w:p w14:paraId="559FAC5D">
                  <w:pPr>
                    <w:jc w:val="center"/>
                    <w:rPr>
                      <w:sz w:val="18"/>
                      <w:szCs w:val="18"/>
                    </w:rPr>
                  </w:pPr>
                  <w:r>
                    <w:rPr>
                      <w:sz w:val="18"/>
                      <w:szCs w:val="18"/>
                    </w:rPr>
                    <w:t>标准来源</w:t>
                  </w:r>
                </w:p>
              </w:tc>
            </w:tr>
            <w:tr w14:paraId="260C98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980" w:type="dxa"/>
                  <w:vAlign w:val="center"/>
                </w:tcPr>
                <w:p w14:paraId="6660C4E4">
                  <w:pPr>
                    <w:jc w:val="center"/>
                    <w:rPr>
                      <w:rFonts w:hint="default" w:eastAsia="宋体"/>
                      <w:sz w:val="18"/>
                      <w:szCs w:val="18"/>
                      <w:lang w:val="en-US" w:eastAsia="zh-CN"/>
                    </w:rPr>
                  </w:pPr>
                  <w:r>
                    <w:rPr>
                      <w:rFonts w:hint="eastAsia"/>
                      <w:sz w:val="18"/>
                      <w:szCs w:val="18"/>
                      <w:lang w:val="en-US" w:eastAsia="zh-CN"/>
                    </w:rPr>
                    <w:t>非甲烷总烃</w:t>
                  </w:r>
                </w:p>
              </w:tc>
              <w:tc>
                <w:tcPr>
                  <w:tcW w:w="1005" w:type="dxa"/>
                  <w:vAlign w:val="center"/>
                </w:tcPr>
                <w:p w14:paraId="30F02B9C">
                  <w:pPr>
                    <w:jc w:val="center"/>
                    <w:rPr>
                      <w:sz w:val="18"/>
                      <w:szCs w:val="18"/>
                    </w:rPr>
                  </w:pPr>
                  <w:r>
                    <w:rPr>
                      <w:sz w:val="18"/>
                      <w:szCs w:val="18"/>
                    </w:rPr>
                    <w:t>15</w:t>
                  </w:r>
                </w:p>
              </w:tc>
              <w:tc>
                <w:tcPr>
                  <w:tcW w:w="1284" w:type="dxa"/>
                  <w:vAlign w:val="center"/>
                </w:tcPr>
                <w:p w14:paraId="43DAE65E">
                  <w:pPr>
                    <w:jc w:val="center"/>
                    <w:rPr>
                      <w:rFonts w:hint="default" w:eastAsia="宋体"/>
                      <w:sz w:val="18"/>
                      <w:szCs w:val="18"/>
                      <w:lang w:val="en-US" w:eastAsia="zh-CN"/>
                    </w:rPr>
                  </w:pPr>
                  <w:r>
                    <w:rPr>
                      <w:rFonts w:hint="eastAsia"/>
                      <w:sz w:val="18"/>
                      <w:szCs w:val="18"/>
                      <w:lang w:val="en-US" w:eastAsia="zh-CN"/>
                    </w:rPr>
                    <w:t>60</w:t>
                  </w:r>
                </w:p>
              </w:tc>
              <w:tc>
                <w:tcPr>
                  <w:tcW w:w="1665" w:type="dxa"/>
                  <w:vAlign w:val="center"/>
                </w:tcPr>
                <w:p w14:paraId="57E424C5">
                  <w:pPr>
                    <w:jc w:val="center"/>
                    <w:rPr>
                      <w:rFonts w:hint="default" w:eastAsia="宋体"/>
                      <w:sz w:val="18"/>
                      <w:szCs w:val="18"/>
                      <w:lang w:val="en-US" w:eastAsia="zh-CN"/>
                    </w:rPr>
                  </w:pPr>
                  <w:r>
                    <w:rPr>
                      <w:rFonts w:hint="eastAsia"/>
                      <w:sz w:val="18"/>
                      <w:szCs w:val="18"/>
                      <w:lang w:val="en-US" w:eastAsia="zh-CN"/>
                    </w:rPr>
                    <w:t>4</w:t>
                  </w:r>
                </w:p>
              </w:tc>
              <w:tc>
                <w:tcPr>
                  <w:tcW w:w="2183" w:type="dxa"/>
                  <w:vMerge w:val="restart"/>
                  <w:vAlign w:val="center"/>
                </w:tcPr>
                <w:p w14:paraId="7116B3FA">
                  <w:pPr>
                    <w:jc w:val="center"/>
                    <w:rPr>
                      <w:rFonts w:hint="eastAsia" w:eastAsia="宋体"/>
                      <w:sz w:val="18"/>
                      <w:szCs w:val="18"/>
                      <w:lang w:eastAsia="zh-CN"/>
                    </w:rPr>
                  </w:pPr>
                  <w:r>
                    <w:rPr>
                      <w:rFonts w:hint="eastAsia"/>
                      <w:sz w:val="18"/>
                      <w:szCs w:val="18"/>
                    </w:rPr>
                    <w:t>《合成树脂工业污染物排放标准》（GB31572-2015）</w:t>
                  </w:r>
                  <w:r>
                    <w:rPr>
                      <w:rFonts w:hint="eastAsia"/>
                      <w:sz w:val="18"/>
                      <w:szCs w:val="18"/>
                      <w:lang w:eastAsia="zh-CN"/>
                    </w:rPr>
                    <w:t>及其修改单；江苏省《大气污染物综合排放标准》（DB32/4041-2021）</w:t>
                  </w:r>
                </w:p>
              </w:tc>
            </w:tr>
            <w:tr w14:paraId="62CB0D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980" w:type="dxa"/>
                  <w:vAlign w:val="center"/>
                </w:tcPr>
                <w:p w14:paraId="277CC4C5">
                  <w:pPr>
                    <w:jc w:val="center"/>
                    <w:rPr>
                      <w:rFonts w:hint="default"/>
                      <w:sz w:val="18"/>
                      <w:szCs w:val="18"/>
                      <w:lang w:val="en-US" w:eastAsia="zh-CN"/>
                    </w:rPr>
                  </w:pPr>
                  <w:r>
                    <w:rPr>
                      <w:rFonts w:hint="eastAsia"/>
                      <w:sz w:val="18"/>
                      <w:szCs w:val="18"/>
                      <w:lang w:val="en-US" w:eastAsia="zh-CN"/>
                    </w:rPr>
                    <w:t>颗粒物</w:t>
                  </w:r>
                </w:p>
              </w:tc>
              <w:tc>
                <w:tcPr>
                  <w:tcW w:w="1005" w:type="dxa"/>
                  <w:vAlign w:val="center"/>
                </w:tcPr>
                <w:p w14:paraId="6E4A3BB1">
                  <w:pPr>
                    <w:jc w:val="center"/>
                    <w:rPr>
                      <w:rFonts w:hint="default" w:eastAsia="宋体"/>
                      <w:sz w:val="18"/>
                      <w:szCs w:val="18"/>
                      <w:lang w:val="en-US" w:eastAsia="zh-CN"/>
                    </w:rPr>
                  </w:pPr>
                  <w:r>
                    <w:rPr>
                      <w:rFonts w:hint="eastAsia"/>
                      <w:sz w:val="18"/>
                      <w:szCs w:val="18"/>
                      <w:lang w:val="en-US" w:eastAsia="zh-CN"/>
                    </w:rPr>
                    <w:t>15</w:t>
                  </w:r>
                </w:p>
              </w:tc>
              <w:tc>
                <w:tcPr>
                  <w:tcW w:w="1284" w:type="dxa"/>
                  <w:vAlign w:val="center"/>
                </w:tcPr>
                <w:p w14:paraId="0887F39E">
                  <w:pPr>
                    <w:jc w:val="center"/>
                    <w:rPr>
                      <w:rFonts w:hint="default"/>
                      <w:sz w:val="18"/>
                      <w:szCs w:val="18"/>
                      <w:lang w:val="en-US" w:eastAsia="zh-CN"/>
                    </w:rPr>
                  </w:pPr>
                  <w:r>
                    <w:rPr>
                      <w:rFonts w:hint="eastAsia"/>
                      <w:sz w:val="18"/>
                      <w:szCs w:val="18"/>
                      <w:lang w:val="en-US" w:eastAsia="zh-CN"/>
                    </w:rPr>
                    <w:t>20</w:t>
                  </w:r>
                </w:p>
              </w:tc>
              <w:tc>
                <w:tcPr>
                  <w:tcW w:w="1665" w:type="dxa"/>
                  <w:vAlign w:val="center"/>
                </w:tcPr>
                <w:p w14:paraId="2D7C1268">
                  <w:pPr>
                    <w:jc w:val="center"/>
                    <w:rPr>
                      <w:rFonts w:hint="default"/>
                      <w:sz w:val="18"/>
                      <w:szCs w:val="18"/>
                      <w:lang w:val="en-US" w:eastAsia="zh-CN"/>
                    </w:rPr>
                  </w:pPr>
                  <w:r>
                    <w:rPr>
                      <w:rFonts w:hint="eastAsia"/>
                      <w:sz w:val="18"/>
                      <w:szCs w:val="18"/>
                      <w:lang w:val="en-US" w:eastAsia="zh-CN"/>
                    </w:rPr>
                    <w:t>1</w:t>
                  </w:r>
                </w:p>
              </w:tc>
              <w:tc>
                <w:tcPr>
                  <w:tcW w:w="2183" w:type="dxa"/>
                  <w:vMerge w:val="continue"/>
                  <w:vAlign w:val="center"/>
                </w:tcPr>
                <w:p w14:paraId="5A955FA9">
                  <w:pPr>
                    <w:jc w:val="center"/>
                    <w:rPr>
                      <w:sz w:val="18"/>
                      <w:szCs w:val="18"/>
                    </w:rPr>
                  </w:pPr>
                </w:p>
              </w:tc>
            </w:tr>
            <w:tr w14:paraId="2A693F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80" w:type="dxa"/>
                  <w:vAlign w:val="center"/>
                </w:tcPr>
                <w:p w14:paraId="746A814D">
                  <w:pPr>
                    <w:jc w:val="center"/>
                    <w:rPr>
                      <w:rFonts w:hint="eastAsia" w:eastAsia="宋体"/>
                      <w:color w:val="auto"/>
                      <w:sz w:val="18"/>
                      <w:szCs w:val="18"/>
                      <w:lang w:val="en-US" w:eastAsia="zh-CN"/>
                    </w:rPr>
                  </w:pPr>
                  <w:r>
                    <w:rPr>
                      <w:rFonts w:hint="eastAsia"/>
                      <w:color w:val="auto"/>
                      <w:sz w:val="18"/>
                      <w:szCs w:val="18"/>
                      <w:lang w:val="en-US" w:eastAsia="zh-CN"/>
                    </w:rPr>
                    <w:t>臭气浓度</w:t>
                  </w:r>
                  <w:r>
                    <w:rPr>
                      <w:rFonts w:hint="eastAsia" w:eastAsia="宋体"/>
                      <w:color w:val="auto"/>
                      <w:sz w:val="18"/>
                      <w:szCs w:val="18"/>
                      <w:lang w:val="en-US" w:eastAsia="zh-CN"/>
                    </w:rPr>
                    <w:t>（无量纲）</w:t>
                  </w:r>
                </w:p>
              </w:tc>
              <w:tc>
                <w:tcPr>
                  <w:tcW w:w="1005" w:type="dxa"/>
                  <w:vAlign w:val="center"/>
                </w:tcPr>
                <w:p w14:paraId="37A6E0E1">
                  <w:pPr>
                    <w:jc w:val="center"/>
                    <w:rPr>
                      <w:rFonts w:hint="default"/>
                      <w:color w:val="auto"/>
                      <w:sz w:val="18"/>
                      <w:szCs w:val="18"/>
                      <w:lang w:val="en-US" w:eastAsia="zh-CN"/>
                    </w:rPr>
                  </w:pPr>
                  <w:r>
                    <w:rPr>
                      <w:rFonts w:hint="eastAsia"/>
                      <w:color w:val="auto"/>
                      <w:sz w:val="18"/>
                      <w:szCs w:val="18"/>
                      <w:lang w:val="en-US" w:eastAsia="zh-CN"/>
                    </w:rPr>
                    <w:t>15</w:t>
                  </w:r>
                </w:p>
              </w:tc>
              <w:tc>
                <w:tcPr>
                  <w:tcW w:w="1284" w:type="dxa"/>
                  <w:vAlign w:val="center"/>
                </w:tcPr>
                <w:p w14:paraId="631274E4">
                  <w:pPr>
                    <w:jc w:val="center"/>
                    <w:rPr>
                      <w:rFonts w:hint="default"/>
                      <w:color w:val="auto"/>
                      <w:sz w:val="18"/>
                      <w:szCs w:val="18"/>
                      <w:lang w:val="en-US" w:eastAsia="zh-CN"/>
                    </w:rPr>
                  </w:pPr>
                  <w:r>
                    <w:rPr>
                      <w:rFonts w:hint="eastAsia"/>
                      <w:color w:val="auto"/>
                      <w:sz w:val="18"/>
                      <w:szCs w:val="18"/>
                      <w:lang w:val="en-US" w:eastAsia="zh-CN"/>
                    </w:rPr>
                    <w:t>/</w:t>
                  </w:r>
                </w:p>
              </w:tc>
              <w:tc>
                <w:tcPr>
                  <w:tcW w:w="1665" w:type="dxa"/>
                  <w:vAlign w:val="center"/>
                </w:tcPr>
                <w:p w14:paraId="08673EC2">
                  <w:pPr>
                    <w:jc w:val="center"/>
                    <w:rPr>
                      <w:rFonts w:hint="default"/>
                      <w:sz w:val="18"/>
                      <w:szCs w:val="18"/>
                      <w:lang w:val="en-US" w:eastAsia="zh-CN"/>
                    </w:rPr>
                  </w:pPr>
                  <w:r>
                    <w:rPr>
                      <w:rFonts w:hint="eastAsia"/>
                      <w:sz w:val="18"/>
                      <w:szCs w:val="18"/>
                      <w:lang w:val="en-US" w:eastAsia="zh-CN"/>
                    </w:rPr>
                    <w:t>20</w:t>
                  </w:r>
                </w:p>
              </w:tc>
              <w:tc>
                <w:tcPr>
                  <w:tcW w:w="2183" w:type="dxa"/>
                  <w:vAlign w:val="center"/>
                </w:tcPr>
                <w:p w14:paraId="32B4E821">
                  <w:pPr>
                    <w:jc w:val="center"/>
                    <w:rPr>
                      <w:rFonts w:hint="eastAsia" w:eastAsia="宋体"/>
                      <w:sz w:val="18"/>
                      <w:szCs w:val="18"/>
                      <w:lang w:eastAsia="zh-CN"/>
                    </w:rPr>
                  </w:pPr>
                  <w:r>
                    <w:rPr>
                      <w:rFonts w:hint="eastAsia"/>
                      <w:sz w:val="18"/>
                      <w:szCs w:val="18"/>
                      <w:lang w:eastAsia="zh-CN"/>
                    </w:rPr>
                    <w:t>《恶臭污染物排放标准》（</w:t>
                  </w:r>
                  <w:r>
                    <w:rPr>
                      <w:rFonts w:hint="eastAsia"/>
                      <w:sz w:val="18"/>
                      <w:szCs w:val="18"/>
                      <w:lang w:val="en-US" w:eastAsia="zh-CN"/>
                    </w:rPr>
                    <w:t>GB14554-93</w:t>
                  </w:r>
                  <w:r>
                    <w:rPr>
                      <w:rFonts w:hint="eastAsia"/>
                      <w:sz w:val="18"/>
                      <w:szCs w:val="18"/>
                      <w:lang w:eastAsia="zh-CN"/>
                    </w:rPr>
                    <w:t>）</w:t>
                  </w:r>
                </w:p>
              </w:tc>
            </w:tr>
          </w:tbl>
          <w:p w14:paraId="7E64A99B">
            <w:pPr>
              <w:spacing w:line="500" w:lineRule="exact"/>
              <w:ind w:firstLine="420" w:firstLineChars="200"/>
              <w:rPr>
                <w:szCs w:val="21"/>
              </w:rPr>
            </w:pPr>
            <w:r>
              <w:rPr>
                <w:szCs w:val="21"/>
              </w:rPr>
              <w:t>厂区内挥发性有机物无组织排放监控点浓度执行江苏省《大气污染物综合排放标准》（DB32/4041-2021）表2中的相关标准限值，具体排放限值见表3-</w:t>
            </w:r>
            <w:r>
              <w:rPr>
                <w:rFonts w:hint="eastAsia"/>
                <w:szCs w:val="21"/>
                <w:lang w:val="en-US" w:eastAsia="zh-CN"/>
              </w:rPr>
              <w:t>6</w:t>
            </w:r>
            <w:r>
              <w:rPr>
                <w:szCs w:val="21"/>
              </w:rPr>
              <w:t>。</w:t>
            </w:r>
          </w:p>
          <w:p w14:paraId="19C087D3">
            <w:pPr>
              <w:spacing w:line="360" w:lineRule="auto"/>
              <w:jc w:val="center"/>
              <w:rPr>
                <w:b/>
                <w:bCs/>
                <w:szCs w:val="21"/>
              </w:rPr>
            </w:pPr>
            <w:r>
              <w:rPr>
                <w:b/>
                <w:bCs/>
                <w:szCs w:val="21"/>
              </w:rPr>
              <w:t>表3-</w:t>
            </w:r>
            <w:r>
              <w:rPr>
                <w:rFonts w:hint="eastAsia"/>
                <w:b/>
                <w:bCs/>
                <w:szCs w:val="21"/>
                <w:lang w:val="en-US" w:eastAsia="zh-CN"/>
              </w:rPr>
              <w:t>6</w:t>
            </w:r>
            <w:r>
              <w:rPr>
                <w:b/>
                <w:bCs/>
                <w:szCs w:val="21"/>
              </w:rPr>
              <w:t xml:space="preserve"> 厂区内挥发性有机物排放限值</w:t>
            </w:r>
          </w:p>
          <w:tbl>
            <w:tblPr>
              <w:tblStyle w:val="16"/>
              <w:tblW w:w="807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390"/>
              <w:gridCol w:w="2307"/>
              <w:gridCol w:w="1308"/>
              <w:gridCol w:w="1805"/>
            </w:tblGrid>
            <w:tr w14:paraId="41AFDD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68" w:type="dxa"/>
                  <w:vAlign w:val="center"/>
                </w:tcPr>
                <w:p w14:paraId="64202DF8">
                  <w:pPr>
                    <w:jc w:val="center"/>
                    <w:rPr>
                      <w:sz w:val="18"/>
                      <w:szCs w:val="18"/>
                    </w:rPr>
                  </w:pPr>
                  <w:r>
                    <w:rPr>
                      <w:sz w:val="18"/>
                      <w:szCs w:val="18"/>
                    </w:rPr>
                    <w:t>污染物</w:t>
                  </w:r>
                </w:p>
              </w:tc>
              <w:tc>
                <w:tcPr>
                  <w:tcW w:w="1390" w:type="dxa"/>
                  <w:vAlign w:val="center"/>
                </w:tcPr>
                <w:p w14:paraId="2168C8C0">
                  <w:pPr>
                    <w:jc w:val="center"/>
                    <w:rPr>
                      <w:sz w:val="18"/>
                      <w:szCs w:val="18"/>
                    </w:rPr>
                  </w:pPr>
                  <w:r>
                    <w:rPr>
                      <w:sz w:val="18"/>
                      <w:szCs w:val="18"/>
                    </w:rPr>
                    <w:t>特别排放限值</w:t>
                  </w:r>
                </w:p>
              </w:tc>
              <w:tc>
                <w:tcPr>
                  <w:tcW w:w="2307" w:type="dxa"/>
                  <w:vAlign w:val="center"/>
                </w:tcPr>
                <w:p w14:paraId="30BBEED7">
                  <w:pPr>
                    <w:jc w:val="center"/>
                    <w:rPr>
                      <w:sz w:val="18"/>
                      <w:szCs w:val="18"/>
                    </w:rPr>
                  </w:pPr>
                  <w:r>
                    <w:rPr>
                      <w:sz w:val="18"/>
                      <w:szCs w:val="18"/>
                    </w:rPr>
                    <w:t>限值含义</w:t>
                  </w:r>
                </w:p>
              </w:tc>
              <w:tc>
                <w:tcPr>
                  <w:tcW w:w="1308" w:type="dxa"/>
                  <w:vAlign w:val="center"/>
                </w:tcPr>
                <w:p w14:paraId="12CB46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无组织排放监控位置</w:t>
                  </w:r>
                </w:p>
              </w:tc>
              <w:tc>
                <w:tcPr>
                  <w:tcW w:w="1805" w:type="dxa"/>
                  <w:vAlign w:val="center"/>
                </w:tcPr>
                <w:p w14:paraId="08FF838B">
                  <w:pPr>
                    <w:jc w:val="center"/>
                    <w:rPr>
                      <w:sz w:val="18"/>
                      <w:szCs w:val="18"/>
                    </w:rPr>
                  </w:pPr>
                  <w:r>
                    <w:rPr>
                      <w:sz w:val="18"/>
                      <w:szCs w:val="18"/>
                    </w:rPr>
                    <w:t>标准来源</w:t>
                  </w:r>
                </w:p>
              </w:tc>
            </w:tr>
            <w:tr w14:paraId="291F1E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68" w:type="dxa"/>
                  <w:vMerge w:val="restart"/>
                  <w:vAlign w:val="center"/>
                </w:tcPr>
                <w:p w14:paraId="0775B398">
                  <w:pPr>
                    <w:jc w:val="center"/>
                    <w:rPr>
                      <w:sz w:val="18"/>
                      <w:szCs w:val="18"/>
                    </w:rPr>
                  </w:pPr>
                  <w:r>
                    <w:rPr>
                      <w:sz w:val="18"/>
                      <w:szCs w:val="18"/>
                    </w:rPr>
                    <w:t>NMHC</w:t>
                  </w:r>
                </w:p>
              </w:tc>
              <w:tc>
                <w:tcPr>
                  <w:tcW w:w="1390" w:type="dxa"/>
                  <w:vAlign w:val="center"/>
                </w:tcPr>
                <w:p w14:paraId="79C7A4DC">
                  <w:pPr>
                    <w:jc w:val="center"/>
                    <w:rPr>
                      <w:sz w:val="18"/>
                      <w:szCs w:val="18"/>
                    </w:rPr>
                  </w:pPr>
                  <w:r>
                    <w:rPr>
                      <w:sz w:val="18"/>
                      <w:szCs w:val="18"/>
                    </w:rPr>
                    <w:t>6</w:t>
                  </w:r>
                </w:p>
              </w:tc>
              <w:tc>
                <w:tcPr>
                  <w:tcW w:w="2307" w:type="dxa"/>
                  <w:vAlign w:val="center"/>
                </w:tcPr>
                <w:p w14:paraId="40CC5869">
                  <w:pPr>
                    <w:jc w:val="center"/>
                    <w:rPr>
                      <w:sz w:val="18"/>
                      <w:szCs w:val="18"/>
                    </w:rPr>
                  </w:pPr>
                  <w:r>
                    <w:rPr>
                      <w:sz w:val="18"/>
                      <w:szCs w:val="18"/>
                    </w:rPr>
                    <w:t>监控点出1h平均浓度值</w:t>
                  </w:r>
                </w:p>
              </w:tc>
              <w:tc>
                <w:tcPr>
                  <w:tcW w:w="1308" w:type="dxa"/>
                  <w:vMerge w:val="restart"/>
                  <w:vAlign w:val="center"/>
                </w:tcPr>
                <w:p w14:paraId="4B9A074F">
                  <w:pPr>
                    <w:jc w:val="center"/>
                    <w:rPr>
                      <w:sz w:val="18"/>
                      <w:szCs w:val="18"/>
                    </w:rPr>
                  </w:pPr>
                  <w:r>
                    <w:rPr>
                      <w:sz w:val="18"/>
                      <w:szCs w:val="18"/>
                    </w:rPr>
                    <w:t>在厂房外设置监控点</w:t>
                  </w:r>
                </w:p>
              </w:tc>
              <w:tc>
                <w:tcPr>
                  <w:tcW w:w="1805" w:type="dxa"/>
                  <w:vMerge w:val="restart"/>
                  <w:vAlign w:val="center"/>
                </w:tcPr>
                <w:p w14:paraId="569D5B7C">
                  <w:pPr>
                    <w:jc w:val="center"/>
                    <w:rPr>
                      <w:sz w:val="18"/>
                      <w:szCs w:val="18"/>
                    </w:rPr>
                  </w:pPr>
                  <w:r>
                    <w:rPr>
                      <w:sz w:val="18"/>
                      <w:szCs w:val="18"/>
                    </w:rPr>
                    <w:t>江苏省《大气污染物综合排放标准》</w:t>
                  </w:r>
                </w:p>
                <w:p w14:paraId="5071C2C4">
                  <w:pPr>
                    <w:jc w:val="center"/>
                    <w:rPr>
                      <w:sz w:val="18"/>
                      <w:szCs w:val="18"/>
                    </w:rPr>
                  </w:pPr>
                  <w:r>
                    <w:rPr>
                      <w:sz w:val="18"/>
                      <w:szCs w:val="18"/>
                    </w:rPr>
                    <w:t>（DB32/4041-2021）</w:t>
                  </w:r>
                </w:p>
              </w:tc>
            </w:tr>
            <w:tr w14:paraId="6DB046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68" w:type="dxa"/>
                  <w:vMerge w:val="continue"/>
                  <w:vAlign w:val="center"/>
                </w:tcPr>
                <w:p w14:paraId="3703A479">
                  <w:pPr>
                    <w:jc w:val="center"/>
                    <w:rPr>
                      <w:sz w:val="18"/>
                      <w:szCs w:val="18"/>
                    </w:rPr>
                  </w:pPr>
                </w:p>
              </w:tc>
              <w:tc>
                <w:tcPr>
                  <w:tcW w:w="1390" w:type="dxa"/>
                  <w:vAlign w:val="center"/>
                </w:tcPr>
                <w:p w14:paraId="7995B08C">
                  <w:pPr>
                    <w:jc w:val="center"/>
                    <w:rPr>
                      <w:sz w:val="18"/>
                      <w:szCs w:val="18"/>
                    </w:rPr>
                  </w:pPr>
                  <w:r>
                    <w:rPr>
                      <w:sz w:val="18"/>
                      <w:szCs w:val="18"/>
                    </w:rPr>
                    <w:t>20</w:t>
                  </w:r>
                </w:p>
              </w:tc>
              <w:tc>
                <w:tcPr>
                  <w:tcW w:w="2307" w:type="dxa"/>
                  <w:vAlign w:val="center"/>
                </w:tcPr>
                <w:p w14:paraId="6606284E">
                  <w:pPr>
                    <w:jc w:val="center"/>
                    <w:rPr>
                      <w:sz w:val="18"/>
                      <w:szCs w:val="18"/>
                    </w:rPr>
                  </w:pPr>
                  <w:r>
                    <w:rPr>
                      <w:sz w:val="18"/>
                      <w:szCs w:val="18"/>
                    </w:rPr>
                    <w:t>监控点处任意一次浓度值</w:t>
                  </w:r>
                </w:p>
              </w:tc>
              <w:tc>
                <w:tcPr>
                  <w:tcW w:w="1308" w:type="dxa"/>
                  <w:vMerge w:val="continue"/>
                  <w:vAlign w:val="center"/>
                </w:tcPr>
                <w:p w14:paraId="51FC4130">
                  <w:pPr>
                    <w:jc w:val="center"/>
                    <w:rPr>
                      <w:sz w:val="18"/>
                      <w:szCs w:val="18"/>
                    </w:rPr>
                  </w:pPr>
                </w:p>
              </w:tc>
              <w:tc>
                <w:tcPr>
                  <w:tcW w:w="1805" w:type="dxa"/>
                  <w:vMerge w:val="continue"/>
                  <w:vAlign w:val="center"/>
                </w:tcPr>
                <w:p w14:paraId="7EF8951B">
                  <w:pPr>
                    <w:jc w:val="center"/>
                    <w:rPr>
                      <w:sz w:val="18"/>
                      <w:szCs w:val="18"/>
                    </w:rPr>
                  </w:pPr>
                </w:p>
              </w:tc>
            </w:tr>
          </w:tbl>
          <w:p w14:paraId="657C3E26">
            <w:pPr>
              <w:keepNext w:val="0"/>
              <w:keepLines w:val="0"/>
              <w:pageBreakBefore w:val="0"/>
              <w:widowControl w:val="0"/>
              <w:kinsoku/>
              <w:wordWrap/>
              <w:overflowPunct/>
              <w:topLinePunct w:val="0"/>
              <w:autoSpaceDE/>
              <w:autoSpaceDN/>
              <w:bidi w:val="0"/>
              <w:spacing w:line="480" w:lineRule="exact"/>
              <w:ind w:firstLine="422" w:firstLineChars="200"/>
              <w:textAlignment w:val="auto"/>
              <w:rPr>
                <w:b/>
                <w:bCs/>
                <w:szCs w:val="21"/>
              </w:rPr>
            </w:pPr>
            <w:r>
              <w:rPr>
                <w:b/>
                <w:bCs/>
                <w:szCs w:val="21"/>
              </w:rPr>
              <w:t>2、废水污染物排放标准</w:t>
            </w:r>
          </w:p>
          <w:p w14:paraId="64720EA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eastAsia="宋体"/>
                <w:color w:val="auto"/>
                <w:kern w:val="0"/>
                <w:szCs w:val="21"/>
                <w:lang w:eastAsia="zh-CN"/>
              </w:rPr>
            </w:pPr>
            <w:r>
              <w:rPr>
                <w:rFonts w:hint="eastAsia"/>
                <w:kern w:val="0"/>
                <w:szCs w:val="21"/>
              </w:rPr>
              <w:t>项目</w:t>
            </w:r>
            <w:r>
              <w:rPr>
                <w:rFonts w:hint="eastAsia"/>
                <w:kern w:val="0"/>
                <w:szCs w:val="21"/>
                <w:lang w:eastAsia="zh-CN"/>
              </w:rPr>
              <w:t>冷却废水定期排放，生活污水经化粪池</w:t>
            </w:r>
            <w:r>
              <w:rPr>
                <w:rFonts w:hint="eastAsia"/>
                <w:kern w:val="0"/>
                <w:szCs w:val="21"/>
              </w:rPr>
              <w:t>经预处理</w:t>
            </w:r>
            <w:r>
              <w:rPr>
                <w:rFonts w:hint="eastAsia"/>
                <w:kern w:val="0"/>
                <w:szCs w:val="21"/>
                <w:lang w:eastAsia="zh-CN"/>
              </w:rPr>
              <w:t>后，执行《污水综合排放标准》（GB 8978-1996）三级标</w:t>
            </w:r>
            <w:r>
              <w:rPr>
                <w:rFonts w:hint="eastAsia"/>
                <w:color w:val="auto"/>
                <w:kern w:val="0"/>
                <w:szCs w:val="21"/>
                <w:lang w:eastAsia="zh-CN"/>
              </w:rPr>
              <w:t>准。</w:t>
            </w:r>
            <w:r>
              <w:rPr>
                <w:rFonts w:hint="eastAsia"/>
                <w:color w:val="auto"/>
              </w:rPr>
              <w:t>氨氮、总磷、总氮执行《污水排入城镇下水道水质标准》（GB/T31</w:t>
            </w:r>
            <w:r>
              <w:rPr>
                <w:rFonts w:hint="default" w:ascii="Times New Roman" w:hAnsi="Times New Roman" w:cs="Times New Roman"/>
                <w:color w:val="auto"/>
              </w:rPr>
              <w:t>962-2015）表1中</w:t>
            </w:r>
            <w:r>
              <w:rPr>
                <w:rFonts w:hint="default" w:ascii="Times New Roman" w:hAnsi="Times New Roman" w:cs="Times New Roman"/>
                <w:color w:val="auto"/>
                <w:lang w:val="en-US" w:eastAsia="zh-CN"/>
              </w:rPr>
              <w:t>B</w:t>
            </w:r>
            <w:r>
              <w:rPr>
                <w:rFonts w:hint="default" w:ascii="Times New Roman" w:hAnsi="Times New Roman" w:cs="Times New Roman"/>
                <w:color w:val="auto"/>
              </w:rPr>
              <w:t>级标准，</w:t>
            </w:r>
            <w:r>
              <w:rPr>
                <w:rFonts w:hint="eastAsia" w:cs="Times New Roman"/>
                <w:color w:val="auto"/>
                <w:kern w:val="0"/>
                <w:szCs w:val="21"/>
                <w:lang w:eastAsia="zh-CN"/>
              </w:rPr>
              <w:t>托运至</w:t>
            </w:r>
            <w:r>
              <w:rPr>
                <w:rFonts w:hint="default" w:ascii="Times New Roman" w:hAnsi="Times New Roman" w:cs="Times New Roman"/>
                <w:color w:val="auto"/>
                <w:kern w:val="0"/>
                <w:szCs w:val="21"/>
                <w:lang w:eastAsia="zh-CN"/>
              </w:rPr>
              <w:t>南通市东港排水有限公司集中处理，尾水排入污水厂尾水长江，</w:t>
            </w:r>
            <w:r>
              <w:rPr>
                <w:rFonts w:hint="default" w:ascii="Times New Roman" w:hAnsi="Times New Roman" w:cs="Times New Roman"/>
                <w:kern w:val="0"/>
                <w:szCs w:val="21"/>
                <w:lang w:eastAsia="zh-CN"/>
              </w:rPr>
              <w:t>尾水排放执行《城镇污水处理厂污染物排放标准》（GB18918- 2002）中一级A标准。雨水排入周边小</w:t>
            </w:r>
            <w:r>
              <w:rPr>
                <w:rFonts w:hint="default" w:ascii="Times New Roman" w:hAnsi="Times New Roman" w:cs="Times New Roman"/>
                <w:color w:val="auto"/>
                <w:kern w:val="0"/>
                <w:szCs w:val="21"/>
                <w:lang w:eastAsia="zh-CN"/>
              </w:rPr>
              <w:t>河</w:t>
            </w:r>
            <w:r>
              <w:rPr>
                <w:rFonts w:hint="default" w:ascii="Times New Roman" w:hAnsi="Times New Roman" w:cs="Times New Roman"/>
                <w:color w:val="auto"/>
                <w:szCs w:val="21"/>
              </w:rPr>
              <w:t>。</w:t>
            </w:r>
            <w:r>
              <w:rPr>
                <w:rFonts w:hint="eastAsia" w:cs="Times New Roman"/>
                <w:color w:val="auto"/>
                <w:szCs w:val="21"/>
                <w:lang w:eastAsia="zh-CN"/>
              </w:rPr>
              <w:t>后期</w:t>
            </w:r>
            <w:r>
              <w:rPr>
                <w:rFonts w:hint="default" w:ascii="Times New Roman" w:hAnsi="Times New Roman" w:cs="Times New Roman"/>
                <w:color w:val="auto"/>
                <w:szCs w:val="21"/>
                <w:lang w:eastAsia="zh-CN"/>
              </w:rPr>
              <w:t>雨水排放口执行地表水环境质量标准（GB 3838-2002）</w:t>
            </w:r>
            <w:r>
              <w:rPr>
                <w:rFonts w:hint="default" w:ascii="Times New Roman" w:hAnsi="Times New Roman" w:eastAsia="宋体" w:cs="Times New Roman"/>
                <w:color w:val="auto"/>
                <w:szCs w:val="21"/>
                <w:lang w:eastAsia="zh-CN"/>
              </w:rPr>
              <w:t>Ⅲ</w:t>
            </w:r>
            <w:r>
              <w:rPr>
                <w:rFonts w:hint="default" w:ascii="Times New Roman" w:hAnsi="Times New Roman" w:cs="Times New Roman"/>
                <w:color w:val="auto"/>
                <w:szCs w:val="21"/>
                <w:lang w:eastAsia="zh-CN"/>
              </w:rPr>
              <w:t>类标准。</w:t>
            </w:r>
          </w:p>
          <w:p w14:paraId="5BDA010E">
            <w:pPr>
              <w:spacing w:line="500" w:lineRule="exact"/>
              <w:ind w:firstLine="422" w:firstLineChars="200"/>
              <w:jc w:val="center"/>
              <w:rPr>
                <w:b/>
                <w:szCs w:val="21"/>
              </w:rPr>
            </w:pPr>
          </w:p>
          <w:p w14:paraId="13D0ED5C">
            <w:pPr>
              <w:spacing w:line="500" w:lineRule="exact"/>
              <w:ind w:firstLine="422" w:firstLineChars="200"/>
              <w:jc w:val="center"/>
              <w:rPr>
                <w:szCs w:val="21"/>
              </w:rPr>
            </w:pPr>
            <w:r>
              <w:rPr>
                <w:b/>
                <w:szCs w:val="21"/>
              </w:rPr>
              <w:t>表3-</w:t>
            </w:r>
            <w:r>
              <w:rPr>
                <w:rFonts w:hint="eastAsia"/>
                <w:b/>
                <w:szCs w:val="21"/>
                <w:lang w:val="en-US" w:eastAsia="zh-CN"/>
              </w:rPr>
              <w:t xml:space="preserve">7 </w:t>
            </w:r>
            <w:r>
              <w:rPr>
                <w:b/>
                <w:szCs w:val="21"/>
              </w:rPr>
              <w:t xml:space="preserve">废水排放标准       </w:t>
            </w:r>
            <w:r>
              <w:rPr>
                <w:b/>
                <w:bCs/>
                <w:szCs w:val="21"/>
              </w:rPr>
              <w:t>单位：mg/L，pH无量纲</w:t>
            </w:r>
          </w:p>
          <w:tbl>
            <w:tblPr>
              <w:tblStyle w:val="16"/>
              <w:tblW w:w="797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67"/>
              <w:gridCol w:w="1885"/>
              <w:gridCol w:w="1881"/>
              <w:gridCol w:w="1881"/>
            </w:tblGrid>
            <w:tr w14:paraId="3E62D9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64" w:type="dxa"/>
                  <w:vAlign w:val="center"/>
                </w:tcPr>
                <w:p w14:paraId="28E6D988">
                  <w:pPr>
                    <w:jc w:val="center"/>
                    <w:rPr>
                      <w:sz w:val="18"/>
                      <w:szCs w:val="18"/>
                    </w:rPr>
                  </w:pPr>
                  <w:r>
                    <w:rPr>
                      <w:sz w:val="18"/>
                      <w:szCs w:val="18"/>
                    </w:rPr>
                    <w:t>序号</w:t>
                  </w:r>
                </w:p>
              </w:tc>
              <w:tc>
                <w:tcPr>
                  <w:tcW w:w="1567" w:type="dxa"/>
                  <w:vAlign w:val="center"/>
                </w:tcPr>
                <w:p w14:paraId="5BE0FC9E">
                  <w:pPr>
                    <w:jc w:val="center"/>
                    <w:rPr>
                      <w:sz w:val="18"/>
                      <w:szCs w:val="18"/>
                    </w:rPr>
                  </w:pPr>
                  <w:r>
                    <w:rPr>
                      <w:sz w:val="18"/>
                      <w:szCs w:val="18"/>
                    </w:rPr>
                    <w:t>污染物名称</w:t>
                  </w:r>
                </w:p>
              </w:tc>
              <w:tc>
                <w:tcPr>
                  <w:tcW w:w="1885" w:type="dxa"/>
                  <w:vAlign w:val="center"/>
                </w:tcPr>
                <w:p w14:paraId="7B09B6B2">
                  <w:pPr>
                    <w:jc w:val="center"/>
                    <w:rPr>
                      <w:rFonts w:hint="eastAsia" w:eastAsia="宋体"/>
                      <w:sz w:val="18"/>
                      <w:szCs w:val="18"/>
                      <w:lang w:eastAsia="zh-CN"/>
                    </w:rPr>
                  </w:pPr>
                  <w:r>
                    <w:rPr>
                      <w:rFonts w:hint="eastAsia"/>
                      <w:sz w:val="18"/>
                      <w:szCs w:val="18"/>
                      <w:lang w:eastAsia="zh-CN"/>
                    </w:rPr>
                    <w:t>污水综合排放标准</w:t>
                  </w:r>
                </w:p>
              </w:tc>
              <w:tc>
                <w:tcPr>
                  <w:tcW w:w="1881" w:type="dxa"/>
                  <w:vAlign w:val="center"/>
                </w:tcPr>
                <w:p w14:paraId="2D9ADC62">
                  <w:pPr>
                    <w:jc w:val="center"/>
                    <w:rPr>
                      <w:sz w:val="18"/>
                      <w:szCs w:val="18"/>
                    </w:rPr>
                  </w:pPr>
                  <w:r>
                    <w:rPr>
                      <w:rFonts w:hint="eastAsia"/>
                      <w:sz w:val="18"/>
                      <w:szCs w:val="18"/>
                    </w:rPr>
                    <w:t>城镇污水处理厂污染物排放标准</w:t>
                  </w:r>
                </w:p>
              </w:tc>
              <w:tc>
                <w:tcPr>
                  <w:tcW w:w="1881" w:type="dxa"/>
                  <w:vAlign w:val="center"/>
                </w:tcPr>
                <w:p w14:paraId="2A38133B">
                  <w:pPr>
                    <w:jc w:val="center"/>
                    <w:rPr>
                      <w:sz w:val="18"/>
                      <w:szCs w:val="18"/>
                    </w:rPr>
                  </w:pPr>
                  <w:r>
                    <w:rPr>
                      <w:rFonts w:hint="eastAsia"/>
                      <w:sz w:val="18"/>
                      <w:szCs w:val="18"/>
                    </w:rPr>
                    <w:t>《污水排入城镇下水道水质标准》</w:t>
                  </w:r>
                </w:p>
              </w:tc>
            </w:tr>
            <w:tr w14:paraId="70193F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64" w:type="dxa"/>
                  <w:vAlign w:val="center"/>
                </w:tcPr>
                <w:p w14:paraId="4A07BCA5">
                  <w:pPr>
                    <w:jc w:val="center"/>
                    <w:rPr>
                      <w:sz w:val="18"/>
                      <w:szCs w:val="18"/>
                    </w:rPr>
                  </w:pPr>
                  <w:r>
                    <w:rPr>
                      <w:sz w:val="18"/>
                      <w:szCs w:val="18"/>
                    </w:rPr>
                    <w:t>1</w:t>
                  </w:r>
                </w:p>
              </w:tc>
              <w:tc>
                <w:tcPr>
                  <w:tcW w:w="1567" w:type="dxa"/>
                  <w:vAlign w:val="center"/>
                </w:tcPr>
                <w:p w14:paraId="08820630">
                  <w:pPr>
                    <w:jc w:val="center"/>
                    <w:rPr>
                      <w:sz w:val="18"/>
                      <w:szCs w:val="18"/>
                    </w:rPr>
                  </w:pPr>
                  <w:r>
                    <w:rPr>
                      <w:sz w:val="18"/>
                      <w:szCs w:val="18"/>
                    </w:rPr>
                    <w:t>pH</w:t>
                  </w:r>
                </w:p>
              </w:tc>
              <w:tc>
                <w:tcPr>
                  <w:tcW w:w="1885" w:type="dxa"/>
                  <w:vAlign w:val="center"/>
                </w:tcPr>
                <w:p w14:paraId="1DAC955B">
                  <w:pPr>
                    <w:jc w:val="center"/>
                    <w:rPr>
                      <w:sz w:val="18"/>
                      <w:szCs w:val="18"/>
                    </w:rPr>
                  </w:pPr>
                  <w:r>
                    <w:rPr>
                      <w:sz w:val="18"/>
                      <w:szCs w:val="18"/>
                    </w:rPr>
                    <w:t>6~9</w:t>
                  </w:r>
                </w:p>
              </w:tc>
              <w:tc>
                <w:tcPr>
                  <w:tcW w:w="1881" w:type="dxa"/>
                  <w:vAlign w:val="center"/>
                </w:tcPr>
                <w:p w14:paraId="5D9F6C9B">
                  <w:pPr>
                    <w:jc w:val="center"/>
                    <w:rPr>
                      <w:sz w:val="18"/>
                      <w:szCs w:val="18"/>
                    </w:rPr>
                  </w:pPr>
                  <w:r>
                    <w:rPr>
                      <w:sz w:val="18"/>
                      <w:szCs w:val="18"/>
                    </w:rPr>
                    <w:t>6~9</w:t>
                  </w:r>
                </w:p>
              </w:tc>
              <w:tc>
                <w:tcPr>
                  <w:tcW w:w="1881" w:type="dxa"/>
                  <w:vAlign w:val="center"/>
                </w:tcPr>
                <w:p w14:paraId="54B8D82B">
                  <w:pPr>
                    <w:jc w:val="center"/>
                    <w:rPr>
                      <w:rFonts w:hint="default" w:eastAsia="宋体"/>
                      <w:sz w:val="18"/>
                      <w:szCs w:val="18"/>
                      <w:lang w:val="en-US" w:eastAsia="zh-CN"/>
                    </w:rPr>
                  </w:pPr>
                  <w:r>
                    <w:rPr>
                      <w:rFonts w:hint="eastAsia"/>
                      <w:sz w:val="18"/>
                      <w:szCs w:val="18"/>
                      <w:lang w:val="en-US" w:eastAsia="zh-CN"/>
                    </w:rPr>
                    <w:t>6.5-9.5</w:t>
                  </w:r>
                </w:p>
              </w:tc>
            </w:tr>
            <w:tr w14:paraId="540308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64" w:type="dxa"/>
                  <w:vAlign w:val="center"/>
                </w:tcPr>
                <w:p w14:paraId="3D5C5AB4">
                  <w:pPr>
                    <w:jc w:val="center"/>
                    <w:rPr>
                      <w:sz w:val="18"/>
                      <w:szCs w:val="18"/>
                    </w:rPr>
                  </w:pPr>
                  <w:r>
                    <w:rPr>
                      <w:sz w:val="18"/>
                      <w:szCs w:val="18"/>
                    </w:rPr>
                    <w:t>2</w:t>
                  </w:r>
                </w:p>
              </w:tc>
              <w:tc>
                <w:tcPr>
                  <w:tcW w:w="1567" w:type="dxa"/>
                  <w:vAlign w:val="center"/>
                </w:tcPr>
                <w:p w14:paraId="5791D16E">
                  <w:pPr>
                    <w:jc w:val="center"/>
                    <w:rPr>
                      <w:sz w:val="18"/>
                      <w:szCs w:val="18"/>
                    </w:rPr>
                  </w:pPr>
                  <w:r>
                    <w:rPr>
                      <w:sz w:val="18"/>
                      <w:szCs w:val="18"/>
                    </w:rPr>
                    <w:t>COD</w:t>
                  </w:r>
                </w:p>
              </w:tc>
              <w:tc>
                <w:tcPr>
                  <w:tcW w:w="1885" w:type="dxa"/>
                  <w:vAlign w:val="center"/>
                </w:tcPr>
                <w:p w14:paraId="11CE1DC1">
                  <w:pPr>
                    <w:jc w:val="center"/>
                    <w:rPr>
                      <w:rFonts w:hint="default" w:eastAsia="宋体"/>
                      <w:sz w:val="18"/>
                      <w:szCs w:val="18"/>
                      <w:lang w:val="en-US" w:eastAsia="zh-CN"/>
                    </w:rPr>
                  </w:pPr>
                  <w:r>
                    <w:rPr>
                      <w:rFonts w:hint="eastAsia"/>
                      <w:sz w:val="18"/>
                      <w:szCs w:val="18"/>
                      <w:lang w:val="en-US" w:eastAsia="zh-CN"/>
                    </w:rPr>
                    <w:t>500</w:t>
                  </w:r>
                </w:p>
              </w:tc>
              <w:tc>
                <w:tcPr>
                  <w:tcW w:w="1881" w:type="dxa"/>
                  <w:vAlign w:val="center"/>
                </w:tcPr>
                <w:p w14:paraId="6F843329">
                  <w:pPr>
                    <w:jc w:val="center"/>
                    <w:rPr>
                      <w:rFonts w:hint="eastAsia"/>
                      <w:sz w:val="18"/>
                      <w:szCs w:val="18"/>
                    </w:rPr>
                  </w:pPr>
                  <w:r>
                    <w:rPr>
                      <w:rFonts w:hint="eastAsia"/>
                      <w:sz w:val="18"/>
                      <w:szCs w:val="18"/>
                    </w:rPr>
                    <w:t>50</w:t>
                  </w:r>
                </w:p>
              </w:tc>
              <w:tc>
                <w:tcPr>
                  <w:tcW w:w="1881" w:type="dxa"/>
                  <w:vAlign w:val="center"/>
                </w:tcPr>
                <w:p w14:paraId="7B075439">
                  <w:pPr>
                    <w:jc w:val="center"/>
                    <w:rPr>
                      <w:rFonts w:hint="default" w:eastAsia="宋体"/>
                      <w:sz w:val="18"/>
                      <w:szCs w:val="18"/>
                      <w:lang w:val="en-US" w:eastAsia="zh-CN"/>
                    </w:rPr>
                  </w:pPr>
                  <w:r>
                    <w:rPr>
                      <w:rFonts w:hint="eastAsia"/>
                      <w:sz w:val="18"/>
                      <w:szCs w:val="18"/>
                      <w:lang w:val="en-US" w:eastAsia="zh-CN"/>
                    </w:rPr>
                    <w:t>500</w:t>
                  </w:r>
                </w:p>
              </w:tc>
            </w:tr>
            <w:tr w14:paraId="4F0402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64" w:type="dxa"/>
                  <w:vAlign w:val="center"/>
                </w:tcPr>
                <w:p w14:paraId="7AC2D596">
                  <w:pPr>
                    <w:jc w:val="center"/>
                    <w:rPr>
                      <w:sz w:val="18"/>
                      <w:szCs w:val="18"/>
                    </w:rPr>
                  </w:pPr>
                  <w:r>
                    <w:rPr>
                      <w:sz w:val="18"/>
                      <w:szCs w:val="18"/>
                    </w:rPr>
                    <w:t>3</w:t>
                  </w:r>
                </w:p>
              </w:tc>
              <w:tc>
                <w:tcPr>
                  <w:tcW w:w="1567" w:type="dxa"/>
                  <w:vAlign w:val="center"/>
                </w:tcPr>
                <w:p w14:paraId="29CF2FC8">
                  <w:pPr>
                    <w:jc w:val="center"/>
                    <w:rPr>
                      <w:sz w:val="18"/>
                      <w:szCs w:val="18"/>
                    </w:rPr>
                  </w:pPr>
                  <w:r>
                    <w:rPr>
                      <w:sz w:val="18"/>
                      <w:szCs w:val="18"/>
                    </w:rPr>
                    <w:t>SS</w:t>
                  </w:r>
                </w:p>
              </w:tc>
              <w:tc>
                <w:tcPr>
                  <w:tcW w:w="1885" w:type="dxa"/>
                  <w:vAlign w:val="center"/>
                </w:tcPr>
                <w:p w14:paraId="54CFF83C">
                  <w:pPr>
                    <w:jc w:val="center"/>
                    <w:rPr>
                      <w:rFonts w:hint="default" w:eastAsia="宋体"/>
                      <w:sz w:val="18"/>
                      <w:szCs w:val="18"/>
                      <w:lang w:val="en-US" w:eastAsia="zh-CN"/>
                    </w:rPr>
                  </w:pPr>
                  <w:r>
                    <w:rPr>
                      <w:rFonts w:hint="eastAsia"/>
                      <w:sz w:val="18"/>
                      <w:szCs w:val="18"/>
                      <w:lang w:val="en-US" w:eastAsia="zh-CN"/>
                    </w:rPr>
                    <w:t>400</w:t>
                  </w:r>
                </w:p>
              </w:tc>
              <w:tc>
                <w:tcPr>
                  <w:tcW w:w="1881" w:type="dxa"/>
                  <w:vAlign w:val="center"/>
                </w:tcPr>
                <w:p w14:paraId="5F2AD582">
                  <w:pPr>
                    <w:jc w:val="center"/>
                    <w:rPr>
                      <w:sz w:val="18"/>
                      <w:szCs w:val="18"/>
                    </w:rPr>
                  </w:pPr>
                  <w:r>
                    <w:rPr>
                      <w:sz w:val="18"/>
                      <w:szCs w:val="18"/>
                    </w:rPr>
                    <w:t>10</w:t>
                  </w:r>
                </w:p>
              </w:tc>
              <w:tc>
                <w:tcPr>
                  <w:tcW w:w="1881" w:type="dxa"/>
                  <w:vAlign w:val="center"/>
                </w:tcPr>
                <w:p w14:paraId="67C9C764">
                  <w:pPr>
                    <w:jc w:val="center"/>
                    <w:rPr>
                      <w:rFonts w:hint="default" w:eastAsia="宋体"/>
                      <w:sz w:val="18"/>
                      <w:szCs w:val="18"/>
                      <w:lang w:val="en-US" w:eastAsia="zh-CN"/>
                    </w:rPr>
                  </w:pPr>
                  <w:r>
                    <w:rPr>
                      <w:rFonts w:hint="eastAsia"/>
                      <w:sz w:val="18"/>
                      <w:szCs w:val="18"/>
                      <w:lang w:val="en-US" w:eastAsia="zh-CN"/>
                    </w:rPr>
                    <w:t>400</w:t>
                  </w:r>
                </w:p>
              </w:tc>
            </w:tr>
            <w:tr w14:paraId="27BC86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64" w:type="dxa"/>
                  <w:vAlign w:val="center"/>
                </w:tcPr>
                <w:p w14:paraId="2FEAB666">
                  <w:pPr>
                    <w:jc w:val="center"/>
                    <w:rPr>
                      <w:sz w:val="18"/>
                      <w:szCs w:val="18"/>
                    </w:rPr>
                  </w:pPr>
                  <w:r>
                    <w:rPr>
                      <w:sz w:val="18"/>
                      <w:szCs w:val="18"/>
                    </w:rPr>
                    <w:t>4</w:t>
                  </w:r>
                </w:p>
              </w:tc>
              <w:tc>
                <w:tcPr>
                  <w:tcW w:w="1567" w:type="dxa"/>
                  <w:vAlign w:val="center"/>
                </w:tcPr>
                <w:p w14:paraId="5AAA27F2">
                  <w:pPr>
                    <w:jc w:val="center"/>
                    <w:rPr>
                      <w:sz w:val="18"/>
                      <w:szCs w:val="18"/>
                    </w:rPr>
                  </w:pPr>
                  <w:r>
                    <w:rPr>
                      <w:sz w:val="18"/>
                      <w:szCs w:val="18"/>
                    </w:rPr>
                    <w:t>NH</w:t>
                  </w:r>
                  <w:r>
                    <w:rPr>
                      <w:sz w:val="18"/>
                      <w:szCs w:val="18"/>
                      <w:vertAlign w:val="subscript"/>
                    </w:rPr>
                    <w:t>3</w:t>
                  </w:r>
                  <w:r>
                    <w:rPr>
                      <w:sz w:val="18"/>
                      <w:szCs w:val="18"/>
                    </w:rPr>
                    <w:t>-N</w:t>
                  </w:r>
                </w:p>
              </w:tc>
              <w:tc>
                <w:tcPr>
                  <w:tcW w:w="1885" w:type="dxa"/>
                  <w:vAlign w:val="center"/>
                </w:tcPr>
                <w:p w14:paraId="0C2B757C">
                  <w:pPr>
                    <w:jc w:val="center"/>
                    <w:rPr>
                      <w:rFonts w:hint="eastAsia" w:eastAsia="宋体"/>
                      <w:sz w:val="18"/>
                      <w:szCs w:val="18"/>
                      <w:lang w:eastAsia="zh-CN"/>
                    </w:rPr>
                  </w:pPr>
                  <w:r>
                    <w:rPr>
                      <w:rFonts w:hint="eastAsia"/>
                      <w:sz w:val="18"/>
                      <w:szCs w:val="18"/>
                      <w:lang w:val="en-US" w:eastAsia="zh-CN"/>
                    </w:rPr>
                    <w:t>/</w:t>
                  </w:r>
                </w:p>
              </w:tc>
              <w:tc>
                <w:tcPr>
                  <w:tcW w:w="1881" w:type="dxa"/>
                  <w:vAlign w:val="center"/>
                </w:tcPr>
                <w:p w14:paraId="23BE60CB">
                  <w:pPr>
                    <w:jc w:val="center"/>
                    <w:rPr>
                      <w:rFonts w:hint="eastAsia"/>
                      <w:sz w:val="18"/>
                      <w:szCs w:val="18"/>
                    </w:rPr>
                  </w:pPr>
                  <w:r>
                    <w:rPr>
                      <w:rFonts w:hint="eastAsia"/>
                      <w:sz w:val="18"/>
                      <w:szCs w:val="18"/>
                    </w:rPr>
                    <w:t>5</w:t>
                  </w:r>
                  <w:r>
                    <w:rPr>
                      <w:sz w:val="18"/>
                      <w:szCs w:val="18"/>
                    </w:rPr>
                    <w:t>（</w:t>
                  </w:r>
                  <w:r>
                    <w:rPr>
                      <w:rFonts w:hint="eastAsia"/>
                      <w:sz w:val="18"/>
                      <w:szCs w:val="18"/>
                    </w:rPr>
                    <w:t>8</w:t>
                  </w:r>
                  <w:r>
                    <w:rPr>
                      <w:sz w:val="18"/>
                      <w:szCs w:val="18"/>
                    </w:rPr>
                    <w:t>）</w:t>
                  </w:r>
                </w:p>
              </w:tc>
              <w:tc>
                <w:tcPr>
                  <w:tcW w:w="1881" w:type="dxa"/>
                  <w:vAlign w:val="center"/>
                </w:tcPr>
                <w:p w14:paraId="79C3637A">
                  <w:pPr>
                    <w:jc w:val="center"/>
                    <w:rPr>
                      <w:rFonts w:hint="default" w:eastAsia="宋体"/>
                      <w:sz w:val="18"/>
                      <w:szCs w:val="18"/>
                      <w:lang w:val="en-US" w:eastAsia="zh-CN"/>
                    </w:rPr>
                  </w:pPr>
                  <w:r>
                    <w:rPr>
                      <w:rFonts w:hint="eastAsia"/>
                      <w:sz w:val="18"/>
                      <w:szCs w:val="18"/>
                      <w:lang w:val="en-US" w:eastAsia="zh-CN"/>
                    </w:rPr>
                    <w:t>45</w:t>
                  </w:r>
                </w:p>
              </w:tc>
            </w:tr>
            <w:tr w14:paraId="5A747F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vAlign w:val="center"/>
                </w:tcPr>
                <w:p w14:paraId="4B7FD193">
                  <w:pPr>
                    <w:jc w:val="center"/>
                    <w:rPr>
                      <w:sz w:val="18"/>
                      <w:szCs w:val="18"/>
                    </w:rPr>
                  </w:pPr>
                  <w:r>
                    <w:rPr>
                      <w:sz w:val="18"/>
                      <w:szCs w:val="18"/>
                    </w:rPr>
                    <w:t>5</w:t>
                  </w:r>
                </w:p>
              </w:tc>
              <w:tc>
                <w:tcPr>
                  <w:tcW w:w="1567" w:type="dxa"/>
                  <w:vAlign w:val="center"/>
                </w:tcPr>
                <w:p w14:paraId="0038F1EA">
                  <w:pPr>
                    <w:jc w:val="center"/>
                    <w:rPr>
                      <w:sz w:val="18"/>
                      <w:szCs w:val="18"/>
                    </w:rPr>
                  </w:pPr>
                  <w:r>
                    <w:rPr>
                      <w:sz w:val="18"/>
                      <w:szCs w:val="18"/>
                    </w:rPr>
                    <w:t>TP</w:t>
                  </w:r>
                </w:p>
              </w:tc>
              <w:tc>
                <w:tcPr>
                  <w:tcW w:w="1885" w:type="dxa"/>
                  <w:vAlign w:val="center"/>
                </w:tcPr>
                <w:p w14:paraId="68E33DF3">
                  <w:pPr>
                    <w:jc w:val="center"/>
                    <w:rPr>
                      <w:rFonts w:hint="eastAsia" w:eastAsia="宋体"/>
                      <w:sz w:val="18"/>
                      <w:szCs w:val="18"/>
                      <w:lang w:eastAsia="zh-CN"/>
                    </w:rPr>
                  </w:pPr>
                  <w:r>
                    <w:rPr>
                      <w:rFonts w:hint="eastAsia"/>
                      <w:sz w:val="18"/>
                      <w:szCs w:val="18"/>
                      <w:lang w:val="en-US" w:eastAsia="zh-CN"/>
                    </w:rPr>
                    <w:t>/</w:t>
                  </w:r>
                </w:p>
              </w:tc>
              <w:tc>
                <w:tcPr>
                  <w:tcW w:w="1881" w:type="dxa"/>
                  <w:vAlign w:val="center"/>
                </w:tcPr>
                <w:p w14:paraId="746E7564">
                  <w:pPr>
                    <w:jc w:val="center"/>
                    <w:rPr>
                      <w:sz w:val="18"/>
                      <w:szCs w:val="18"/>
                    </w:rPr>
                  </w:pPr>
                  <w:r>
                    <w:rPr>
                      <w:sz w:val="18"/>
                      <w:szCs w:val="18"/>
                    </w:rPr>
                    <w:t>0.</w:t>
                  </w:r>
                  <w:r>
                    <w:rPr>
                      <w:rFonts w:hint="eastAsia"/>
                      <w:sz w:val="18"/>
                      <w:szCs w:val="18"/>
                    </w:rPr>
                    <w:t>5</w:t>
                  </w:r>
                </w:p>
              </w:tc>
              <w:tc>
                <w:tcPr>
                  <w:tcW w:w="1881" w:type="dxa"/>
                  <w:vAlign w:val="center"/>
                </w:tcPr>
                <w:p w14:paraId="3FD5B9BB">
                  <w:pPr>
                    <w:jc w:val="center"/>
                    <w:rPr>
                      <w:rFonts w:hint="eastAsia" w:eastAsia="宋体"/>
                      <w:sz w:val="18"/>
                      <w:szCs w:val="18"/>
                      <w:lang w:val="en-US" w:eastAsia="zh-CN"/>
                    </w:rPr>
                  </w:pPr>
                  <w:r>
                    <w:rPr>
                      <w:rFonts w:hint="eastAsia"/>
                      <w:sz w:val="18"/>
                      <w:szCs w:val="18"/>
                      <w:lang w:val="en-US" w:eastAsia="zh-CN"/>
                    </w:rPr>
                    <w:t>8</w:t>
                  </w:r>
                </w:p>
              </w:tc>
            </w:tr>
            <w:tr w14:paraId="38E991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64" w:type="dxa"/>
                  <w:vAlign w:val="center"/>
                </w:tcPr>
                <w:p w14:paraId="6126B288">
                  <w:pPr>
                    <w:jc w:val="center"/>
                    <w:rPr>
                      <w:sz w:val="18"/>
                      <w:szCs w:val="18"/>
                    </w:rPr>
                  </w:pPr>
                  <w:r>
                    <w:rPr>
                      <w:sz w:val="18"/>
                      <w:szCs w:val="18"/>
                    </w:rPr>
                    <w:t>6</w:t>
                  </w:r>
                </w:p>
              </w:tc>
              <w:tc>
                <w:tcPr>
                  <w:tcW w:w="1567" w:type="dxa"/>
                  <w:vAlign w:val="center"/>
                </w:tcPr>
                <w:p w14:paraId="66716E0F">
                  <w:pPr>
                    <w:jc w:val="center"/>
                    <w:rPr>
                      <w:sz w:val="18"/>
                      <w:szCs w:val="18"/>
                    </w:rPr>
                  </w:pPr>
                  <w:r>
                    <w:rPr>
                      <w:sz w:val="18"/>
                      <w:szCs w:val="18"/>
                    </w:rPr>
                    <w:t>TN</w:t>
                  </w:r>
                </w:p>
              </w:tc>
              <w:tc>
                <w:tcPr>
                  <w:tcW w:w="1885" w:type="dxa"/>
                  <w:vAlign w:val="center"/>
                </w:tcPr>
                <w:p w14:paraId="1B175B9C">
                  <w:pPr>
                    <w:jc w:val="center"/>
                    <w:rPr>
                      <w:rFonts w:hint="default" w:eastAsia="宋体"/>
                      <w:sz w:val="18"/>
                      <w:szCs w:val="18"/>
                      <w:lang w:val="en-US" w:eastAsia="zh-CN"/>
                    </w:rPr>
                  </w:pPr>
                  <w:r>
                    <w:rPr>
                      <w:rFonts w:hint="eastAsia"/>
                      <w:sz w:val="18"/>
                      <w:szCs w:val="18"/>
                      <w:lang w:val="en-US" w:eastAsia="zh-CN"/>
                    </w:rPr>
                    <w:t>/</w:t>
                  </w:r>
                </w:p>
              </w:tc>
              <w:tc>
                <w:tcPr>
                  <w:tcW w:w="1881" w:type="dxa"/>
                  <w:vAlign w:val="center"/>
                </w:tcPr>
                <w:p w14:paraId="51A56DDE">
                  <w:pPr>
                    <w:jc w:val="center"/>
                    <w:rPr>
                      <w:rFonts w:hint="eastAsia"/>
                      <w:sz w:val="18"/>
                      <w:szCs w:val="18"/>
                    </w:rPr>
                  </w:pPr>
                  <w:r>
                    <w:rPr>
                      <w:rFonts w:hint="eastAsia"/>
                      <w:sz w:val="18"/>
                      <w:szCs w:val="18"/>
                    </w:rPr>
                    <w:t>15</w:t>
                  </w:r>
                </w:p>
              </w:tc>
              <w:tc>
                <w:tcPr>
                  <w:tcW w:w="1881" w:type="dxa"/>
                  <w:vAlign w:val="center"/>
                </w:tcPr>
                <w:p w14:paraId="0A874BB4">
                  <w:pPr>
                    <w:jc w:val="center"/>
                    <w:rPr>
                      <w:rFonts w:hint="default" w:eastAsia="宋体"/>
                      <w:sz w:val="18"/>
                      <w:szCs w:val="18"/>
                      <w:lang w:val="en-US" w:eastAsia="zh-CN"/>
                    </w:rPr>
                  </w:pPr>
                  <w:r>
                    <w:rPr>
                      <w:rFonts w:hint="eastAsia"/>
                      <w:sz w:val="18"/>
                      <w:szCs w:val="18"/>
                      <w:lang w:val="en-US" w:eastAsia="zh-CN"/>
                    </w:rPr>
                    <w:t>70</w:t>
                  </w:r>
                </w:p>
              </w:tc>
            </w:tr>
          </w:tbl>
          <w:p w14:paraId="525B0FAD">
            <w:pPr>
              <w:spacing w:line="500" w:lineRule="exact"/>
              <w:ind w:firstLine="422" w:firstLineChars="200"/>
              <w:rPr>
                <w:b/>
                <w:bCs/>
                <w:szCs w:val="21"/>
              </w:rPr>
            </w:pPr>
            <w:r>
              <w:rPr>
                <w:b/>
                <w:bCs/>
                <w:szCs w:val="21"/>
              </w:rPr>
              <w:t xml:space="preserve">3、噪声排放标准 </w:t>
            </w:r>
          </w:p>
          <w:p w14:paraId="65732DAA">
            <w:pPr>
              <w:spacing w:line="500" w:lineRule="exact"/>
              <w:ind w:firstLine="420" w:firstLineChars="200"/>
              <w:jc w:val="both"/>
              <w:rPr>
                <w:szCs w:val="21"/>
              </w:rPr>
            </w:pPr>
            <w:r>
              <w:rPr>
                <w:szCs w:val="21"/>
              </w:rPr>
              <w:t>根据《南通市通州区声环境功能区划分调整方案》，本项目位于</w:t>
            </w:r>
            <w:r>
              <w:rPr>
                <w:rFonts w:hint="eastAsia"/>
                <w:szCs w:val="21"/>
                <w:lang w:val="en-US" w:eastAsia="zh-CN"/>
              </w:rPr>
              <w:t>2</w:t>
            </w:r>
            <w:r>
              <w:rPr>
                <w:szCs w:val="21"/>
              </w:rPr>
              <w:t>类区，运营期项目</w:t>
            </w:r>
            <w:r>
              <w:rPr>
                <w:rFonts w:hint="eastAsia"/>
                <w:szCs w:val="21"/>
                <w:lang w:eastAsia="zh-CN"/>
              </w:rPr>
              <w:t>四周</w:t>
            </w:r>
            <w:r>
              <w:rPr>
                <w:rFonts w:hint="eastAsia"/>
                <w:szCs w:val="21"/>
              </w:rPr>
              <w:t>厂界</w:t>
            </w:r>
            <w:r>
              <w:rPr>
                <w:szCs w:val="21"/>
              </w:rPr>
              <w:t>噪声执行《工业企业厂界环境噪声排放标准》（GB12348-2008）中</w:t>
            </w:r>
            <w:r>
              <w:rPr>
                <w:rFonts w:hint="eastAsia"/>
                <w:szCs w:val="21"/>
                <w:lang w:val="en-US" w:eastAsia="zh-CN"/>
              </w:rPr>
              <w:t>2</w:t>
            </w:r>
            <w:r>
              <w:rPr>
                <w:szCs w:val="21"/>
              </w:rPr>
              <w:t>类标准</w:t>
            </w:r>
            <w:r>
              <w:rPr>
                <w:rFonts w:hint="eastAsia"/>
                <w:szCs w:val="21"/>
              </w:rPr>
              <w:t>，</w:t>
            </w:r>
            <w:r>
              <w:rPr>
                <w:rFonts w:hint="eastAsia"/>
                <w:lang w:eastAsia="zh-CN"/>
              </w:rPr>
              <w:t>声环境保护目标</w:t>
            </w:r>
            <w:r>
              <w:rPr>
                <w:rFonts w:hint="eastAsia"/>
                <w:szCs w:val="21"/>
              </w:rPr>
              <w:t>执行《声环境质量标准》（GB3096-2008）2类标准限值，</w:t>
            </w:r>
            <w:r>
              <w:rPr>
                <w:szCs w:val="21"/>
              </w:rPr>
              <w:t>具体标准值见表3-</w:t>
            </w:r>
            <w:r>
              <w:rPr>
                <w:rFonts w:hint="eastAsia"/>
                <w:szCs w:val="21"/>
                <w:lang w:val="en-US" w:eastAsia="zh-CN"/>
              </w:rPr>
              <w:t>8</w:t>
            </w:r>
            <w:r>
              <w:rPr>
                <w:szCs w:val="21"/>
              </w:rPr>
              <w:t>。</w:t>
            </w:r>
          </w:p>
          <w:p w14:paraId="0CDA16C6">
            <w:pPr>
              <w:spacing w:line="500" w:lineRule="exact"/>
              <w:ind w:firstLine="422" w:firstLineChars="200"/>
              <w:jc w:val="center"/>
              <w:rPr>
                <w:b/>
                <w:bCs/>
                <w:szCs w:val="21"/>
              </w:rPr>
            </w:pPr>
            <w:r>
              <w:rPr>
                <w:b/>
                <w:bCs/>
                <w:szCs w:val="21"/>
              </w:rPr>
              <w:t>表3-</w:t>
            </w:r>
            <w:r>
              <w:rPr>
                <w:rFonts w:hint="eastAsia"/>
                <w:b/>
                <w:bCs/>
                <w:szCs w:val="21"/>
                <w:lang w:val="en-US" w:eastAsia="zh-CN"/>
              </w:rPr>
              <w:t>8</w:t>
            </w:r>
            <w:r>
              <w:rPr>
                <w:b/>
                <w:bCs/>
                <w:szCs w:val="21"/>
              </w:rPr>
              <w:t xml:space="preserve"> 工业企业厂界环境噪声排放标准   单位：dB（A）</w:t>
            </w:r>
          </w:p>
          <w:tbl>
            <w:tblPr>
              <w:tblStyle w:val="16"/>
              <w:tblW w:w="803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54"/>
              <w:gridCol w:w="2643"/>
              <w:gridCol w:w="1818"/>
            </w:tblGrid>
            <w:tr w14:paraId="4F9162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23" w:type="dxa"/>
                  <w:vAlign w:val="center"/>
                </w:tcPr>
                <w:p w14:paraId="45A94BFC">
                  <w:pPr>
                    <w:jc w:val="center"/>
                    <w:rPr>
                      <w:sz w:val="18"/>
                      <w:szCs w:val="18"/>
                    </w:rPr>
                  </w:pPr>
                  <w:r>
                    <w:rPr>
                      <w:rFonts w:hint="eastAsia"/>
                      <w:sz w:val="18"/>
                      <w:szCs w:val="18"/>
                    </w:rPr>
                    <w:t>/</w:t>
                  </w:r>
                </w:p>
              </w:tc>
              <w:tc>
                <w:tcPr>
                  <w:tcW w:w="1554" w:type="dxa"/>
                  <w:vAlign w:val="center"/>
                </w:tcPr>
                <w:p w14:paraId="73FC9BFE">
                  <w:pPr>
                    <w:jc w:val="center"/>
                    <w:rPr>
                      <w:sz w:val="18"/>
                      <w:szCs w:val="18"/>
                    </w:rPr>
                  </w:pPr>
                  <w:r>
                    <w:rPr>
                      <w:sz w:val="18"/>
                      <w:szCs w:val="18"/>
                    </w:rPr>
                    <w:t>类别</w:t>
                  </w:r>
                </w:p>
              </w:tc>
              <w:tc>
                <w:tcPr>
                  <w:tcW w:w="2643" w:type="dxa"/>
                  <w:vAlign w:val="center"/>
                </w:tcPr>
                <w:p w14:paraId="6A72538A">
                  <w:pPr>
                    <w:jc w:val="center"/>
                    <w:rPr>
                      <w:sz w:val="18"/>
                      <w:szCs w:val="18"/>
                    </w:rPr>
                  </w:pPr>
                  <w:r>
                    <w:rPr>
                      <w:sz w:val="18"/>
                      <w:szCs w:val="18"/>
                    </w:rPr>
                    <w:t>昼间</w:t>
                  </w:r>
                </w:p>
              </w:tc>
              <w:tc>
                <w:tcPr>
                  <w:tcW w:w="1818" w:type="dxa"/>
                  <w:vAlign w:val="center"/>
                </w:tcPr>
                <w:p w14:paraId="58B4AEE2">
                  <w:pPr>
                    <w:jc w:val="center"/>
                    <w:rPr>
                      <w:sz w:val="18"/>
                      <w:szCs w:val="18"/>
                    </w:rPr>
                  </w:pPr>
                  <w:r>
                    <w:rPr>
                      <w:sz w:val="18"/>
                      <w:szCs w:val="18"/>
                    </w:rPr>
                    <w:t>夜间</w:t>
                  </w:r>
                </w:p>
              </w:tc>
            </w:tr>
            <w:tr w14:paraId="21EAA9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3" w:type="dxa"/>
                  <w:vAlign w:val="center"/>
                </w:tcPr>
                <w:p w14:paraId="542F70AE">
                  <w:pPr>
                    <w:jc w:val="center"/>
                    <w:rPr>
                      <w:sz w:val="18"/>
                      <w:szCs w:val="18"/>
                    </w:rPr>
                  </w:pPr>
                  <w:r>
                    <w:rPr>
                      <w:sz w:val="18"/>
                      <w:szCs w:val="18"/>
                    </w:rPr>
                    <w:t>运营期</w:t>
                  </w:r>
                </w:p>
              </w:tc>
              <w:tc>
                <w:tcPr>
                  <w:tcW w:w="1554" w:type="dxa"/>
                  <w:vAlign w:val="center"/>
                </w:tcPr>
                <w:p w14:paraId="01906C08">
                  <w:pPr>
                    <w:jc w:val="center"/>
                    <w:rPr>
                      <w:sz w:val="18"/>
                      <w:szCs w:val="18"/>
                    </w:rPr>
                  </w:pPr>
                  <w:r>
                    <w:rPr>
                      <w:rFonts w:hint="eastAsia"/>
                      <w:sz w:val="18"/>
                      <w:szCs w:val="18"/>
                      <w:lang w:val="en-US" w:eastAsia="zh-CN"/>
                    </w:rPr>
                    <w:t>2</w:t>
                  </w:r>
                  <w:r>
                    <w:rPr>
                      <w:sz w:val="18"/>
                      <w:szCs w:val="18"/>
                    </w:rPr>
                    <w:t>类</w:t>
                  </w:r>
                </w:p>
              </w:tc>
              <w:tc>
                <w:tcPr>
                  <w:tcW w:w="2643" w:type="dxa"/>
                  <w:vAlign w:val="center"/>
                </w:tcPr>
                <w:p w14:paraId="366D00AF">
                  <w:pPr>
                    <w:jc w:val="center"/>
                    <w:rPr>
                      <w:rFonts w:hint="eastAsia" w:eastAsia="宋体"/>
                      <w:sz w:val="18"/>
                      <w:szCs w:val="18"/>
                      <w:lang w:eastAsia="zh-CN"/>
                    </w:rPr>
                  </w:pPr>
                  <w:r>
                    <w:rPr>
                      <w:sz w:val="18"/>
                      <w:szCs w:val="18"/>
                    </w:rPr>
                    <w:t>6</w:t>
                  </w:r>
                  <w:r>
                    <w:rPr>
                      <w:rFonts w:hint="eastAsia"/>
                      <w:sz w:val="18"/>
                      <w:szCs w:val="18"/>
                      <w:lang w:val="en-US" w:eastAsia="zh-CN"/>
                    </w:rPr>
                    <w:t>0</w:t>
                  </w:r>
                </w:p>
              </w:tc>
              <w:tc>
                <w:tcPr>
                  <w:tcW w:w="1818" w:type="dxa"/>
                  <w:vAlign w:val="center"/>
                </w:tcPr>
                <w:p w14:paraId="68FF3880">
                  <w:pPr>
                    <w:jc w:val="center"/>
                    <w:rPr>
                      <w:rFonts w:hint="default" w:eastAsia="宋体"/>
                      <w:sz w:val="18"/>
                      <w:szCs w:val="18"/>
                      <w:lang w:val="en-US" w:eastAsia="zh-CN"/>
                    </w:rPr>
                  </w:pPr>
                  <w:r>
                    <w:rPr>
                      <w:rFonts w:hint="eastAsia"/>
                      <w:sz w:val="18"/>
                      <w:szCs w:val="18"/>
                      <w:lang w:val="en-US" w:eastAsia="zh-CN"/>
                    </w:rPr>
                    <w:t>50</w:t>
                  </w:r>
                </w:p>
              </w:tc>
            </w:tr>
          </w:tbl>
          <w:p w14:paraId="02CA2C7A">
            <w:pPr>
              <w:spacing w:line="500" w:lineRule="exact"/>
              <w:ind w:firstLine="422" w:firstLineChars="200"/>
              <w:rPr>
                <w:b/>
                <w:bCs/>
                <w:szCs w:val="21"/>
              </w:rPr>
            </w:pPr>
            <w:r>
              <w:rPr>
                <w:b/>
                <w:bCs/>
                <w:szCs w:val="21"/>
              </w:rPr>
              <w:t xml:space="preserve">4、固废贮存 </w:t>
            </w:r>
          </w:p>
          <w:p w14:paraId="3A871580">
            <w:pPr>
              <w:spacing w:line="500" w:lineRule="exact"/>
              <w:ind w:firstLine="420" w:firstLineChars="200"/>
              <w:rPr>
                <w:szCs w:val="21"/>
              </w:rPr>
            </w:pPr>
            <w:r>
              <w:rPr>
                <w:szCs w:val="21"/>
              </w:rPr>
              <w:t>本项目产生的一般工业固体废物贮存执行《一般工业固体废物贮存和填埋污染控制标准》（GB 18599-2020）相关要求；危险废物贮存执行《危险废物贮存污染控制标准》（GB18597-2023）的要求；同时按照《危险废物收集贮存运输技术规范》（HJ2025-2012）中相关规定要求进行危险废物的包装、贮存设施的选址、设计、运行、安全防护、监测和关闭等。</w:t>
            </w:r>
          </w:p>
        </w:tc>
      </w:tr>
      <w:tr w14:paraId="5A3B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2" w:hRule="atLeast"/>
          <w:jc w:val="center"/>
        </w:trPr>
        <w:tc>
          <w:tcPr>
            <w:tcW w:w="794" w:type="dxa"/>
            <w:vAlign w:val="center"/>
          </w:tcPr>
          <w:p w14:paraId="6DA6F655">
            <w:pPr>
              <w:rPr>
                <w:sz w:val="24"/>
              </w:rPr>
            </w:pPr>
          </w:p>
          <w:p w14:paraId="170233AA">
            <w:pPr>
              <w:jc w:val="center"/>
              <w:rPr>
                <w:szCs w:val="21"/>
              </w:rPr>
            </w:pPr>
            <w:r>
              <w:rPr>
                <w:szCs w:val="21"/>
              </w:rPr>
              <w:t>总</w:t>
            </w:r>
          </w:p>
          <w:p w14:paraId="588FA404">
            <w:pPr>
              <w:jc w:val="center"/>
              <w:rPr>
                <w:szCs w:val="21"/>
              </w:rPr>
            </w:pPr>
            <w:r>
              <w:rPr>
                <w:szCs w:val="21"/>
              </w:rPr>
              <w:t>量</w:t>
            </w:r>
          </w:p>
          <w:p w14:paraId="7A4C5DAD">
            <w:pPr>
              <w:jc w:val="center"/>
              <w:rPr>
                <w:szCs w:val="21"/>
              </w:rPr>
            </w:pPr>
            <w:r>
              <w:rPr>
                <w:szCs w:val="21"/>
              </w:rPr>
              <w:t>控</w:t>
            </w:r>
          </w:p>
          <w:p w14:paraId="7791D7FA">
            <w:pPr>
              <w:jc w:val="center"/>
              <w:rPr>
                <w:szCs w:val="21"/>
              </w:rPr>
            </w:pPr>
            <w:r>
              <w:rPr>
                <w:szCs w:val="21"/>
              </w:rPr>
              <w:t>制</w:t>
            </w:r>
          </w:p>
          <w:p w14:paraId="4D32F14A">
            <w:pPr>
              <w:jc w:val="center"/>
              <w:rPr>
                <w:szCs w:val="21"/>
              </w:rPr>
            </w:pPr>
            <w:r>
              <w:rPr>
                <w:szCs w:val="21"/>
              </w:rPr>
              <w:t>指</w:t>
            </w:r>
          </w:p>
          <w:p w14:paraId="3790FDDA">
            <w:pPr>
              <w:jc w:val="center"/>
              <w:rPr>
                <w:sz w:val="24"/>
              </w:rPr>
            </w:pPr>
            <w:r>
              <w:rPr>
                <w:szCs w:val="21"/>
              </w:rPr>
              <w:t>标</w:t>
            </w:r>
          </w:p>
        </w:tc>
        <w:tc>
          <w:tcPr>
            <w:tcW w:w="8280" w:type="dxa"/>
          </w:tcPr>
          <w:p w14:paraId="5AA317C6">
            <w:pPr>
              <w:numPr>
                <w:ilvl w:val="0"/>
                <w:numId w:val="3"/>
              </w:numPr>
              <w:adjustRightInd w:val="0"/>
              <w:snapToGrid w:val="0"/>
              <w:spacing w:line="500" w:lineRule="exact"/>
              <w:ind w:firstLine="422" w:firstLineChars="200"/>
              <w:rPr>
                <w:b/>
                <w:bCs/>
                <w:color w:val="auto"/>
              </w:rPr>
            </w:pPr>
            <w:r>
              <w:rPr>
                <w:b/>
                <w:bCs/>
                <w:color w:val="auto"/>
              </w:rPr>
              <w:t>项目污染物排放情况</w:t>
            </w:r>
          </w:p>
          <w:p w14:paraId="1691CCE3">
            <w:pPr>
              <w:numPr>
                <w:ilvl w:val="0"/>
                <w:numId w:val="0"/>
              </w:numPr>
              <w:adjustRightInd w:val="0"/>
              <w:snapToGrid w:val="0"/>
              <w:spacing w:line="500" w:lineRule="exact"/>
              <w:jc w:val="center"/>
              <w:rPr>
                <w:b/>
                <w:bCs/>
                <w:color w:val="auto"/>
                <w:lang w:val="zh-CN"/>
              </w:rPr>
            </w:pPr>
            <w:r>
              <w:rPr>
                <w:b/>
                <w:bCs/>
                <w:color w:val="auto"/>
                <w:lang w:val="zh-CN"/>
              </w:rPr>
              <w:t>表3-</w:t>
            </w:r>
            <w:r>
              <w:rPr>
                <w:rFonts w:hint="eastAsia"/>
                <w:b/>
                <w:bCs/>
                <w:color w:val="auto"/>
                <w:lang w:val="en-US" w:eastAsia="zh-CN"/>
              </w:rPr>
              <w:t>9</w:t>
            </w:r>
            <w:r>
              <w:rPr>
                <w:b/>
                <w:bCs/>
                <w:color w:val="auto"/>
                <w:lang w:val="zh-CN"/>
              </w:rPr>
              <w:t xml:space="preserve">   项目污染物“三本帐”统计表（t/a）</w:t>
            </w:r>
          </w:p>
          <w:tbl>
            <w:tblPr>
              <w:tblStyle w:val="16"/>
              <w:tblW w:w="7918"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78"/>
              <w:gridCol w:w="1012"/>
              <w:gridCol w:w="1020"/>
              <w:gridCol w:w="1297"/>
              <w:gridCol w:w="1297"/>
              <w:gridCol w:w="1297"/>
              <w:gridCol w:w="1417"/>
            </w:tblGrid>
            <w:tr w14:paraId="2D261C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9" w:hRule="atLeast"/>
                <w:jc w:val="center"/>
              </w:trPr>
              <w:tc>
                <w:tcPr>
                  <w:tcW w:w="578" w:type="dxa"/>
                  <w:vAlign w:val="center"/>
                </w:tcPr>
                <w:p w14:paraId="20A323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zh-CN" w:eastAsia="zh-CN" w:bidi="ar"/>
                    </w:rPr>
                    <w:t>类别</w:t>
                  </w:r>
                </w:p>
              </w:tc>
              <w:tc>
                <w:tcPr>
                  <w:tcW w:w="2032" w:type="dxa"/>
                  <w:gridSpan w:val="2"/>
                  <w:vAlign w:val="center"/>
                </w:tcPr>
                <w:p w14:paraId="6ECE78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zh-CN" w:eastAsia="zh-CN" w:bidi="ar"/>
                    </w:rPr>
                    <w:t>污染物名称</w:t>
                  </w:r>
                </w:p>
              </w:tc>
              <w:tc>
                <w:tcPr>
                  <w:tcW w:w="1297" w:type="dxa"/>
                  <w:vAlign w:val="center"/>
                </w:tcPr>
                <w:p w14:paraId="4AE45A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zh-CN" w:eastAsia="zh-CN" w:bidi="ar"/>
                    </w:rPr>
                  </w:pPr>
                  <w:r>
                    <w:rPr>
                      <w:rFonts w:hint="eastAsia" w:ascii="Times New Roman" w:hAnsi="Times New Roman" w:eastAsia="宋体" w:cs="Times New Roman"/>
                      <w:i w:val="0"/>
                      <w:iCs w:val="0"/>
                      <w:color w:val="000000"/>
                      <w:kern w:val="0"/>
                      <w:sz w:val="18"/>
                      <w:szCs w:val="18"/>
                      <w:u w:val="none"/>
                      <w:lang w:val="zh-CN" w:eastAsia="zh-CN" w:bidi="ar"/>
                    </w:rPr>
                    <w:t>产生量</w:t>
                  </w:r>
                  <w:r>
                    <w:rPr>
                      <w:rFonts w:hint="default" w:ascii="Times New Roman" w:hAnsi="Times New Roman" w:eastAsia="宋体" w:cs="Times New Roman"/>
                      <w:i w:val="0"/>
                      <w:iCs w:val="0"/>
                      <w:color w:val="000000"/>
                      <w:kern w:val="0"/>
                      <w:sz w:val="18"/>
                      <w:szCs w:val="18"/>
                      <w:u w:val="none"/>
                      <w:lang w:val="en-US" w:eastAsia="zh-CN" w:bidi="ar"/>
                    </w:rPr>
                    <w:t>t/a</w:t>
                  </w:r>
                </w:p>
              </w:tc>
              <w:tc>
                <w:tcPr>
                  <w:tcW w:w="1297" w:type="dxa"/>
                  <w:vAlign w:val="center"/>
                </w:tcPr>
                <w:p w14:paraId="2E5A5D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zh-CN" w:eastAsia="zh-CN" w:bidi="ar"/>
                    </w:rPr>
                  </w:pPr>
                  <w:r>
                    <w:rPr>
                      <w:rFonts w:hint="eastAsia" w:ascii="Times New Roman" w:hAnsi="Times New Roman" w:eastAsia="宋体" w:cs="Times New Roman"/>
                      <w:i w:val="0"/>
                      <w:iCs w:val="0"/>
                      <w:color w:val="000000"/>
                      <w:kern w:val="0"/>
                      <w:sz w:val="18"/>
                      <w:szCs w:val="18"/>
                      <w:u w:val="none"/>
                      <w:lang w:val="zh-CN" w:eastAsia="zh-CN" w:bidi="ar"/>
                    </w:rPr>
                    <w:t>削减量</w:t>
                  </w:r>
                  <w:r>
                    <w:rPr>
                      <w:rFonts w:hint="default" w:ascii="Times New Roman" w:hAnsi="Times New Roman" w:eastAsia="宋体" w:cs="Times New Roman"/>
                      <w:i w:val="0"/>
                      <w:iCs w:val="0"/>
                      <w:color w:val="000000"/>
                      <w:kern w:val="0"/>
                      <w:sz w:val="18"/>
                      <w:szCs w:val="18"/>
                      <w:u w:val="none"/>
                      <w:lang w:val="en-US" w:eastAsia="zh-CN" w:bidi="ar"/>
                    </w:rPr>
                    <w:t>t/a</w:t>
                  </w:r>
                </w:p>
              </w:tc>
              <w:tc>
                <w:tcPr>
                  <w:tcW w:w="1297" w:type="dxa"/>
                  <w:vAlign w:val="center"/>
                </w:tcPr>
                <w:p w14:paraId="66ED98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zh-CN" w:eastAsia="zh-CN" w:bidi="ar"/>
                    </w:rPr>
                  </w:pPr>
                  <w:r>
                    <w:rPr>
                      <w:rFonts w:hint="eastAsia" w:ascii="Times New Roman" w:hAnsi="Times New Roman" w:eastAsia="宋体" w:cs="Times New Roman"/>
                      <w:i w:val="0"/>
                      <w:iCs w:val="0"/>
                      <w:color w:val="000000"/>
                      <w:kern w:val="0"/>
                      <w:sz w:val="18"/>
                      <w:szCs w:val="18"/>
                      <w:u w:val="none"/>
                      <w:lang w:val="zh-CN" w:eastAsia="zh-CN" w:bidi="ar"/>
                    </w:rPr>
                    <w:t>排放量</w:t>
                  </w:r>
                  <w:r>
                    <w:rPr>
                      <w:rFonts w:hint="default" w:ascii="Times New Roman" w:hAnsi="Times New Roman" w:eastAsia="宋体" w:cs="Times New Roman"/>
                      <w:i w:val="0"/>
                      <w:iCs w:val="0"/>
                      <w:color w:val="000000"/>
                      <w:kern w:val="0"/>
                      <w:sz w:val="18"/>
                      <w:szCs w:val="18"/>
                      <w:u w:val="none"/>
                      <w:lang w:val="en-US" w:eastAsia="zh-CN" w:bidi="ar"/>
                    </w:rPr>
                    <w:t>t/a</w:t>
                  </w:r>
                </w:p>
              </w:tc>
              <w:tc>
                <w:tcPr>
                  <w:tcW w:w="1417" w:type="dxa"/>
                  <w:vAlign w:val="center"/>
                </w:tcPr>
                <w:p w14:paraId="77533D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zh-CN" w:eastAsia="zh-CN" w:bidi="ar"/>
                    </w:rPr>
                    <w:t>最终排放量</w:t>
                  </w:r>
                  <w:r>
                    <w:rPr>
                      <w:rFonts w:hint="default" w:ascii="Times New Roman" w:hAnsi="Times New Roman" w:eastAsia="宋体" w:cs="Times New Roman"/>
                      <w:i w:val="0"/>
                      <w:iCs w:val="0"/>
                      <w:color w:val="000000"/>
                      <w:kern w:val="0"/>
                      <w:sz w:val="18"/>
                      <w:szCs w:val="18"/>
                      <w:u w:val="none"/>
                      <w:lang w:val="en-US" w:eastAsia="zh-CN" w:bidi="ar"/>
                    </w:rPr>
                    <w:t>t/a</w:t>
                  </w:r>
                </w:p>
              </w:tc>
            </w:tr>
            <w:tr w14:paraId="06D4A72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8" w:type="dxa"/>
                  <w:vMerge w:val="restart"/>
                  <w:vAlign w:val="center"/>
                </w:tcPr>
                <w:p w14:paraId="0C5D90B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废气</w:t>
                  </w:r>
                </w:p>
              </w:tc>
              <w:tc>
                <w:tcPr>
                  <w:tcW w:w="1012" w:type="dxa"/>
                  <w:vMerge w:val="restart"/>
                  <w:vAlign w:val="center"/>
                </w:tcPr>
                <w:p w14:paraId="44AC19C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有组织</w:t>
                  </w:r>
                </w:p>
              </w:tc>
              <w:tc>
                <w:tcPr>
                  <w:tcW w:w="1020" w:type="dxa"/>
                  <w:vAlign w:val="center"/>
                </w:tcPr>
                <w:p w14:paraId="524EA1B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颗粒物</w:t>
                  </w:r>
                </w:p>
              </w:tc>
              <w:tc>
                <w:tcPr>
                  <w:tcW w:w="1297" w:type="dxa"/>
                  <w:vAlign w:val="center"/>
                </w:tcPr>
                <w:p w14:paraId="26CF51F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5.4</w:t>
                  </w:r>
                </w:p>
              </w:tc>
              <w:tc>
                <w:tcPr>
                  <w:tcW w:w="1297" w:type="dxa"/>
                  <w:vAlign w:val="center"/>
                </w:tcPr>
                <w:p w14:paraId="5C1363A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5.346</w:t>
                  </w:r>
                </w:p>
              </w:tc>
              <w:tc>
                <w:tcPr>
                  <w:tcW w:w="1297" w:type="dxa"/>
                  <w:vAlign w:val="center"/>
                </w:tcPr>
                <w:p w14:paraId="5C4443A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0.054</w:t>
                  </w:r>
                </w:p>
              </w:tc>
              <w:tc>
                <w:tcPr>
                  <w:tcW w:w="1417" w:type="dxa"/>
                  <w:vAlign w:val="center"/>
                </w:tcPr>
                <w:p w14:paraId="53C95C0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0.054</w:t>
                  </w:r>
                </w:p>
              </w:tc>
            </w:tr>
            <w:tr w14:paraId="3FC2096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8" w:type="dxa"/>
                  <w:vMerge w:val="continue"/>
                  <w:vAlign w:val="center"/>
                </w:tcPr>
                <w:p w14:paraId="70EBA43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1012" w:type="dxa"/>
                  <w:vMerge w:val="continue"/>
                  <w:vAlign w:val="center"/>
                </w:tcPr>
                <w:p w14:paraId="46CACCE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020" w:type="dxa"/>
                  <w:vAlign w:val="center"/>
                </w:tcPr>
                <w:p w14:paraId="35EED78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NMHC</w:t>
                  </w:r>
                </w:p>
              </w:tc>
              <w:tc>
                <w:tcPr>
                  <w:tcW w:w="1297" w:type="dxa"/>
                  <w:vAlign w:val="center"/>
                </w:tcPr>
                <w:p w14:paraId="6B0E4BD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1.35</w:t>
                  </w:r>
                </w:p>
              </w:tc>
              <w:tc>
                <w:tcPr>
                  <w:tcW w:w="1297" w:type="dxa"/>
                  <w:vAlign w:val="center"/>
                </w:tcPr>
                <w:p w14:paraId="3C3BDA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1.215</w:t>
                  </w:r>
                </w:p>
              </w:tc>
              <w:tc>
                <w:tcPr>
                  <w:tcW w:w="1297" w:type="dxa"/>
                  <w:vAlign w:val="center"/>
                </w:tcPr>
                <w:p w14:paraId="4B796B5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0.135</w:t>
                  </w:r>
                </w:p>
              </w:tc>
              <w:tc>
                <w:tcPr>
                  <w:tcW w:w="1417" w:type="dxa"/>
                  <w:vAlign w:val="center"/>
                </w:tcPr>
                <w:p w14:paraId="735108A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0.135</w:t>
                  </w:r>
                </w:p>
              </w:tc>
            </w:tr>
            <w:tr w14:paraId="3DE6AD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8" w:type="dxa"/>
                  <w:vMerge w:val="continue"/>
                  <w:vAlign w:val="center"/>
                </w:tcPr>
                <w:p w14:paraId="5AE9A7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12" w:type="dxa"/>
                  <w:vMerge w:val="restart"/>
                  <w:vAlign w:val="center"/>
                </w:tcPr>
                <w:p w14:paraId="5909DC2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无组织</w:t>
                  </w:r>
                </w:p>
              </w:tc>
              <w:tc>
                <w:tcPr>
                  <w:tcW w:w="1020" w:type="dxa"/>
                  <w:vAlign w:val="center"/>
                </w:tcPr>
                <w:p w14:paraId="688E56C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颗粒物</w:t>
                  </w:r>
                </w:p>
              </w:tc>
              <w:tc>
                <w:tcPr>
                  <w:tcW w:w="1297" w:type="dxa"/>
                  <w:vAlign w:val="center"/>
                </w:tcPr>
                <w:p w14:paraId="31B426E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0.6</w:t>
                  </w:r>
                </w:p>
              </w:tc>
              <w:tc>
                <w:tcPr>
                  <w:tcW w:w="1297" w:type="dxa"/>
                  <w:vAlign w:val="center"/>
                </w:tcPr>
                <w:p w14:paraId="3DB9BCA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w:t>
                  </w:r>
                </w:p>
              </w:tc>
              <w:tc>
                <w:tcPr>
                  <w:tcW w:w="1297" w:type="dxa"/>
                  <w:vAlign w:val="center"/>
                </w:tcPr>
                <w:p w14:paraId="2CD8CBC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0.6</w:t>
                  </w:r>
                </w:p>
              </w:tc>
              <w:tc>
                <w:tcPr>
                  <w:tcW w:w="1417" w:type="dxa"/>
                  <w:vAlign w:val="center"/>
                </w:tcPr>
                <w:p w14:paraId="34561E4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0.6</w:t>
                  </w:r>
                </w:p>
              </w:tc>
            </w:tr>
            <w:tr w14:paraId="36C985D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8" w:type="dxa"/>
                  <w:vMerge w:val="continue"/>
                  <w:vAlign w:val="center"/>
                </w:tcPr>
                <w:p w14:paraId="118223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12" w:type="dxa"/>
                  <w:vMerge w:val="continue"/>
                  <w:vAlign w:val="center"/>
                </w:tcPr>
                <w:p w14:paraId="533E716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020" w:type="dxa"/>
                  <w:vAlign w:val="center"/>
                </w:tcPr>
                <w:p w14:paraId="266B6D7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NMHC</w:t>
                  </w:r>
                </w:p>
              </w:tc>
              <w:tc>
                <w:tcPr>
                  <w:tcW w:w="1297" w:type="dxa"/>
                  <w:vAlign w:val="center"/>
                </w:tcPr>
                <w:p w14:paraId="4743534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0.15</w:t>
                  </w:r>
                </w:p>
              </w:tc>
              <w:tc>
                <w:tcPr>
                  <w:tcW w:w="1297" w:type="dxa"/>
                  <w:vAlign w:val="center"/>
                </w:tcPr>
                <w:p w14:paraId="3989E88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w:t>
                  </w:r>
                </w:p>
              </w:tc>
              <w:tc>
                <w:tcPr>
                  <w:tcW w:w="1297" w:type="dxa"/>
                  <w:vAlign w:val="center"/>
                </w:tcPr>
                <w:p w14:paraId="7DAC6A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0.15</w:t>
                  </w:r>
                </w:p>
              </w:tc>
              <w:tc>
                <w:tcPr>
                  <w:tcW w:w="1417" w:type="dxa"/>
                  <w:vAlign w:val="center"/>
                </w:tcPr>
                <w:p w14:paraId="0E18366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0.15</w:t>
                  </w:r>
                </w:p>
              </w:tc>
            </w:tr>
            <w:tr w14:paraId="6EA8BC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8" w:type="dxa"/>
                  <w:vMerge w:val="restart"/>
                  <w:vAlign w:val="center"/>
                </w:tcPr>
                <w:p w14:paraId="04EB61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废水</w:t>
                  </w:r>
                </w:p>
              </w:tc>
              <w:tc>
                <w:tcPr>
                  <w:tcW w:w="2032" w:type="dxa"/>
                  <w:gridSpan w:val="2"/>
                  <w:vAlign w:val="center"/>
                </w:tcPr>
                <w:p w14:paraId="21E1AF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废水量</w:t>
                  </w:r>
                </w:p>
              </w:tc>
              <w:tc>
                <w:tcPr>
                  <w:tcW w:w="1297" w:type="dxa"/>
                  <w:vAlign w:val="center"/>
                </w:tcPr>
                <w:p w14:paraId="235E395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340</w:t>
                  </w:r>
                </w:p>
              </w:tc>
              <w:tc>
                <w:tcPr>
                  <w:tcW w:w="1297" w:type="dxa"/>
                  <w:vAlign w:val="center"/>
                </w:tcPr>
                <w:p w14:paraId="71E7A54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w:t>
                  </w:r>
                </w:p>
              </w:tc>
              <w:tc>
                <w:tcPr>
                  <w:tcW w:w="1297" w:type="dxa"/>
                  <w:vAlign w:val="center"/>
                </w:tcPr>
                <w:p w14:paraId="331CDBA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340</w:t>
                  </w:r>
                </w:p>
              </w:tc>
              <w:tc>
                <w:tcPr>
                  <w:tcW w:w="1417" w:type="dxa"/>
                  <w:vAlign w:val="center"/>
                </w:tcPr>
                <w:p w14:paraId="221B94F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340</w:t>
                  </w:r>
                </w:p>
              </w:tc>
            </w:tr>
            <w:tr w14:paraId="7A3A903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8" w:type="dxa"/>
                  <w:vMerge w:val="continue"/>
                  <w:vAlign w:val="center"/>
                </w:tcPr>
                <w:p w14:paraId="0B26E0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32" w:type="dxa"/>
                  <w:gridSpan w:val="2"/>
                  <w:vAlign w:val="center"/>
                </w:tcPr>
                <w:p w14:paraId="468243F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COD</w:t>
                  </w:r>
                </w:p>
              </w:tc>
              <w:tc>
                <w:tcPr>
                  <w:tcW w:w="1297" w:type="dxa"/>
                  <w:vAlign w:val="center"/>
                </w:tcPr>
                <w:p w14:paraId="62434BA8">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0.088</w:t>
                  </w:r>
                </w:p>
              </w:tc>
              <w:tc>
                <w:tcPr>
                  <w:tcW w:w="1297" w:type="dxa"/>
                  <w:vAlign w:val="center"/>
                </w:tcPr>
                <w:p w14:paraId="643C3F1C">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0.012</w:t>
                  </w:r>
                </w:p>
              </w:tc>
              <w:tc>
                <w:tcPr>
                  <w:tcW w:w="1297" w:type="dxa"/>
                  <w:vAlign w:val="center"/>
                </w:tcPr>
                <w:p w14:paraId="1B2B5ACA">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0.076</w:t>
                  </w:r>
                </w:p>
              </w:tc>
              <w:tc>
                <w:tcPr>
                  <w:tcW w:w="1417" w:type="dxa"/>
                  <w:vAlign w:val="center"/>
                </w:tcPr>
                <w:p w14:paraId="0E2A3A57">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0.017</w:t>
                  </w:r>
                </w:p>
              </w:tc>
            </w:tr>
            <w:tr w14:paraId="68AEB2C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578" w:type="dxa"/>
                  <w:vMerge w:val="continue"/>
                  <w:vAlign w:val="center"/>
                </w:tcPr>
                <w:p w14:paraId="2A27C0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32" w:type="dxa"/>
                  <w:gridSpan w:val="2"/>
                  <w:vAlign w:val="center"/>
                </w:tcPr>
                <w:p w14:paraId="268B634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SS</w:t>
                  </w:r>
                </w:p>
              </w:tc>
              <w:tc>
                <w:tcPr>
                  <w:tcW w:w="1297" w:type="dxa"/>
                  <w:vAlign w:val="center"/>
                </w:tcPr>
                <w:p w14:paraId="5F668F08">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0.05</w:t>
                  </w:r>
                </w:p>
              </w:tc>
              <w:tc>
                <w:tcPr>
                  <w:tcW w:w="1297" w:type="dxa"/>
                  <w:vAlign w:val="center"/>
                </w:tcPr>
                <w:p w14:paraId="6C2F9613">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0.013</w:t>
                  </w:r>
                </w:p>
              </w:tc>
              <w:tc>
                <w:tcPr>
                  <w:tcW w:w="1297" w:type="dxa"/>
                  <w:vAlign w:val="center"/>
                </w:tcPr>
                <w:p w14:paraId="3CF2CD2C">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0.037</w:t>
                  </w:r>
                </w:p>
              </w:tc>
              <w:tc>
                <w:tcPr>
                  <w:tcW w:w="1417" w:type="dxa"/>
                  <w:vAlign w:val="center"/>
                </w:tcPr>
                <w:p w14:paraId="42CA9F8F">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0.0034</w:t>
                  </w:r>
                </w:p>
              </w:tc>
            </w:tr>
            <w:tr w14:paraId="127A21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578" w:type="dxa"/>
                  <w:vMerge w:val="continue"/>
                  <w:vAlign w:val="center"/>
                </w:tcPr>
                <w:p w14:paraId="124236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32" w:type="dxa"/>
                  <w:gridSpan w:val="2"/>
                  <w:vAlign w:val="center"/>
                </w:tcPr>
                <w:p w14:paraId="5B28617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NH</w:t>
                  </w:r>
                  <w:r>
                    <w:rPr>
                      <w:rFonts w:hint="eastAsia" w:ascii="Times New Roman" w:hAnsi="Times New Roman" w:eastAsia="宋体" w:cs="Times New Roman"/>
                      <w:i w:val="0"/>
                      <w:iCs w:val="0"/>
                      <w:color w:val="auto"/>
                      <w:kern w:val="0"/>
                      <w:sz w:val="18"/>
                      <w:szCs w:val="18"/>
                      <w:u w:val="none"/>
                      <w:vertAlign w:val="subscript"/>
                      <w:lang w:val="en-US" w:eastAsia="zh-CN" w:bidi="ar"/>
                    </w:rPr>
                    <w:t>3</w:t>
                  </w:r>
                  <w:r>
                    <w:rPr>
                      <w:rFonts w:hint="eastAsia" w:ascii="Times New Roman" w:hAnsi="Times New Roman" w:eastAsia="宋体" w:cs="Times New Roman"/>
                      <w:i w:val="0"/>
                      <w:iCs w:val="0"/>
                      <w:color w:val="auto"/>
                      <w:kern w:val="0"/>
                      <w:sz w:val="18"/>
                      <w:szCs w:val="18"/>
                      <w:u w:val="none"/>
                      <w:lang w:val="en-US" w:eastAsia="zh-CN" w:bidi="ar"/>
                    </w:rPr>
                    <w:t>-N</w:t>
                  </w:r>
                </w:p>
              </w:tc>
              <w:tc>
                <w:tcPr>
                  <w:tcW w:w="1297" w:type="dxa"/>
                  <w:vAlign w:val="center"/>
                </w:tcPr>
                <w:p w14:paraId="11A97E79">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0.006</w:t>
                  </w:r>
                </w:p>
              </w:tc>
              <w:tc>
                <w:tcPr>
                  <w:tcW w:w="1297" w:type="dxa"/>
                  <w:vAlign w:val="center"/>
                </w:tcPr>
                <w:p w14:paraId="216E31ED">
                  <w:pPr>
                    <w:keepNext w:val="0"/>
                    <w:keepLines w:val="0"/>
                    <w:widowControl/>
                    <w:suppressLineNumbers w:val="0"/>
                    <w:jc w:val="center"/>
                    <w:textAlignment w:val="center"/>
                    <w:rPr>
                      <w:rFonts w:hint="eastAsia"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w:t>
                  </w:r>
                </w:p>
              </w:tc>
              <w:tc>
                <w:tcPr>
                  <w:tcW w:w="1297" w:type="dxa"/>
                  <w:vAlign w:val="center"/>
                </w:tcPr>
                <w:p w14:paraId="247F2632">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0.006</w:t>
                  </w:r>
                </w:p>
              </w:tc>
              <w:tc>
                <w:tcPr>
                  <w:tcW w:w="1417" w:type="dxa"/>
                  <w:vAlign w:val="center"/>
                </w:tcPr>
                <w:p w14:paraId="25D4DE6F">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0.0017</w:t>
                  </w:r>
                </w:p>
              </w:tc>
            </w:tr>
            <w:tr w14:paraId="1FFFE97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2" w:hRule="atLeast"/>
                <w:jc w:val="center"/>
              </w:trPr>
              <w:tc>
                <w:tcPr>
                  <w:tcW w:w="578" w:type="dxa"/>
                  <w:vMerge w:val="continue"/>
                  <w:vAlign w:val="center"/>
                </w:tcPr>
                <w:p w14:paraId="4D248B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32" w:type="dxa"/>
                  <w:gridSpan w:val="2"/>
                  <w:vAlign w:val="center"/>
                </w:tcPr>
                <w:p w14:paraId="57D0E22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TP</w:t>
                  </w:r>
                </w:p>
              </w:tc>
              <w:tc>
                <w:tcPr>
                  <w:tcW w:w="1297" w:type="dxa"/>
                  <w:vAlign w:val="center"/>
                </w:tcPr>
                <w:p w14:paraId="68278AE1">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0.0007</w:t>
                  </w:r>
                </w:p>
              </w:tc>
              <w:tc>
                <w:tcPr>
                  <w:tcW w:w="1297" w:type="dxa"/>
                  <w:vAlign w:val="center"/>
                </w:tcPr>
                <w:p w14:paraId="607AD1AC">
                  <w:pPr>
                    <w:keepNext w:val="0"/>
                    <w:keepLines w:val="0"/>
                    <w:widowControl/>
                    <w:suppressLineNumbers w:val="0"/>
                    <w:jc w:val="center"/>
                    <w:textAlignment w:val="center"/>
                    <w:rPr>
                      <w:rFonts w:hint="eastAsia"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w:t>
                  </w:r>
                </w:p>
              </w:tc>
              <w:tc>
                <w:tcPr>
                  <w:tcW w:w="1297" w:type="dxa"/>
                  <w:vAlign w:val="center"/>
                </w:tcPr>
                <w:p w14:paraId="5BC9683A">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0.0007</w:t>
                  </w:r>
                </w:p>
              </w:tc>
              <w:tc>
                <w:tcPr>
                  <w:tcW w:w="1417" w:type="dxa"/>
                  <w:vAlign w:val="center"/>
                </w:tcPr>
                <w:p w14:paraId="6DC759EC">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0.00017</w:t>
                  </w:r>
                </w:p>
              </w:tc>
            </w:tr>
            <w:tr w14:paraId="6840734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55" w:hRule="atLeast"/>
                <w:jc w:val="center"/>
              </w:trPr>
              <w:tc>
                <w:tcPr>
                  <w:tcW w:w="578" w:type="dxa"/>
                  <w:vMerge w:val="continue"/>
                  <w:vAlign w:val="center"/>
                </w:tcPr>
                <w:p w14:paraId="4CBEB6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32" w:type="dxa"/>
                  <w:gridSpan w:val="2"/>
                  <w:vAlign w:val="center"/>
                </w:tcPr>
                <w:p w14:paraId="4C4FBCC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TN</w:t>
                  </w:r>
                </w:p>
              </w:tc>
              <w:tc>
                <w:tcPr>
                  <w:tcW w:w="1297" w:type="dxa"/>
                  <w:vAlign w:val="center"/>
                </w:tcPr>
                <w:p w14:paraId="4A1ACB21">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0.0072</w:t>
                  </w:r>
                </w:p>
              </w:tc>
              <w:tc>
                <w:tcPr>
                  <w:tcW w:w="1297" w:type="dxa"/>
                  <w:vAlign w:val="center"/>
                </w:tcPr>
                <w:p w14:paraId="55681FE7">
                  <w:pPr>
                    <w:keepNext w:val="0"/>
                    <w:keepLines w:val="0"/>
                    <w:widowControl/>
                    <w:suppressLineNumbers w:val="0"/>
                    <w:jc w:val="center"/>
                    <w:textAlignment w:val="center"/>
                    <w:rPr>
                      <w:rFonts w:hint="eastAsia"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w:t>
                  </w:r>
                </w:p>
              </w:tc>
              <w:tc>
                <w:tcPr>
                  <w:tcW w:w="1297" w:type="dxa"/>
                  <w:vAlign w:val="center"/>
                </w:tcPr>
                <w:p w14:paraId="27A46726">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0.0072</w:t>
                  </w:r>
                </w:p>
              </w:tc>
              <w:tc>
                <w:tcPr>
                  <w:tcW w:w="1417" w:type="dxa"/>
                  <w:vAlign w:val="center"/>
                </w:tcPr>
                <w:p w14:paraId="1E9E701E">
                  <w:pPr>
                    <w:keepNext w:val="0"/>
                    <w:keepLines w:val="0"/>
                    <w:widowControl/>
                    <w:suppressLineNumbers w:val="0"/>
                    <w:jc w:val="center"/>
                    <w:textAlignment w:val="center"/>
                    <w:rPr>
                      <w:rFonts w:hint="default" w:eastAsia="宋体" w:cs="Times New Roman"/>
                      <w:i w:val="0"/>
                      <w:iCs w:val="0"/>
                      <w:color w:val="auto"/>
                      <w:kern w:val="0"/>
                      <w:sz w:val="18"/>
                      <w:szCs w:val="18"/>
                      <w:u w:val="none"/>
                      <w:lang w:val="en-US" w:eastAsia="zh-CN" w:bidi="ar"/>
                    </w:rPr>
                  </w:pPr>
                  <w:r>
                    <w:rPr>
                      <w:rFonts w:hint="eastAsia" w:eastAsia="宋体" w:cs="Times New Roman"/>
                      <w:i w:val="0"/>
                      <w:iCs w:val="0"/>
                      <w:color w:val="auto"/>
                      <w:kern w:val="0"/>
                      <w:sz w:val="18"/>
                      <w:szCs w:val="18"/>
                      <w:u w:val="none"/>
                      <w:lang w:val="en-US" w:eastAsia="zh-CN" w:bidi="ar"/>
                    </w:rPr>
                    <w:t>0.0051</w:t>
                  </w:r>
                </w:p>
              </w:tc>
            </w:tr>
            <w:tr w14:paraId="667739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2" w:hRule="atLeast"/>
                <w:jc w:val="center"/>
              </w:trPr>
              <w:tc>
                <w:tcPr>
                  <w:tcW w:w="578" w:type="dxa"/>
                  <w:vMerge w:val="restart"/>
                  <w:vAlign w:val="center"/>
                </w:tcPr>
                <w:p w14:paraId="1C63A8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固废</w:t>
                  </w:r>
                </w:p>
              </w:tc>
              <w:tc>
                <w:tcPr>
                  <w:tcW w:w="2032" w:type="dxa"/>
                  <w:gridSpan w:val="2"/>
                  <w:vAlign w:val="center"/>
                </w:tcPr>
                <w:p w14:paraId="639B503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一般工业固废</w:t>
                  </w:r>
                </w:p>
              </w:tc>
              <w:tc>
                <w:tcPr>
                  <w:tcW w:w="1297" w:type="dxa"/>
                  <w:vAlign w:val="center"/>
                </w:tcPr>
                <w:p w14:paraId="25AD53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17.846</w:t>
                  </w:r>
                </w:p>
              </w:tc>
              <w:tc>
                <w:tcPr>
                  <w:tcW w:w="1297" w:type="dxa"/>
                  <w:vAlign w:val="center"/>
                </w:tcPr>
                <w:p w14:paraId="32DB0B6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17.846</w:t>
                  </w:r>
                </w:p>
              </w:tc>
              <w:tc>
                <w:tcPr>
                  <w:tcW w:w="1297" w:type="dxa"/>
                  <w:vAlign w:val="center"/>
                </w:tcPr>
                <w:p w14:paraId="609A5CC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w:t>
                  </w:r>
                </w:p>
              </w:tc>
              <w:tc>
                <w:tcPr>
                  <w:tcW w:w="1417" w:type="dxa"/>
                  <w:vAlign w:val="center"/>
                </w:tcPr>
                <w:p w14:paraId="4BA9AFE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w:t>
                  </w:r>
                </w:p>
              </w:tc>
            </w:tr>
            <w:tr w14:paraId="6B9DFCE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578" w:type="dxa"/>
                  <w:vMerge w:val="continue"/>
                  <w:vAlign w:val="center"/>
                </w:tcPr>
                <w:p w14:paraId="470092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32" w:type="dxa"/>
                  <w:gridSpan w:val="2"/>
                  <w:vAlign w:val="center"/>
                </w:tcPr>
                <w:p w14:paraId="4BCBDA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危险固废</w:t>
                  </w:r>
                </w:p>
              </w:tc>
              <w:tc>
                <w:tcPr>
                  <w:tcW w:w="1297" w:type="dxa"/>
                  <w:vAlign w:val="center"/>
                </w:tcPr>
                <w:p w14:paraId="7B515A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21.48</w:t>
                  </w:r>
                </w:p>
              </w:tc>
              <w:tc>
                <w:tcPr>
                  <w:tcW w:w="1297" w:type="dxa"/>
                  <w:vAlign w:val="center"/>
                </w:tcPr>
                <w:p w14:paraId="486DBFB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21.48</w:t>
                  </w:r>
                </w:p>
              </w:tc>
              <w:tc>
                <w:tcPr>
                  <w:tcW w:w="1297" w:type="dxa"/>
                  <w:vAlign w:val="center"/>
                </w:tcPr>
                <w:p w14:paraId="2CB2502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w:t>
                  </w:r>
                </w:p>
              </w:tc>
              <w:tc>
                <w:tcPr>
                  <w:tcW w:w="1417" w:type="dxa"/>
                  <w:vAlign w:val="center"/>
                </w:tcPr>
                <w:p w14:paraId="6ABC927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w:t>
                  </w:r>
                </w:p>
              </w:tc>
            </w:tr>
            <w:tr w14:paraId="4823C1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78" w:type="dxa"/>
                  <w:vMerge w:val="continue"/>
                  <w:vAlign w:val="center"/>
                </w:tcPr>
                <w:p w14:paraId="3D84468E">
                  <w:pPr>
                    <w:jc w:val="center"/>
                    <w:rPr>
                      <w:color w:val="auto"/>
                      <w:sz w:val="18"/>
                      <w:szCs w:val="18"/>
                    </w:rPr>
                  </w:pPr>
                </w:p>
              </w:tc>
              <w:tc>
                <w:tcPr>
                  <w:tcW w:w="2032" w:type="dxa"/>
                  <w:gridSpan w:val="2"/>
                  <w:vAlign w:val="center"/>
                </w:tcPr>
                <w:p w14:paraId="60719DC6">
                  <w:pPr>
                    <w:jc w:val="center"/>
                    <w:rPr>
                      <w:color w:val="auto"/>
                      <w:sz w:val="18"/>
                      <w:szCs w:val="18"/>
                    </w:rPr>
                  </w:pPr>
                  <w:r>
                    <w:rPr>
                      <w:rFonts w:hint="eastAsia"/>
                      <w:color w:val="auto"/>
                      <w:sz w:val="18"/>
                      <w:szCs w:val="18"/>
                    </w:rPr>
                    <w:t>生活垃圾</w:t>
                  </w:r>
                </w:p>
              </w:tc>
              <w:tc>
                <w:tcPr>
                  <w:tcW w:w="1297" w:type="dxa"/>
                  <w:vAlign w:val="center"/>
                </w:tcPr>
                <w:p w14:paraId="036CD66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w:t>
                  </w:r>
                </w:p>
              </w:tc>
              <w:tc>
                <w:tcPr>
                  <w:tcW w:w="1297" w:type="dxa"/>
                  <w:vAlign w:val="center"/>
                </w:tcPr>
                <w:p w14:paraId="1CCDDD2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w:t>
                  </w:r>
                </w:p>
              </w:tc>
              <w:tc>
                <w:tcPr>
                  <w:tcW w:w="1297" w:type="dxa"/>
                  <w:vAlign w:val="center"/>
                </w:tcPr>
                <w:p w14:paraId="2C68AC8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w:t>
                  </w:r>
                </w:p>
              </w:tc>
              <w:tc>
                <w:tcPr>
                  <w:tcW w:w="1417" w:type="dxa"/>
                  <w:vAlign w:val="center"/>
                </w:tcPr>
                <w:p w14:paraId="061E7D5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w:t>
                  </w:r>
                </w:p>
              </w:tc>
            </w:tr>
          </w:tbl>
          <w:p w14:paraId="3931FB9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szCs w:val="21"/>
              </w:rPr>
            </w:pPr>
            <w:r>
              <w:rPr>
                <w:rFonts w:hint="eastAsia"/>
                <w:color w:val="auto"/>
                <w:szCs w:val="21"/>
              </w:rPr>
              <w:t>2、总量控制指标</w:t>
            </w:r>
          </w:p>
          <w:p w14:paraId="5F7F212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szCs w:val="21"/>
              </w:rPr>
            </w:pPr>
            <w:r>
              <w:rPr>
                <w:rFonts w:hint="eastAsia"/>
                <w:color w:val="auto"/>
                <w:szCs w:val="21"/>
              </w:rPr>
              <w:t>根据《关于印发〈关于进一步优化建设项目排污总量指标管理提升环评审批效能意见（试行）的通知（通环办）〔2023〕</w:t>
            </w:r>
            <w:r>
              <w:rPr>
                <w:rFonts w:hint="eastAsia"/>
                <w:color w:val="auto"/>
                <w:szCs w:val="21"/>
                <w:lang w:val="en-US" w:eastAsia="zh-CN"/>
              </w:rPr>
              <w:t>132</w:t>
            </w:r>
            <w:r>
              <w:rPr>
                <w:rFonts w:hint="eastAsia"/>
                <w:color w:val="auto"/>
                <w:szCs w:val="21"/>
              </w:rPr>
              <w:t>号》的要求，重点管理或简化管理的排污单位办理《建设项目主要污染物排放总量指标预报单》，作为环评报告必备附件，并在排污许可证申领前，通过交易获得环评批复的新增排污总量指标。总量指标主要污染物种类为化学需氧量、氨氮、总氮、总磷、二氧化硫、氮氧化物、烟粉尘、挥发性有机物、重点重金属九种。结合项目排污特征，确定废水总量控制因子：化学需氧量、氨氮、总氮、总磷；废气总量控制因子：烟粉尘、挥发性有机物。</w:t>
            </w:r>
          </w:p>
          <w:p w14:paraId="3D4E5E8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szCs w:val="21"/>
              </w:rPr>
            </w:pPr>
            <w:r>
              <w:rPr>
                <w:rFonts w:hint="eastAsia"/>
                <w:color w:val="auto"/>
                <w:szCs w:val="21"/>
              </w:rPr>
              <w:t>大气污染物：挥发性有机物（非甲烷总烃）：</w:t>
            </w:r>
            <w:r>
              <w:rPr>
                <w:rFonts w:hint="eastAsia"/>
                <w:color w:val="auto"/>
                <w:szCs w:val="21"/>
                <w:lang w:val="en-US" w:eastAsia="zh-CN"/>
              </w:rPr>
              <w:t>0.135t</w:t>
            </w:r>
            <w:r>
              <w:rPr>
                <w:rFonts w:hint="eastAsia"/>
                <w:color w:val="auto"/>
                <w:szCs w:val="21"/>
              </w:rPr>
              <w:t>/a（有组织）、</w:t>
            </w:r>
            <w:r>
              <w:rPr>
                <w:rFonts w:hint="eastAsia"/>
                <w:color w:val="auto"/>
                <w:szCs w:val="21"/>
                <w:lang w:val="en-US" w:eastAsia="zh-CN"/>
              </w:rPr>
              <w:t>0.15t/a</w:t>
            </w:r>
            <w:r>
              <w:rPr>
                <w:rFonts w:hint="eastAsia"/>
                <w:color w:val="auto"/>
                <w:szCs w:val="21"/>
              </w:rPr>
              <w:t>（无组织）</w:t>
            </w:r>
            <w:r>
              <w:rPr>
                <w:rFonts w:hint="eastAsia"/>
                <w:color w:val="auto"/>
                <w:szCs w:val="21"/>
                <w:lang w:eastAsia="zh-CN"/>
              </w:rPr>
              <w:t>；颗粒物：</w:t>
            </w:r>
            <w:r>
              <w:rPr>
                <w:rFonts w:hint="eastAsia"/>
                <w:color w:val="auto"/>
                <w:szCs w:val="21"/>
                <w:lang w:val="en-US" w:eastAsia="zh-CN"/>
              </w:rPr>
              <w:t>0.054t/a（有组织）、0.6t/a</w:t>
            </w:r>
            <w:r>
              <w:rPr>
                <w:rFonts w:hint="eastAsia"/>
                <w:color w:val="auto"/>
                <w:szCs w:val="21"/>
              </w:rPr>
              <w:t>（无组织）。</w:t>
            </w:r>
          </w:p>
          <w:p w14:paraId="6847ABD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szCs w:val="21"/>
              </w:rPr>
            </w:pPr>
            <w:r>
              <w:rPr>
                <w:rFonts w:hint="eastAsia"/>
                <w:color w:val="auto"/>
                <w:szCs w:val="21"/>
              </w:rPr>
              <w:t>水污染物：项目废水排放量为</w:t>
            </w:r>
            <w:r>
              <w:rPr>
                <w:rFonts w:hint="eastAsia"/>
                <w:color w:val="auto"/>
                <w:szCs w:val="21"/>
                <w:lang w:val="en-US" w:eastAsia="zh-CN"/>
              </w:rPr>
              <w:t>340</w:t>
            </w:r>
            <w:r>
              <w:rPr>
                <w:rFonts w:hint="eastAsia"/>
                <w:color w:val="auto"/>
                <w:szCs w:val="21"/>
              </w:rPr>
              <w:t>t/a，污染物排放量：化学需氧量：</w:t>
            </w:r>
            <w:r>
              <w:rPr>
                <w:rFonts w:hint="eastAsia"/>
                <w:color w:val="auto"/>
                <w:szCs w:val="21"/>
                <w:lang w:val="en-US" w:eastAsia="zh-CN"/>
              </w:rPr>
              <w:t>0.076</w:t>
            </w:r>
            <w:r>
              <w:rPr>
                <w:rFonts w:hint="eastAsia"/>
                <w:color w:val="auto"/>
                <w:szCs w:val="21"/>
              </w:rPr>
              <w:t>t/a、氨氮：</w:t>
            </w:r>
            <w:r>
              <w:rPr>
                <w:rFonts w:hint="eastAsia"/>
                <w:color w:val="auto"/>
                <w:szCs w:val="21"/>
                <w:lang w:val="en-US" w:eastAsia="zh-CN"/>
              </w:rPr>
              <w:t>0.006</w:t>
            </w:r>
            <w:r>
              <w:rPr>
                <w:rFonts w:hint="eastAsia"/>
                <w:color w:val="auto"/>
                <w:szCs w:val="21"/>
              </w:rPr>
              <w:t>t/a、总磷：</w:t>
            </w:r>
            <w:r>
              <w:rPr>
                <w:rFonts w:hint="eastAsia"/>
                <w:color w:val="auto"/>
                <w:szCs w:val="21"/>
                <w:lang w:val="en-US" w:eastAsia="zh-CN"/>
              </w:rPr>
              <w:t>0.007</w:t>
            </w:r>
            <w:r>
              <w:rPr>
                <w:rFonts w:hint="eastAsia"/>
                <w:color w:val="auto"/>
                <w:szCs w:val="21"/>
              </w:rPr>
              <w:t>t/a、总氮：</w:t>
            </w:r>
            <w:r>
              <w:rPr>
                <w:rFonts w:hint="eastAsia"/>
                <w:color w:val="auto"/>
                <w:szCs w:val="21"/>
                <w:lang w:val="en-US" w:eastAsia="zh-CN"/>
              </w:rPr>
              <w:t>0.0072</w:t>
            </w:r>
            <w:r>
              <w:rPr>
                <w:rFonts w:hint="eastAsia"/>
                <w:color w:val="auto"/>
                <w:szCs w:val="21"/>
              </w:rPr>
              <w:t>t/a。</w:t>
            </w:r>
          </w:p>
          <w:p w14:paraId="7F810E3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szCs w:val="21"/>
              </w:rPr>
            </w:pPr>
            <w:r>
              <w:rPr>
                <w:rFonts w:hint="eastAsia"/>
                <w:color w:val="auto"/>
                <w:szCs w:val="21"/>
                <w:lang w:eastAsia="zh-CN"/>
              </w:rPr>
              <w:t>南通市东港排水有限公司</w:t>
            </w:r>
            <w:r>
              <w:rPr>
                <w:rFonts w:hint="eastAsia"/>
                <w:color w:val="auto"/>
                <w:szCs w:val="21"/>
              </w:rPr>
              <w:t>对污水进行深度处理后，污染物最终排入环境量：化学需氧量：</w:t>
            </w:r>
            <w:r>
              <w:rPr>
                <w:rFonts w:hint="eastAsia"/>
                <w:color w:val="auto"/>
                <w:szCs w:val="21"/>
                <w:lang w:val="en-US" w:eastAsia="zh-CN"/>
              </w:rPr>
              <w:t>0.017</w:t>
            </w:r>
            <w:r>
              <w:rPr>
                <w:rFonts w:hint="eastAsia"/>
                <w:color w:val="auto"/>
                <w:szCs w:val="21"/>
              </w:rPr>
              <w:t>t/a、氨氮：</w:t>
            </w:r>
            <w:r>
              <w:rPr>
                <w:rFonts w:hint="eastAsia"/>
                <w:color w:val="auto"/>
                <w:szCs w:val="21"/>
                <w:lang w:val="en-US" w:eastAsia="zh-CN"/>
              </w:rPr>
              <w:t>0.0017</w:t>
            </w:r>
            <w:r>
              <w:rPr>
                <w:rFonts w:hint="eastAsia"/>
                <w:color w:val="auto"/>
                <w:szCs w:val="21"/>
              </w:rPr>
              <w:t>t/a、总磷：</w:t>
            </w:r>
            <w:r>
              <w:rPr>
                <w:rFonts w:hint="eastAsia"/>
                <w:color w:val="auto"/>
                <w:szCs w:val="21"/>
                <w:lang w:val="en-US" w:eastAsia="zh-CN"/>
              </w:rPr>
              <w:t>0.00017</w:t>
            </w:r>
            <w:r>
              <w:rPr>
                <w:rFonts w:hint="eastAsia"/>
                <w:color w:val="auto"/>
                <w:szCs w:val="21"/>
              </w:rPr>
              <w:t>t/a、总氮：</w:t>
            </w:r>
            <w:r>
              <w:rPr>
                <w:rFonts w:hint="eastAsia"/>
                <w:color w:val="auto"/>
                <w:szCs w:val="21"/>
                <w:lang w:val="en-US" w:eastAsia="zh-CN"/>
              </w:rPr>
              <w:t>0.0051</w:t>
            </w:r>
            <w:r>
              <w:rPr>
                <w:rFonts w:hint="eastAsia"/>
                <w:color w:val="auto"/>
                <w:szCs w:val="21"/>
              </w:rPr>
              <w:t>t/a。</w:t>
            </w:r>
          </w:p>
          <w:p w14:paraId="589350D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szCs w:val="21"/>
              </w:rPr>
            </w:pPr>
            <w:r>
              <w:rPr>
                <w:rFonts w:hint="eastAsia"/>
                <w:color w:val="auto"/>
                <w:szCs w:val="21"/>
              </w:rPr>
              <w:t>3）固体废物：“零”排放，无需申请总量。</w:t>
            </w:r>
          </w:p>
          <w:p w14:paraId="71A0270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szCs w:val="21"/>
              </w:rPr>
            </w:pPr>
            <w:r>
              <w:rPr>
                <w:rFonts w:hint="eastAsia"/>
                <w:color w:val="auto"/>
                <w:szCs w:val="21"/>
              </w:rPr>
              <w:t>3、排污权交易</w:t>
            </w:r>
          </w:p>
          <w:p w14:paraId="775C9E8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szCs w:val="21"/>
              </w:rPr>
            </w:pPr>
            <w:r>
              <w:rPr>
                <w:rFonts w:hint="eastAsia"/>
                <w:color w:val="auto"/>
                <w:szCs w:val="21"/>
              </w:rPr>
              <w:t>根据《固定源排污许可分类管理名录》（2019 版），项目属于</w:t>
            </w:r>
            <w:r>
              <w:rPr>
                <w:rFonts w:hint="eastAsia"/>
                <w:szCs w:val="21"/>
              </w:rPr>
              <w:t xml:space="preserve">“二十四、橡胶和塑料制品业29”中“塑料制品业292 </w:t>
            </w:r>
            <w:r>
              <w:rPr>
                <w:rFonts w:hint="eastAsia"/>
                <w:szCs w:val="21"/>
                <w:lang w:eastAsia="zh-CN"/>
              </w:rPr>
              <w:t>其他</w:t>
            </w:r>
            <w:r>
              <w:rPr>
                <w:rFonts w:hint="eastAsia"/>
                <w:szCs w:val="21"/>
              </w:rPr>
              <w:t>”实施</w:t>
            </w:r>
            <w:r>
              <w:rPr>
                <w:rFonts w:hint="eastAsia"/>
                <w:szCs w:val="21"/>
                <w:lang w:eastAsia="zh-CN"/>
              </w:rPr>
              <w:t>登记</w:t>
            </w:r>
            <w:r>
              <w:rPr>
                <w:rFonts w:hint="eastAsia"/>
                <w:szCs w:val="21"/>
              </w:rPr>
              <w:t>管理。根据《排污许可证申请与核发技术规范 总则》（HJ942-2018）等文件对污染物总量控制要求，项目</w:t>
            </w:r>
            <w:r>
              <w:rPr>
                <w:rFonts w:hint="eastAsia"/>
                <w:szCs w:val="21"/>
                <w:lang w:eastAsia="zh-CN"/>
              </w:rPr>
              <w:t>需</w:t>
            </w:r>
            <w:r>
              <w:rPr>
                <w:rFonts w:hint="eastAsia"/>
                <w:szCs w:val="21"/>
              </w:rPr>
              <w:t>许可排放浓度</w:t>
            </w:r>
            <w:r>
              <w:rPr>
                <w:rFonts w:hint="eastAsia"/>
                <w:szCs w:val="21"/>
                <w:lang w:eastAsia="zh-CN"/>
              </w:rPr>
              <w:t>以及</w:t>
            </w:r>
            <w:r>
              <w:rPr>
                <w:rFonts w:hint="eastAsia"/>
                <w:szCs w:val="21"/>
              </w:rPr>
              <w:t>许可排放总量，</w:t>
            </w:r>
            <w:r>
              <w:rPr>
                <w:rFonts w:hint="eastAsia"/>
                <w:szCs w:val="21"/>
                <w:lang w:eastAsia="zh-CN"/>
              </w:rPr>
              <w:t>需进行</w:t>
            </w:r>
            <w:r>
              <w:rPr>
                <w:rFonts w:hint="eastAsia"/>
                <w:szCs w:val="21"/>
              </w:rPr>
              <w:t>排污权交易。</w:t>
            </w:r>
          </w:p>
          <w:p w14:paraId="51FF8ED9">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pPr>
          </w:p>
        </w:tc>
      </w:tr>
    </w:tbl>
    <w:p w14:paraId="5CC3D059">
      <w:pPr>
        <w:spacing w:before="156" w:beforeLines="50" w:after="156" w:afterLines="50"/>
        <w:jc w:val="center"/>
        <w:outlineLvl w:val="0"/>
        <w:rPr>
          <w:rFonts w:eastAsia="黑体"/>
          <w:sz w:val="30"/>
          <w:szCs w:val="30"/>
        </w:rPr>
      </w:pPr>
      <w:r>
        <w:rPr>
          <w:rFonts w:eastAsia="黑体"/>
          <w:sz w:val="30"/>
          <w:szCs w:val="30"/>
        </w:rPr>
        <w:t>四、主要环境影响和保护措施</w:t>
      </w: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8175"/>
      </w:tblGrid>
      <w:tr w14:paraId="37EF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0" w:hRule="atLeast"/>
          <w:jc w:val="center"/>
        </w:trPr>
        <w:tc>
          <w:tcPr>
            <w:tcW w:w="885" w:type="dxa"/>
          </w:tcPr>
          <w:p w14:paraId="64A2BB06">
            <w:pPr>
              <w:widowControl/>
              <w:jc w:val="center"/>
              <w:rPr>
                <w:color w:val="000000"/>
                <w:kern w:val="0"/>
                <w:sz w:val="24"/>
                <w:lang w:bidi="ar"/>
              </w:rPr>
            </w:pPr>
          </w:p>
          <w:p w14:paraId="1DCEA060">
            <w:pPr>
              <w:widowControl/>
              <w:jc w:val="center"/>
              <w:rPr>
                <w:color w:val="000000"/>
                <w:kern w:val="0"/>
                <w:sz w:val="24"/>
                <w:lang w:bidi="ar"/>
              </w:rPr>
            </w:pPr>
          </w:p>
          <w:p w14:paraId="7CF1CE37">
            <w:pPr>
              <w:widowControl/>
              <w:jc w:val="center"/>
              <w:rPr>
                <w:color w:val="000000"/>
                <w:kern w:val="0"/>
                <w:sz w:val="24"/>
                <w:lang w:bidi="ar"/>
              </w:rPr>
            </w:pPr>
          </w:p>
          <w:p w14:paraId="7E994513">
            <w:pPr>
              <w:widowControl/>
              <w:jc w:val="center"/>
              <w:rPr>
                <w:color w:val="000000"/>
                <w:kern w:val="0"/>
                <w:sz w:val="24"/>
                <w:lang w:bidi="ar"/>
              </w:rPr>
            </w:pPr>
          </w:p>
          <w:p w14:paraId="56E6145C">
            <w:pPr>
              <w:widowControl/>
              <w:jc w:val="center"/>
              <w:rPr>
                <w:color w:val="000000"/>
                <w:kern w:val="0"/>
                <w:sz w:val="24"/>
                <w:lang w:bidi="ar"/>
              </w:rPr>
            </w:pPr>
          </w:p>
          <w:p w14:paraId="1CDA94C7">
            <w:pPr>
              <w:widowControl/>
              <w:jc w:val="center"/>
              <w:rPr>
                <w:color w:val="000000"/>
                <w:kern w:val="0"/>
                <w:sz w:val="24"/>
                <w:lang w:bidi="ar"/>
              </w:rPr>
            </w:pPr>
          </w:p>
          <w:p w14:paraId="546EC5C0">
            <w:pPr>
              <w:widowControl/>
              <w:jc w:val="center"/>
              <w:rPr>
                <w:color w:val="000000"/>
                <w:kern w:val="0"/>
                <w:sz w:val="24"/>
                <w:lang w:bidi="ar"/>
              </w:rPr>
            </w:pPr>
          </w:p>
          <w:p w14:paraId="3CD5101A">
            <w:pPr>
              <w:widowControl/>
              <w:jc w:val="center"/>
              <w:rPr>
                <w:color w:val="000000"/>
                <w:kern w:val="0"/>
                <w:sz w:val="24"/>
                <w:lang w:bidi="ar"/>
              </w:rPr>
            </w:pPr>
          </w:p>
          <w:p w14:paraId="26162C21">
            <w:pPr>
              <w:widowControl/>
              <w:jc w:val="center"/>
              <w:rPr>
                <w:color w:val="000000"/>
                <w:kern w:val="0"/>
                <w:sz w:val="24"/>
                <w:lang w:bidi="ar"/>
              </w:rPr>
            </w:pPr>
          </w:p>
          <w:p w14:paraId="25ED10B3">
            <w:pPr>
              <w:widowControl/>
              <w:jc w:val="center"/>
              <w:rPr>
                <w:color w:val="000000"/>
                <w:kern w:val="0"/>
                <w:sz w:val="24"/>
                <w:lang w:bidi="ar"/>
              </w:rPr>
            </w:pPr>
          </w:p>
          <w:p w14:paraId="24F40EDA">
            <w:pPr>
              <w:widowControl/>
              <w:jc w:val="center"/>
              <w:rPr>
                <w:color w:val="000000"/>
                <w:kern w:val="0"/>
                <w:sz w:val="24"/>
                <w:lang w:bidi="ar"/>
              </w:rPr>
            </w:pPr>
          </w:p>
          <w:p w14:paraId="586FFB98">
            <w:pPr>
              <w:widowControl/>
              <w:jc w:val="center"/>
              <w:rPr>
                <w:color w:val="000000"/>
                <w:kern w:val="0"/>
                <w:sz w:val="24"/>
                <w:lang w:bidi="ar"/>
              </w:rPr>
            </w:pPr>
          </w:p>
          <w:p w14:paraId="2BC69DBB">
            <w:pPr>
              <w:widowControl/>
              <w:jc w:val="center"/>
              <w:rPr>
                <w:color w:val="000000"/>
                <w:kern w:val="0"/>
                <w:sz w:val="24"/>
                <w:lang w:bidi="ar"/>
              </w:rPr>
            </w:pPr>
          </w:p>
          <w:p w14:paraId="483C535D">
            <w:pPr>
              <w:widowControl/>
              <w:rPr>
                <w:color w:val="000000"/>
                <w:kern w:val="0"/>
                <w:sz w:val="24"/>
                <w:lang w:bidi="ar"/>
              </w:rPr>
            </w:pPr>
          </w:p>
          <w:p w14:paraId="71ED2A75">
            <w:pPr>
              <w:widowControl/>
              <w:jc w:val="center"/>
              <w:rPr>
                <w:color w:val="000000"/>
                <w:kern w:val="0"/>
                <w:sz w:val="24"/>
                <w:lang w:bidi="ar"/>
              </w:rPr>
            </w:pPr>
          </w:p>
          <w:p w14:paraId="4E404388">
            <w:pPr>
              <w:widowControl/>
              <w:jc w:val="center"/>
              <w:rPr>
                <w:szCs w:val="21"/>
              </w:rPr>
            </w:pPr>
            <w:r>
              <w:rPr>
                <w:color w:val="000000"/>
                <w:kern w:val="0"/>
                <w:szCs w:val="21"/>
                <w:lang w:bidi="ar"/>
              </w:rPr>
              <w:t>施</w:t>
            </w:r>
          </w:p>
          <w:p w14:paraId="291CED89">
            <w:pPr>
              <w:widowControl/>
              <w:jc w:val="center"/>
              <w:rPr>
                <w:szCs w:val="21"/>
              </w:rPr>
            </w:pPr>
            <w:r>
              <w:rPr>
                <w:color w:val="000000"/>
                <w:kern w:val="0"/>
                <w:szCs w:val="21"/>
                <w:lang w:bidi="ar"/>
              </w:rPr>
              <w:t>工</w:t>
            </w:r>
          </w:p>
          <w:p w14:paraId="121079DB">
            <w:pPr>
              <w:widowControl/>
              <w:jc w:val="center"/>
              <w:rPr>
                <w:szCs w:val="21"/>
              </w:rPr>
            </w:pPr>
            <w:r>
              <w:rPr>
                <w:color w:val="000000"/>
                <w:kern w:val="0"/>
                <w:szCs w:val="21"/>
                <w:lang w:bidi="ar"/>
              </w:rPr>
              <w:t>期</w:t>
            </w:r>
          </w:p>
          <w:p w14:paraId="3B48FB30">
            <w:pPr>
              <w:widowControl/>
              <w:jc w:val="center"/>
              <w:rPr>
                <w:szCs w:val="21"/>
              </w:rPr>
            </w:pPr>
            <w:r>
              <w:rPr>
                <w:color w:val="000000"/>
                <w:kern w:val="0"/>
                <w:szCs w:val="21"/>
                <w:lang w:bidi="ar"/>
              </w:rPr>
              <w:t>环</w:t>
            </w:r>
          </w:p>
          <w:p w14:paraId="4277A47D">
            <w:pPr>
              <w:widowControl/>
              <w:jc w:val="center"/>
              <w:rPr>
                <w:szCs w:val="21"/>
              </w:rPr>
            </w:pPr>
            <w:r>
              <w:rPr>
                <w:color w:val="000000"/>
                <w:kern w:val="0"/>
                <w:szCs w:val="21"/>
                <w:lang w:bidi="ar"/>
              </w:rPr>
              <w:t>境</w:t>
            </w:r>
          </w:p>
          <w:p w14:paraId="5ACB3886">
            <w:pPr>
              <w:widowControl/>
              <w:jc w:val="center"/>
              <w:rPr>
                <w:szCs w:val="21"/>
              </w:rPr>
            </w:pPr>
            <w:r>
              <w:rPr>
                <w:color w:val="000000"/>
                <w:kern w:val="0"/>
                <w:szCs w:val="21"/>
                <w:lang w:bidi="ar"/>
              </w:rPr>
              <w:t>保</w:t>
            </w:r>
          </w:p>
          <w:p w14:paraId="61A4E012">
            <w:pPr>
              <w:widowControl/>
              <w:jc w:val="center"/>
              <w:rPr>
                <w:szCs w:val="21"/>
              </w:rPr>
            </w:pPr>
            <w:r>
              <w:rPr>
                <w:color w:val="000000"/>
                <w:kern w:val="0"/>
                <w:szCs w:val="21"/>
                <w:lang w:bidi="ar"/>
              </w:rPr>
              <w:t>护</w:t>
            </w:r>
          </w:p>
          <w:p w14:paraId="322B5E7C">
            <w:pPr>
              <w:widowControl/>
              <w:jc w:val="center"/>
              <w:rPr>
                <w:szCs w:val="21"/>
              </w:rPr>
            </w:pPr>
            <w:r>
              <w:rPr>
                <w:color w:val="000000"/>
                <w:kern w:val="0"/>
                <w:szCs w:val="21"/>
                <w:lang w:bidi="ar"/>
              </w:rPr>
              <w:t>措</w:t>
            </w:r>
          </w:p>
          <w:p w14:paraId="2569ED87">
            <w:pPr>
              <w:widowControl/>
              <w:jc w:val="center"/>
              <w:rPr>
                <w:szCs w:val="21"/>
              </w:rPr>
            </w:pPr>
            <w:r>
              <w:rPr>
                <w:color w:val="000000"/>
                <w:kern w:val="0"/>
                <w:szCs w:val="21"/>
                <w:lang w:bidi="ar"/>
              </w:rPr>
              <w:t>施</w:t>
            </w:r>
          </w:p>
          <w:p w14:paraId="49181635">
            <w:pPr>
              <w:pStyle w:val="2"/>
              <w:rPr>
                <w:rFonts w:ascii="Times New Roman" w:hAnsi="Times New Roman"/>
              </w:rPr>
            </w:pPr>
          </w:p>
        </w:tc>
        <w:tc>
          <w:tcPr>
            <w:tcW w:w="8175" w:type="dxa"/>
          </w:tcPr>
          <w:p w14:paraId="656B1F70">
            <w:pPr>
              <w:spacing w:line="500" w:lineRule="exact"/>
              <w:ind w:firstLine="420" w:firstLineChars="200"/>
              <w:rPr>
                <w:rFonts w:hint="eastAsia" w:eastAsia="宋体"/>
                <w:lang w:eastAsia="zh-CN"/>
              </w:rPr>
            </w:pPr>
            <w:r>
              <w:rPr>
                <w:rFonts w:hint="eastAsia"/>
                <w:bCs/>
                <w:szCs w:val="21"/>
                <w:lang w:eastAsia="zh-CN"/>
              </w:rPr>
              <w:t>本项目租用现有厂房，施工期主要为设备安装、调试，不涉及土建，对周围环境的影响较小。</w:t>
            </w:r>
          </w:p>
          <w:p w14:paraId="57CF4A21">
            <w:pPr>
              <w:spacing w:line="500" w:lineRule="exact"/>
              <w:ind w:firstLine="420" w:firstLineChars="200"/>
            </w:pPr>
          </w:p>
          <w:p w14:paraId="51F4A160">
            <w:pPr>
              <w:spacing w:line="500" w:lineRule="exact"/>
              <w:ind w:firstLine="420" w:firstLineChars="200"/>
            </w:pPr>
          </w:p>
          <w:p w14:paraId="67849430">
            <w:pPr>
              <w:spacing w:line="500" w:lineRule="exact"/>
              <w:ind w:firstLine="420" w:firstLineChars="200"/>
            </w:pPr>
          </w:p>
          <w:p w14:paraId="295C9D55">
            <w:pPr>
              <w:spacing w:line="500" w:lineRule="exact"/>
              <w:ind w:firstLine="420" w:firstLineChars="200"/>
            </w:pPr>
          </w:p>
          <w:p w14:paraId="1CB224E7">
            <w:pPr>
              <w:spacing w:line="500" w:lineRule="exact"/>
            </w:pPr>
          </w:p>
          <w:p w14:paraId="00CAE7B6">
            <w:pPr>
              <w:spacing w:line="500" w:lineRule="exact"/>
            </w:pPr>
          </w:p>
        </w:tc>
      </w:tr>
    </w:tbl>
    <w:p w14:paraId="247E5587">
      <w:pPr>
        <w:pStyle w:val="2"/>
        <w:rPr>
          <w:rFonts w:ascii="Times New Roman" w:hAnsi="Times New Roman"/>
        </w:rPr>
        <w:sectPr>
          <w:footerReference r:id="rId4" w:type="default"/>
          <w:pgSz w:w="11906" w:h="16838"/>
          <w:pgMar w:top="1587" w:right="1531" w:bottom="1587" w:left="1531" w:header="851" w:footer="992" w:gutter="0"/>
          <w:pgBorders>
            <w:top w:val="none" w:sz="0" w:space="0"/>
            <w:left w:val="none" w:sz="0" w:space="0"/>
            <w:bottom w:val="none" w:sz="0" w:space="0"/>
            <w:right w:val="none" w:sz="0" w:space="0"/>
          </w:pgBorders>
          <w:pgNumType w:start="1"/>
          <w:cols w:space="425" w:num="1"/>
          <w:docGrid w:type="lines" w:linePitch="312" w:charSpace="0"/>
        </w:sectPr>
      </w:pPr>
    </w:p>
    <w:tbl>
      <w:tblPr>
        <w:tblStyle w:val="16"/>
        <w:tblW w:w="139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160"/>
      </w:tblGrid>
      <w:tr w14:paraId="7A3E3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746" w:type="dxa"/>
            <w:tcMar>
              <w:left w:w="28" w:type="dxa"/>
              <w:right w:w="28" w:type="dxa"/>
            </w:tcMar>
            <w:vAlign w:val="center"/>
          </w:tcPr>
          <w:p w14:paraId="03EAB2B4">
            <w:pPr>
              <w:adjustRightInd w:val="0"/>
              <w:snapToGrid w:val="0"/>
              <w:jc w:val="center"/>
              <w:rPr>
                <w:rFonts w:ascii="宋体" w:hAnsi="宋体" w:cs="宋体"/>
                <w:bCs/>
                <w:szCs w:val="21"/>
              </w:rPr>
            </w:pPr>
            <w:r>
              <w:rPr>
                <w:rFonts w:hint="eastAsia" w:ascii="宋体" w:hAnsi="宋体" w:cs="宋体"/>
                <w:bCs/>
                <w:szCs w:val="21"/>
              </w:rPr>
              <w:t>运营</w:t>
            </w:r>
          </w:p>
          <w:p w14:paraId="3C285CB1">
            <w:pPr>
              <w:adjustRightInd w:val="0"/>
              <w:snapToGrid w:val="0"/>
              <w:jc w:val="center"/>
              <w:rPr>
                <w:rFonts w:ascii="宋体" w:hAnsi="宋体" w:cs="宋体"/>
                <w:bCs/>
                <w:szCs w:val="21"/>
              </w:rPr>
            </w:pPr>
            <w:r>
              <w:rPr>
                <w:rFonts w:hint="eastAsia" w:ascii="宋体" w:hAnsi="宋体" w:cs="宋体"/>
                <w:bCs/>
                <w:szCs w:val="21"/>
              </w:rPr>
              <w:t>期环</w:t>
            </w:r>
          </w:p>
          <w:p w14:paraId="2BE8AD7E">
            <w:pPr>
              <w:adjustRightInd w:val="0"/>
              <w:snapToGrid w:val="0"/>
              <w:jc w:val="center"/>
              <w:rPr>
                <w:rFonts w:ascii="宋体" w:hAnsi="宋体" w:cs="宋体"/>
                <w:bCs/>
                <w:szCs w:val="21"/>
              </w:rPr>
            </w:pPr>
            <w:r>
              <w:rPr>
                <w:rFonts w:hint="eastAsia" w:ascii="宋体" w:hAnsi="宋体" w:cs="宋体"/>
                <w:bCs/>
                <w:szCs w:val="21"/>
              </w:rPr>
              <w:t>境影</w:t>
            </w:r>
          </w:p>
          <w:p w14:paraId="34B062C4">
            <w:pPr>
              <w:adjustRightInd w:val="0"/>
              <w:snapToGrid w:val="0"/>
              <w:jc w:val="center"/>
              <w:rPr>
                <w:rFonts w:ascii="宋体" w:hAnsi="宋体" w:cs="宋体"/>
                <w:bCs/>
                <w:szCs w:val="21"/>
              </w:rPr>
            </w:pPr>
            <w:r>
              <w:rPr>
                <w:rFonts w:hint="eastAsia" w:ascii="宋体" w:hAnsi="宋体" w:cs="宋体"/>
                <w:bCs/>
                <w:szCs w:val="21"/>
              </w:rPr>
              <w:t>响和</w:t>
            </w:r>
          </w:p>
          <w:p w14:paraId="2D6C0282">
            <w:pPr>
              <w:adjustRightInd w:val="0"/>
              <w:snapToGrid w:val="0"/>
              <w:jc w:val="center"/>
              <w:rPr>
                <w:rFonts w:ascii="宋体" w:hAnsi="宋体" w:cs="宋体"/>
                <w:bCs/>
                <w:szCs w:val="21"/>
              </w:rPr>
            </w:pPr>
            <w:r>
              <w:rPr>
                <w:rFonts w:hint="eastAsia" w:ascii="宋体" w:hAnsi="宋体" w:cs="宋体"/>
                <w:bCs/>
                <w:szCs w:val="21"/>
              </w:rPr>
              <w:t>保护</w:t>
            </w:r>
          </w:p>
          <w:p w14:paraId="6E0F39EE">
            <w:pPr>
              <w:adjustRightInd w:val="0"/>
              <w:snapToGrid w:val="0"/>
              <w:jc w:val="center"/>
              <w:rPr>
                <w:rFonts w:cs="宋体"/>
                <w:bCs/>
                <w:szCs w:val="21"/>
              </w:rPr>
            </w:pPr>
            <w:r>
              <w:rPr>
                <w:rFonts w:hint="eastAsia" w:ascii="宋体" w:hAnsi="宋体" w:cs="宋体"/>
                <w:bCs/>
                <w:szCs w:val="21"/>
              </w:rPr>
              <w:t>措施</w:t>
            </w:r>
          </w:p>
        </w:tc>
        <w:tc>
          <w:tcPr>
            <w:tcW w:w="13160" w:type="dxa"/>
            <w:vAlign w:val="center"/>
          </w:tcPr>
          <w:p w14:paraId="5C2C729B">
            <w:pPr>
              <w:adjustRightInd w:val="0"/>
              <w:snapToGrid w:val="0"/>
              <w:spacing w:line="500" w:lineRule="exact"/>
              <w:rPr>
                <w:b/>
                <w:bCs/>
              </w:rPr>
            </w:pPr>
            <w:r>
              <w:rPr>
                <w:rFonts w:hint="eastAsia"/>
                <w:b/>
                <w:bCs/>
              </w:rPr>
              <w:t>一、废气</w:t>
            </w:r>
          </w:p>
          <w:p w14:paraId="1E9A6330">
            <w:pPr>
              <w:adjustRightInd w:val="0"/>
              <w:snapToGrid w:val="0"/>
              <w:spacing w:line="500" w:lineRule="exact"/>
              <w:jc w:val="center"/>
              <w:rPr>
                <w:b/>
                <w:bCs/>
              </w:rPr>
            </w:pPr>
            <w:r>
              <w:rPr>
                <w:b/>
                <w:bCs/>
              </w:rPr>
              <w:t>表</w:t>
            </w:r>
            <w:r>
              <w:rPr>
                <w:rFonts w:hint="eastAsia"/>
                <w:b/>
                <w:bCs/>
              </w:rPr>
              <w:t xml:space="preserve">4-1 </w:t>
            </w:r>
            <w:r>
              <w:rPr>
                <w:b/>
                <w:bCs/>
              </w:rPr>
              <w:t>项目废气污染物源强情况</w:t>
            </w:r>
          </w:p>
          <w:tbl>
            <w:tblPr>
              <w:tblStyle w:val="16"/>
              <w:tblW w:w="12996"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Layout w:type="fixed"/>
              <w:tblCellMar>
                <w:top w:w="0" w:type="dxa"/>
                <w:left w:w="108" w:type="dxa"/>
                <w:bottom w:w="0" w:type="dxa"/>
                <w:right w:w="108" w:type="dxa"/>
              </w:tblCellMar>
            </w:tblPr>
            <w:tblGrid>
              <w:gridCol w:w="311"/>
              <w:gridCol w:w="727"/>
              <w:gridCol w:w="530"/>
              <w:gridCol w:w="750"/>
              <w:gridCol w:w="690"/>
              <w:gridCol w:w="563"/>
              <w:gridCol w:w="557"/>
              <w:gridCol w:w="571"/>
              <w:gridCol w:w="829"/>
              <w:gridCol w:w="675"/>
              <w:gridCol w:w="580"/>
              <w:gridCol w:w="630"/>
              <w:gridCol w:w="825"/>
              <w:gridCol w:w="1065"/>
              <w:gridCol w:w="810"/>
              <w:gridCol w:w="810"/>
              <w:gridCol w:w="978"/>
              <w:gridCol w:w="705"/>
              <w:gridCol w:w="390"/>
            </w:tblGrid>
            <w:tr w14:paraId="236DA03A">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108" w:type="dxa"/>
                  <w:bottom w:w="0" w:type="dxa"/>
                  <w:right w:w="108" w:type="dxa"/>
                </w:tblCellMar>
              </w:tblPrEx>
              <w:trPr>
                <w:trHeight w:val="90" w:hRule="atLeast"/>
                <w:jc w:val="center"/>
              </w:trPr>
              <w:tc>
                <w:tcPr>
                  <w:tcW w:w="311" w:type="dxa"/>
                  <w:vMerge w:val="restart"/>
                  <w:tcMar>
                    <w:top w:w="15" w:type="dxa"/>
                    <w:left w:w="15" w:type="dxa"/>
                    <w:bottom w:w="15" w:type="dxa"/>
                    <w:right w:w="15" w:type="dxa"/>
                  </w:tcMar>
                  <w:vAlign w:val="center"/>
                </w:tcPr>
                <w:p w14:paraId="6B7A0BC2">
                  <w:pPr>
                    <w:jc w:val="center"/>
                    <w:textAlignment w:val="center"/>
                    <w:rPr>
                      <w:sz w:val="18"/>
                      <w:szCs w:val="18"/>
                    </w:rPr>
                  </w:pPr>
                  <w:r>
                    <w:rPr>
                      <w:sz w:val="18"/>
                      <w:szCs w:val="18"/>
                    </w:rPr>
                    <w:t>生产车间</w:t>
                  </w:r>
                </w:p>
              </w:tc>
              <w:tc>
                <w:tcPr>
                  <w:tcW w:w="727" w:type="dxa"/>
                  <w:vMerge w:val="restart"/>
                  <w:tcMar>
                    <w:top w:w="15" w:type="dxa"/>
                    <w:left w:w="15" w:type="dxa"/>
                    <w:bottom w:w="15" w:type="dxa"/>
                    <w:right w:w="15" w:type="dxa"/>
                  </w:tcMar>
                  <w:vAlign w:val="center"/>
                </w:tcPr>
                <w:p w14:paraId="6FE50FE4">
                  <w:pPr>
                    <w:jc w:val="center"/>
                    <w:textAlignment w:val="center"/>
                    <w:rPr>
                      <w:sz w:val="18"/>
                      <w:szCs w:val="18"/>
                    </w:rPr>
                  </w:pPr>
                  <w:r>
                    <w:rPr>
                      <w:sz w:val="18"/>
                      <w:szCs w:val="18"/>
                    </w:rPr>
                    <w:t>产污</w:t>
                  </w:r>
                </w:p>
                <w:p w14:paraId="0E9DDC7A">
                  <w:pPr>
                    <w:jc w:val="center"/>
                    <w:textAlignment w:val="center"/>
                    <w:rPr>
                      <w:sz w:val="18"/>
                      <w:szCs w:val="18"/>
                    </w:rPr>
                  </w:pPr>
                  <w:r>
                    <w:rPr>
                      <w:sz w:val="18"/>
                      <w:szCs w:val="18"/>
                    </w:rPr>
                    <w:t>环节</w:t>
                  </w:r>
                </w:p>
              </w:tc>
              <w:tc>
                <w:tcPr>
                  <w:tcW w:w="530" w:type="dxa"/>
                  <w:vMerge w:val="restart"/>
                  <w:tcMar>
                    <w:top w:w="15" w:type="dxa"/>
                    <w:left w:w="15" w:type="dxa"/>
                    <w:bottom w:w="15" w:type="dxa"/>
                    <w:right w:w="15" w:type="dxa"/>
                  </w:tcMar>
                  <w:vAlign w:val="center"/>
                </w:tcPr>
                <w:p w14:paraId="1B68E9A3">
                  <w:pPr>
                    <w:jc w:val="center"/>
                    <w:textAlignment w:val="center"/>
                    <w:rPr>
                      <w:sz w:val="18"/>
                      <w:szCs w:val="18"/>
                    </w:rPr>
                  </w:pPr>
                  <w:r>
                    <w:rPr>
                      <w:sz w:val="18"/>
                      <w:szCs w:val="18"/>
                    </w:rPr>
                    <w:t>污染物</w:t>
                  </w:r>
                </w:p>
                <w:p w14:paraId="7D2D0455">
                  <w:pPr>
                    <w:jc w:val="center"/>
                    <w:textAlignment w:val="center"/>
                    <w:rPr>
                      <w:sz w:val="18"/>
                      <w:szCs w:val="18"/>
                    </w:rPr>
                  </w:pPr>
                  <w:r>
                    <w:rPr>
                      <w:sz w:val="18"/>
                      <w:szCs w:val="18"/>
                    </w:rPr>
                    <w:t>种类</w:t>
                  </w:r>
                </w:p>
              </w:tc>
              <w:tc>
                <w:tcPr>
                  <w:tcW w:w="2003" w:type="dxa"/>
                  <w:gridSpan w:val="3"/>
                  <w:tcMar>
                    <w:top w:w="15" w:type="dxa"/>
                    <w:left w:w="15" w:type="dxa"/>
                    <w:bottom w:w="15" w:type="dxa"/>
                    <w:right w:w="15" w:type="dxa"/>
                  </w:tcMar>
                  <w:vAlign w:val="center"/>
                </w:tcPr>
                <w:p w14:paraId="049968B7">
                  <w:pPr>
                    <w:jc w:val="center"/>
                    <w:textAlignment w:val="center"/>
                    <w:rPr>
                      <w:sz w:val="18"/>
                      <w:szCs w:val="18"/>
                    </w:rPr>
                  </w:pPr>
                  <w:r>
                    <w:rPr>
                      <w:sz w:val="18"/>
                      <w:szCs w:val="18"/>
                    </w:rPr>
                    <w:t>污染物产生情况</w:t>
                  </w:r>
                </w:p>
              </w:tc>
              <w:tc>
                <w:tcPr>
                  <w:tcW w:w="557" w:type="dxa"/>
                  <w:vMerge w:val="restart"/>
                  <w:tcMar>
                    <w:top w:w="15" w:type="dxa"/>
                    <w:left w:w="15" w:type="dxa"/>
                    <w:bottom w:w="15" w:type="dxa"/>
                    <w:right w:w="15" w:type="dxa"/>
                  </w:tcMar>
                  <w:vAlign w:val="center"/>
                </w:tcPr>
                <w:p w14:paraId="131D915C">
                  <w:pPr>
                    <w:jc w:val="center"/>
                    <w:textAlignment w:val="center"/>
                    <w:rPr>
                      <w:sz w:val="18"/>
                      <w:szCs w:val="18"/>
                    </w:rPr>
                  </w:pPr>
                  <w:r>
                    <w:rPr>
                      <w:sz w:val="18"/>
                      <w:szCs w:val="18"/>
                    </w:rPr>
                    <w:t>排放</w:t>
                  </w:r>
                </w:p>
                <w:p w14:paraId="6D22D5FC">
                  <w:pPr>
                    <w:jc w:val="center"/>
                    <w:textAlignment w:val="center"/>
                    <w:rPr>
                      <w:sz w:val="18"/>
                      <w:szCs w:val="18"/>
                    </w:rPr>
                  </w:pPr>
                  <w:r>
                    <w:rPr>
                      <w:sz w:val="18"/>
                      <w:szCs w:val="18"/>
                    </w:rPr>
                    <w:t>形式</w:t>
                  </w:r>
                </w:p>
              </w:tc>
              <w:tc>
                <w:tcPr>
                  <w:tcW w:w="571" w:type="dxa"/>
                  <w:vMerge w:val="restart"/>
                  <w:tcMar>
                    <w:top w:w="15" w:type="dxa"/>
                    <w:left w:w="15" w:type="dxa"/>
                    <w:bottom w:w="15" w:type="dxa"/>
                    <w:right w:w="15" w:type="dxa"/>
                  </w:tcMar>
                  <w:vAlign w:val="center"/>
                </w:tcPr>
                <w:p w14:paraId="089A3F97">
                  <w:pPr>
                    <w:jc w:val="center"/>
                    <w:textAlignment w:val="center"/>
                    <w:rPr>
                      <w:sz w:val="18"/>
                      <w:szCs w:val="18"/>
                    </w:rPr>
                  </w:pPr>
                  <w:r>
                    <w:rPr>
                      <w:sz w:val="18"/>
                      <w:szCs w:val="18"/>
                    </w:rPr>
                    <w:t>排气筒编号</w:t>
                  </w:r>
                </w:p>
              </w:tc>
              <w:tc>
                <w:tcPr>
                  <w:tcW w:w="3539" w:type="dxa"/>
                  <w:gridSpan w:val="5"/>
                  <w:tcMar>
                    <w:top w:w="15" w:type="dxa"/>
                    <w:left w:w="15" w:type="dxa"/>
                    <w:bottom w:w="15" w:type="dxa"/>
                    <w:right w:w="15" w:type="dxa"/>
                  </w:tcMar>
                  <w:vAlign w:val="center"/>
                </w:tcPr>
                <w:p w14:paraId="39FB6067">
                  <w:pPr>
                    <w:jc w:val="center"/>
                    <w:textAlignment w:val="center"/>
                    <w:rPr>
                      <w:sz w:val="18"/>
                      <w:szCs w:val="18"/>
                    </w:rPr>
                  </w:pPr>
                  <w:r>
                    <w:rPr>
                      <w:sz w:val="18"/>
                      <w:szCs w:val="18"/>
                    </w:rPr>
                    <w:t>治理设施情况</w:t>
                  </w:r>
                </w:p>
              </w:tc>
              <w:tc>
                <w:tcPr>
                  <w:tcW w:w="2685" w:type="dxa"/>
                  <w:gridSpan w:val="3"/>
                  <w:vAlign w:val="center"/>
                </w:tcPr>
                <w:p w14:paraId="3F3D0045">
                  <w:pPr>
                    <w:jc w:val="center"/>
                    <w:textAlignment w:val="center"/>
                    <w:rPr>
                      <w:sz w:val="18"/>
                      <w:szCs w:val="18"/>
                    </w:rPr>
                  </w:pPr>
                  <w:r>
                    <w:rPr>
                      <w:sz w:val="18"/>
                      <w:szCs w:val="18"/>
                    </w:rPr>
                    <w:t>污染物排放情况</w:t>
                  </w:r>
                </w:p>
              </w:tc>
              <w:tc>
                <w:tcPr>
                  <w:tcW w:w="1683" w:type="dxa"/>
                  <w:gridSpan w:val="2"/>
                  <w:vAlign w:val="center"/>
                </w:tcPr>
                <w:p w14:paraId="28E14271">
                  <w:pPr>
                    <w:jc w:val="center"/>
                    <w:textAlignment w:val="center"/>
                    <w:rPr>
                      <w:sz w:val="18"/>
                      <w:szCs w:val="18"/>
                    </w:rPr>
                  </w:pPr>
                  <w:r>
                    <w:rPr>
                      <w:sz w:val="18"/>
                      <w:szCs w:val="18"/>
                    </w:rPr>
                    <w:t>排放标准</w:t>
                  </w:r>
                </w:p>
              </w:tc>
              <w:tc>
                <w:tcPr>
                  <w:tcW w:w="390" w:type="dxa"/>
                  <w:vMerge w:val="restart"/>
                  <w:vAlign w:val="center"/>
                </w:tcPr>
                <w:p w14:paraId="1613ECBC">
                  <w:pPr>
                    <w:jc w:val="center"/>
                    <w:textAlignment w:val="center"/>
                    <w:rPr>
                      <w:rFonts w:hint="eastAsia" w:eastAsia="宋体"/>
                      <w:sz w:val="18"/>
                      <w:szCs w:val="18"/>
                      <w:lang w:eastAsia="zh-CN"/>
                    </w:rPr>
                  </w:pPr>
                  <w:r>
                    <w:rPr>
                      <w:rFonts w:hint="eastAsia"/>
                      <w:sz w:val="18"/>
                      <w:szCs w:val="18"/>
                      <w:lang w:eastAsia="zh-CN"/>
                    </w:rPr>
                    <w:t>工作时间</w:t>
                  </w:r>
                </w:p>
              </w:tc>
            </w:tr>
            <w:tr w14:paraId="535B6037">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108" w:type="dxa"/>
                  <w:bottom w:w="0" w:type="dxa"/>
                  <w:right w:w="108" w:type="dxa"/>
                </w:tblCellMar>
              </w:tblPrEx>
              <w:trPr>
                <w:trHeight w:val="551" w:hRule="atLeast"/>
                <w:jc w:val="center"/>
              </w:trPr>
              <w:tc>
                <w:tcPr>
                  <w:tcW w:w="311" w:type="dxa"/>
                  <w:vMerge w:val="continue"/>
                  <w:tcMar>
                    <w:top w:w="15" w:type="dxa"/>
                    <w:left w:w="15" w:type="dxa"/>
                    <w:bottom w:w="15" w:type="dxa"/>
                    <w:right w:w="15" w:type="dxa"/>
                  </w:tcMar>
                  <w:vAlign w:val="center"/>
                </w:tcPr>
                <w:p w14:paraId="1CFB2952">
                  <w:pPr>
                    <w:jc w:val="center"/>
                    <w:textAlignment w:val="center"/>
                    <w:rPr>
                      <w:sz w:val="18"/>
                      <w:szCs w:val="18"/>
                    </w:rPr>
                  </w:pPr>
                </w:p>
              </w:tc>
              <w:tc>
                <w:tcPr>
                  <w:tcW w:w="727" w:type="dxa"/>
                  <w:vMerge w:val="continue"/>
                  <w:tcMar>
                    <w:top w:w="15" w:type="dxa"/>
                    <w:left w:w="15" w:type="dxa"/>
                    <w:bottom w:w="15" w:type="dxa"/>
                    <w:right w:w="15" w:type="dxa"/>
                  </w:tcMar>
                  <w:vAlign w:val="center"/>
                </w:tcPr>
                <w:p w14:paraId="558D548B">
                  <w:pPr>
                    <w:jc w:val="center"/>
                    <w:textAlignment w:val="center"/>
                    <w:rPr>
                      <w:sz w:val="18"/>
                      <w:szCs w:val="18"/>
                    </w:rPr>
                  </w:pPr>
                </w:p>
              </w:tc>
              <w:tc>
                <w:tcPr>
                  <w:tcW w:w="530" w:type="dxa"/>
                  <w:vMerge w:val="continue"/>
                  <w:tcMar>
                    <w:top w:w="15" w:type="dxa"/>
                    <w:left w:w="15" w:type="dxa"/>
                    <w:bottom w:w="15" w:type="dxa"/>
                    <w:right w:w="15" w:type="dxa"/>
                  </w:tcMar>
                  <w:vAlign w:val="center"/>
                </w:tcPr>
                <w:p w14:paraId="206AFF64">
                  <w:pPr>
                    <w:jc w:val="center"/>
                    <w:textAlignment w:val="center"/>
                    <w:rPr>
                      <w:sz w:val="18"/>
                      <w:szCs w:val="18"/>
                    </w:rPr>
                  </w:pPr>
                </w:p>
              </w:tc>
              <w:tc>
                <w:tcPr>
                  <w:tcW w:w="750" w:type="dxa"/>
                  <w:tcMar>
                    <w:top w:w="15" w:type="dxa"/>
                    <w:left w:w="15" w:type="dxa"/>
                    <w:bottom w:w="15" w:type="dxa"/>
                    <w:right w:w="15" w:type="dxa"/>
                  </w:tcMar>
                  <w:vAlign w:val="center"/>
                </w:tcPr>
                <w:p w14:paraId="647126CB">
                  <w:pPr>
                    <w:jc w:val="center"/>
                    <w:textAlignment w:val="center"/>
                    <w:rPr>
                      <w:sz w:val="18"/>
                      <w:szCs w:val="18"/>
                    </w:rPr>
                  </w:pPr>
                  <w:r>
                    <w:rPr>
                      <w:sz w:val="18"/>
                      <w:szCs w:val="18"/>
                    </w:rPr>
                    <w:t>产生浓度</w:t>
                  </w:r>
                </w:p>
                <w:p w14:paraId="6A297170">
                  <w:pPr>
                    <w:jc w:val="center"/>
                    <w:textAlignment w:val="center"/>
                    <w:rPr>
                      <w:sz w:val="18"/>
                      <w:szCs w:val="18"/>
                    </w:rPr>
                  </w:pPr>
                  <w:r>
                    <w:rPr>
                      <w:sz w:val="18"/>
                      <w:szCs w:val="18"/>
                    </w:rPr>
                    <w:t>（mg/m</w:t>
                  </w:r>
                  <w:r>
                    <w:rPr>
                      <w:sz w:val="18"/>
                      <w:szCs w:val="18"/>
                      <w:vertAlign w:val="superscript"/>
                    </w:rPr>
                    <w:t>3</w:t>
                  </w:r>
                  <w:r>
                    <w:rPr>
                      <w:sz w:val="18"/>
                      <w:szCs w:val="18"/>
                    </w:rPr>
                    <w:t>）</w:t>
                  </w:r>
                </w:p>
              </w:tc>
              <w:tc>
                <w:tcPr>
                  <w:tcW w:w="690" w:type="dxa"/>
                  <w:tcMar>
                    <w:top w:w="15" w:type="dxa"/>
                    <w:left w:w="15" w:type="dxa"/>
                    <w:bottom w:w="15" w:type="dxa"/>
                    <w:right w:w="15" w:type="dxa"/>
                  </w:tcMar>
                  <w:vAlign w:val="center"/>
                </w:tcPr>
                <w:p w14:paraId="0F84EC39">
                  <w:pPr>
                    <w:jc w:val="center"/>
                    <w:textAlignment w:val="center"/>
                    <w:rPr>
                      <w:sz w:val="18"/>
                      <w:szCs w:val="18"/>
                    </w:rPr>
                  </w:pPr>
                  <w:r>
                    <w:rPr>
                      <w:sz w:val="18"/>
                      <w:szCs w:val="18"/>
                    </w:rPr>
                    <w:t>产生速率</w:t>
                  </w:r>
                </w:p>
                <w:p w14:paraId="61FC36A6">
                  <w:pPr>
                    <w:jc w:val="center"/>
                    <w:textAlignment w:val="center"/>
                    <w:rPr>
                      <w:sz w:val="18"/>
                      <w:szCs w:val="18"/>
                    </w:rPr>
                  </w:pPr>
                  <w:r>
                    <w:rPr>
                      <w:sz w:val="18"/>
                      <w:szCs w:val="18"/>
                    </w:rPr>
                    <w:t>（kg/h）</w:t>
                  </w:r>
                </w:p>
              </w:tc>
              <w:tc>
                <w:tcPr>
                  <w:tcW w:w="563" w:type="dxa"/>
                  <w:tcMar>
                    <w:top w:w="15" w:type="dxa"/>
                    <w:left w:w="15" w:type="dxa"/>
                    <w:bottom w:w="15" w:type="dxa"/>
                    <w:right w:w="15" w:type="dxa"/>
                  </w:tcMar>
                  <w:vAlign w:val="center"/>
                </w:tcPr>
                <w:p w14:paraId="71907EA9">
                  <w:pPr>
                    <w:jc w:val="center"/>
                    <w:textAlignment w:val="center"/>
                    <w:rPr>
                      <w:sz w:val="18"/>
                      <w:szCs w:val="18"/>
                    </w:rPr>
                  </w:pPr>
                  <w:r>
                    <w:rPr>
                      <w:sz w:val="18"/>
                      <w:szCs w:val="18"/>
                    </w:rPr>
                    <w:t>产生量</w:t>
                  </w:r>
                </w:p>
                <w:p w14:paraId="44CD995B">
                  <w:pPr>
                    <w:jc w:val="center"/>
                    <w:textAlignment w:val="center"/>
                    <w:rPr>
                      <w:sz w:val="18"/>
                      <w:szCs w:val="18"/>
                    </w:rPr>
                  </w:pPr>
                  <w:r>
                    <w:rPr>
                      <w:sz w:val="18"/>
                      <w:szCs w:val="18"/>
                    </w:rPr>
                    <w:t>（t/a）</w:t>
                  </w:r>
                </w:p>
              </w:tc>
              <w:tc>
                <w:tcPr>
                  <w:tcW w:w="557" w:type="dxa"/>
                  <w:vMerge w:val="continue"/>
                  <w:tcMar>
                    <w:top w:w="15" w:type="dxa"/>
                    <w:left w:w="15" w:type="dxa"/>
                    <w:bottom w:w="15" w:type="dxa"/>
                    <w:right w:w="15" w:type="dxa"/>
                  </w:tcMar>
                  <w:vAlign w:val="center"/>
                </w:tcPr>
                <w:p w14:paraId="1E2AB934">
                  <w:pPr>
                    <w:jc w:val="center"/>
                    <w:textAlignment w:val="center"/>
                    <w:rPr>
                      <w:sz w:val="18"/>
                      <w:szCs w:val="18"/>
                    </w:rPr>
                  </w:pPr>
                </w:p>
              </w:tc>
              <w:tc>
                <w:tcPr>
                  <w:tcW w:w="571" w:type="dxa"/>
                  <w:vMerge w:val="continue"/>
                  <w:tcMar>
                    <w:top w:w="15" w:type="dxa"/>
                    <w:left w:w="15" w:type="dxa"/>
                    <w:bottom w:w="15" w:type="dxa"/>
                    <w:right w:w="15" w:type="dxa"/>
                  </w:tcMar>
                  <w:vAlign w:val="center"/>
                </w:tcPr>
                <w:p w14:paraId="68DB8D39">
                  <w:pPr>
                    <w:jc w:val="center"/>
                    <w:textAlignment w:val="center"/>
                    <w:rPr>
                      <w:sz w:val="18"/>
                      <w:szCs w:val="18"/>
                    </w:rPr>
                  </w:pPr>
                </w:p>
              </w:tc>
              <w:tc>
                <w:tcPr>
                  <w:tcW w:w="829" w:type="dxa"/>
                  <w:tcMar>
                    <w:top w:w="15" w:type="dxa"/>
                    <w:left w:w="15" w:type="dxa"/>
                    <w:bottom w:w="15" w:type="dxa"/>
                    <w:right w:w="15" w:type="dxa"/>
                  </w:tcMar>
                  <w:vAlign w:val="center"/>
                </w:tcPr>
                <w:p w14:paraId="5870D883">
                  <w:pPr>
                    <w:jc w:val="center"/>
                    <w:textAlignment w:val="center"/>
                    <w:rPr>
                      <w:sz w:val="18"/>
                      <w:szCs w:val="18"/>
                    </w:rPr>
                  </w:pPr>
                  <w:r>
                    <w:rPr>
                      <w:sz w:val="18"/>
                      <w:szCs w:val="18"/>
                    </w:rPr>
                    <w:t>治理设施</w:t>
                  </w:r>
                </w:p>
              </w:tc>
              <w:tc>
                <w:tcPr>
                  <w:tcW w:w="675" w:type="dxa"/>
                  <w:vAlign w:val="center"/>
                </w:tcPr>
                <w:p w14:paraId="2DA58614">
                  <w:pPr>
                    <w:jc w:val="center"/>
                    <w:textAlignment w:val="center"/>
                    <w:rPr>
                      <w:sz w:val="18"/>
                      <w:szCs w:val="18"/>
                    </w:rPr>
                  </w:pPr>
                  <w:r>
                    <w:rPr>
                      <w:sz w:val="18"/>
                      <w:szCs w:val="18"/>
                    </w:rPr>
                    <w:t>风量</w:t>
                  </w:r>
                </w:p>
              </w:tc>
              <w:tc>
                <w:tcPr>
                  <w:tcW w:w="580" w:type="dxa"/>
                  <w:vAlign w:val="center"/>
                </w:tcPr>
                <w:p w14:paraId="0A516C22">
                  <w:pPr>
                    <w:jc w:val="center"/>
                    <w:textAlignment w:val="center"/>
                    <w:rPr>
                      <w:sz w:val="18"/>
                      <w:szCs w:val="18"/>
                    </w:rPr>
                  </w:pPr>
                  <w:r>
                    <w:rPr>
                      <w:sz w:val="18"/>
                      <w:szCs w:val="18"/>
                    </w:rPr>
                    <w:t>收集效率</w:t>
                  </w:r>
                </w:p>
              </w:tc>
              <w:tc>
                <w:tcPr>
                  <w:tcW w:w="630" w:type="dxa"/>
                  <w:vAlign w:val="center"/>
                </w:tcPr>
                <w:p w14:paraId="0C4B5C58">
                  <w:pPr>
                    <w:jc w:val="center"/>
                    <w:textAlignment w:val="center"/>
                    <w:rPr>
                      <w:sz w:val="18"/>
                      <w:szCs w:val="18"/>
                    </w:rPr>
                  </w:pPr>
                  <w:r>
                    <w:rPr>
                      <w:sz w:val="18"/>
                      <w:szCs w:val="18"/>
                    </w:rPr>
                    <w:t>去除率</w:t>
                  </w:r>
                  <w:r>
                    <w:rPr>
                      <w:rFonts w:hint="eastAsia"/>
                      <w:sz w:val="18"/>
                      <w:szCs w:val="18"/>
                    </w:rPr>
                    <w:t>%</w:t>
                  </w:r>
                </w:p>
              </w:tc>
              <w:tc>
                <w:tcPr>
                  <w:tcW w:w="825" w:type="dxa"/>
                  <w:vAlign w:val="center"/>
                </w:tcPr>
                <w:p w14:paraId="071FB760">
                  <w:pPr>
                    <w:jc w:val="center"/>
                    <w:textAlignment w:val="center"/>
                    <w:rPr>
                      <w:sz w:val="18"/>
                      <w:szCs w:val="18"/>
                    </w:rPr>
                  </w:pPr>
                  <w:r>
                    <w:rPr>
                      <w:sz w:val="18"/>
                      <w:szCs w:val="18"/>
                    </w:rPr>
                    <w:t>是否为可行技术</w:t>
                  </w:r>
                </w:p>
              </w:tc>
              <w:tc>
                <w:tcPr>
                  <w:tcW w:w="1065" w:type="dxa"/>
                  <w:vAlign w:val="center"/>
                </w:tcPr>
                <w:p w14:paraId="4BC53687">
                  <w:pPr>
                    <w:jc w:val="center"/>
                    <w:textAlignment w:val="center"/>
                    <w:rPr>
                      <w:sz w:val="18"/>
                      <w:szCs w:val="18"/>
                    </w:rPr>
                  </w:pPr>
                  <w:r>
                    <w:rPr>
                      <w:sz w:val="18"/>
                      <w:szCs w:val="18"/>
                    </w:rPr>
                    <w:t>排放浓度（mg/m</w:t>
                  </w:r>
                  <w:r>
                    <w:rPr>
                      <w:sz w:val="18"/>
                      <w:szCs w:val="18"/>
                      <w:vertAlign w:val="superscript"/>
                    </w:rPr>
                    <w:t>3</w:t>
                  </w:r>
                  <w:r>
                    <w:rPr>
                      <w:sz w:val="18"/>
                      <w:szCs w:val="18"/>
                    </w:rPr>
                    <w:t>）</w:t>
                  </w:r>
                </w:p>
              </w:tc>
              <w:tc>
                <w:tcPr>
                  <w:tcW w:w="810" w:type="dxa"/>
                  <w:vAlign w:val="center"/>
                </w:tcPr>
                <w:p w14:paraId="277A1211">
                  <w:pPr>
                    <w:jc w:val="center"/>
                    <w:textAlignment w:val="center"/>
                    <w:rPr>
                      <w:sz w:val="18"/>
                      <w:szCs w:val="18"/>
                    </w:rPr>
                  </w:pPr>
                  <w:r>
                    <w:rPr>
                      <w:sz w:val="18"/>
                      <w:szCs w:val="18"/>
                    </w:rPr>
                    <w:t>排放速率（kg/h）</w:t>
                  </w:r>
                </w:p>
              </w:tc>
              <w:tc>
                <w:tcPr>
                  <w:tcW w:w="810" w:type="dxa"/>
                  <w:vAlign w:val="center"/>
                </w:tcPr>
                <w:p w14:paraId="0E1784EE">
                  <w:pPr>
                    <w:jc w:val="center"/>
                    <w:textAlignment w:val="center"/>
                    <w:rPr>
                      <w:sz w:val="18"/>
                      <w:szCs w:val="18"/>
                    </w:rPr>
                  </w:pPr>
                  <w:r>
                    <w:rPr>
                      <w:sz w:val="18"/>
                      <w:szCs w:val="18"/>
                    </w:rPr>
                    <w:t>排放量（t/a）</w:t>
                  </w:r>
                </w:p>
              </w:tc>
              <w:tc>
                <w:tcPr>
                  <w:tcW w:w="978" w:type="dxa"/>
                  <w:vAlign w:val="center"/>
                </w:tcPr>
                <w:p w14:paraId="02D3C452">
                  <w:pPr>
                    <w:jc w:val="center"/>
                    <w:textAlignment w:val="center"/>
                    <w:rPr>
                      <w:sz w:val="18"/>
                      <w:szCs w:val="18"/>
                    </w:rPr>
                  </w:pPr>
                  <w:r>
                    <w:rPr>
                      <w:sz w:val="18"/>
                      <w:szCs w:val="18"/>
                    </w:rPr>
                    <w:t>浓度</w:t>
                  </w:r>
                </w:p>
                <w:p w14:paraId="270C40DF">
                  <w:pPr>
                    <w:jc w:val="center"/>
                    <w:textAlignment w:val="center"/>
                    <w:rPr>
                      <w:sz w:val="18"/>
                      <w:szCs w:val="18"/>
                    </w:rPr>
                  </w:pPr>
                  <w:r>
                    <w:rPr>
                      <w:sz w:val="18"/>
                      <w:szCs w:val="18"/>
                    </w:rPr>
                    <w:t>（mg/m</w:t>
                  </w:r>
                  <w:r>
                    <w:rPr>
                      <w:sz w:val="18"/>
                      <w:szCs w:val="18"/>
                      <w:vertAlign w:val="superscript"/>
                    </w:rPr>
                    <w:t>3</w:t>
                  </w:r>
                  <w:r>
                    <w:rPr>
                      <w:sz w:val="18"/>
                      <w:szCs w:val="18"/>
                    </w:rPr>
                    <w:t>）</w:t>
                  </w:r>
                </w:p>
              </w:tc>
              <w:tc>
                <w:tcPr>
                  <w:tcW w:w="705" w:type="dxa"/>
                  <w:tcMar>
                    <w:top w:w="15" w:type="dxa"/>
                    <w:left w:w="15" w:type="dxa"/>
                    <w:bottom w:w="15" w:type="dxa"/>
                    <w:right w:w="15" w:type="dxa"/>
                  </w:tcMar>
                  <w:vAlign w:val="center"/>
                </w:tcPr>
                <w:p w14:paraId="7F8D3542">
                  <w:pPr>
                    <w:jc w:val="center"/>
                    <w:textAlignment w:val="center"/>
                    <w:rPr>
                      <w:sz w:val="18"/>
                      <w:szCs w:val="18"/>
                    </w:rPr>
                  </w:pPr>
                  <w:r>
                    <w:rPr>
                      <w:sz w:val="18"/>
                      <w:szCs w:val="18"/>
                    </w:rPr>
                    <w:t>速率</w:t>
                  </w:r>
                </w:p>
                <w:p w14:paraId="7714F28B">
                  <w:pPr>
                    <w:jc w:val="center"/>
                    <w:textAlignment w:val="center"/>
                    <w:rPr>
                      <w:sz w:val="18"/>
                      <w:szCs w:val="18"/>
                    </w:rPr>
                  </w:pPr>
                  <w:r>
                    <w:rPr>
                      <w:sz w:val="18"/>
                      <w:szCs w:val="18"/>
                    </w:rPr>
                    <w:t>（kg/h）</w:t>
                  </w:r>
                </w:p>
              </w:tc>
              <w:tc>
                <w:tcPr>
                  <w:tcW w:w="390" w:type="dxa"/>
                  <w:vMerge w:val="continue"/>
                  <w:tcMar>
                    <w:top w:w="15" w:type="dxa"/>
                    <w:left w:w="15" w:type="dxa"/>
                    <w:bottom w:w="15" w:type="dxa"/>
                    <w:right w:w="15" w:type="dxa"/>
                  </w:tcMar>
                  <w:vAlign w:val="center"/>
                </w:tcPr>
                <w:p w14:paraId="11700113">
                  <w:pPr>
                    <w:jc w:val="center"/>
                    <w:textAlignment w:val="center"/>
                    <w:rPr>
                      <w:sz w:val="18"/>
                      <w:szCs w:val="18"/>
                    </w:rPr>
                  </w:pPr>
                </w:p>
              </w:tc>
            </w:tr>
            <w:tr w14:paraId="76690FF1">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108" w:type="dxa"/>
                  <w:bottom w:w="0" w:type="dxa"/>
                  <w:right w:w="108" w:type="dxa"/>
                </w:tblCellMar>
              </w:tblPrEx>
              <w:trPr>
                <w:trHeight w:val="385" w:hRule="atLeast"/>
                <w:jc w:val="center"/>
              </w:trPr>
              <w:tc>
                <w:tcPr>
                  <w:tcW w:w="311" w:type="dxa"/>
                  <w:vMerge w:val="restart"/>
                  <w:tcMar>
                    <w:top w:w="15" w:type="dxa"/>
                    <w:left w:w="15" w:type="dxa"/>
                    <w:bottom w:w="15" w:type="dxa"/>
                    <w:right w:w="15" w:type="dxa"/>
                  </w:tcMar>
                  <w:vAlign w:val="center"/>
                </w:tcPr>
                <w:p w14:paraId="10CCE380">
                  <w:pPr>
                    <w:jc w:val="center"/>
                    <w:textAlignment w:val="center"/>
                    <w:rPr>
                      <w:sz w:val="18"/>
                      <w:szCs w:val="18"/>
                    </w:rPr>
                  </w:pPr>
                  <w:r>
                    <w:rPr>
                      <w:rFonts w:hint="eastAsia"/>
                      <w:sz w:val="18"/>
                      <w:szCs w:val="18"/>
                    </w:rPr>
                    <w:t>生产车间</w:t>
                  </w:r>
                </w:p>
              </w:tc>
              <w:tc>
                <w:tcPr>
                  <w:tcW w:w="727" w:type="dxa"/>
                  <w:tcMar>
                    <w:top w:w="15" w:type="dxa"/>
                    <w:left w:w="15" w:type="dxa"/>
                    <w:bottom w:w="15" w:type="dxa"/>
                    <w:right w:w="15" w:type="dxa"/>
                  </w:tcMar>
                  <w:vAlign w:val="center"/>
                </w:tcPr>
                <w:p w14:paraId="1C2475CA">
                  <w:pPr>
                    <w:jc w:val="center"/>
                    <w:textAlignment w:val="center"/>
                    <w:rPr>
                      <w:rFonts w:hint="eastAsia" w:eastAsia="宋体"/>
                      <w:sz w:val="18"/>
                      <w:szCs w:val="18"/>
                      <w:lang w:eastAsia="zh-CN"/>
                    </w:rPr>
                  </w:pPr>
                  <w:r>
                    <w:rPr>
                      <w:rFonts w:hint="eastAsia"/>
                      <w:color w:val="auto"/>
                      <w:sz w:val="18"/>
                      <w:szCs w:val="18"/>
                      <w:lang w:eastAsia="zh-CN"/>
                    </w:rPr>
                    <w:t>配料、投料、粉碎</w:t>
                  </w:r>
                </w:p>
              </w:tc>
              <w:tc>
                <w:tcPr>
                  <w:tcW w:w="530" w:type="dxa"/>
                  <w:tcMar>
                    <w:top w:w="15" w:type="dxa"/>
                    <w:left w:w="15" w:type="dxa"/>
                    <w:bottom w:w="15" w:type="dxa"/>
                    <w:right w:w="15" w:type="dxa"/>
                  </w:tcMar>
                  <w:vAlign w:val="center"/>
                </w:tcPr>
                <w:p w14:paraId="2685D262">
                  <w:pPr>
                    <w:jc w:val="center"/>
                    <w:textAlignment w:val="center"/>
                    <w:rPr>
                      <w:rFonts w:hint="eastAsia" w:eastAsia="宋体"/>
                      <w:sz w:val="18"/>
                      <w:szCs w:val="18"/>
                      <w:lang w:eastAsia="zh-CN"/>
                    </w:rPr>
                  </w:pPr>
                  <w:r>
                    <w:rPr>
                      <w:rFonts w:hint="eastAsia"/>
                      <w:sz w:val="18"/>
                      <w:szCs w:val="18"/>
                      <w:lang w:eastAsia="zh-CN"/>
                    </w:rPr>
                    <w:t>颗粒物</w:t>
                  </w:r>
                </w:p>
              </w:tc>
              <w:tc>
                <w:tcPr>
                  <w:tcW w:w="750" w:type="dxa"/>
                  <w:tcMar>
                    <w:top w:w="15" w:type="dxa"/>
                    <w:left w:w="15" w:type="dxa"/>
                    <w:bottom w:w="15" w:type="dxa"/>
                    <w:right w:w="15" w:type="dxa"/>
                  </w:tcMar>
                  <w:vAlign w:val="center"/>
                </w:tcPr>
                <w:p w14:paraId="6BBC0AEC">
                  <w:pPr>
                    <w:jc w:val="center"/>
                    <w:textAlignment w:val="center"/>
                    <w:rPr>
                      <w:rFonts w:hint="default" w:eastAsia="宋体"/>
                      <w:sz w:val="18"/>
                      <w:szCs w:val="18"/>
                      <w:highlight w:val="none"/>
                      <w:lang w:val="en-US" w:eastAsia="zh-CN"/>
                    </w:rPr>
                  </w:pPr>
                  <w:r>
                    <w:rPr>
                      <w:rFonts w:hint="eastAsia"/>
                      <w:sz w:val="18"/>
                      <w:szCs w:val="18"/>
                      <w:highlight w:val="none"/>
                      <w:lang w:val="en-US" w:eastAsia="zh-CN"/>
                    </w:rPr>
                    <w:t>562.5</w:t>
                  </w:r>
                </w:p>
              </w:tc>
              <w:tc>
                <w:tcPr>
                  <w:tcW w:w="690" w:type="dxa"/>
                  <w:tcMar>
                    <w:top w:w="15" w:type="dxa"/>
                    <w:left w:w="15" w:type="dxa"/>
                    <w:bottom w:w="15" w:type="dxa"/>
                    <w:right w:w="15" w:type="dxa"/>
                  </w:tcMar>
                  <w:vAlign w:val="center"/>
                </w:tcPr>
                <w:p w14:paraId="18F788BE">
                  <w:pPr>
                    <w:jc w:val="center"/>
                    <w:textAlignment w:val="center"/>
                    <w:rPr>
                      <w:rFonts w:hint="default" w:eastAsia="宋体"/>
                      <w:sz w:val="18"/>
                      <w:szCs w:val="18"/>
                      <w:highlight w:val="none"/>
                      <w:lang w:val="en-US" w:eastAsia="zh-CN"/>
                    </w:rPr>
                  </w:pPr>
                  <w:r>
                    <w:rPr>
                      <w:rFonts w:hint="eastAsia"/>
                      <w:sz w:val="18"/>
                      <w:szCs w:val="18"/>
                      <w:highlight w:val="none"/>
                      <w:lang w:val="en-US" w:eastAsia="zh-CN"/>
                    </w:rPr>
                    <w:t>4.5</w:t>
                  </w:r>
                </w:p>
              </w:tc>
              <w:tc>
                <w:tcPr>
                  <w:tcW w:w="563" w:type="dxa"/>
                  <w:tcMar>
                    <w:top w:w="15" w:type="dxa"/>
                    <w:left w:w="15" w:type="dxa"/>
                    <w:bottom w:w="15" w:type="dxa"/>
                    <w:right w:w="15" w:type="dxa"/>
                  </w:tcMar>
                  <w:vAlign w:val="center"/>
                </w:tcPr>
                <w:p w14:paraId="5F0E8C6A">
                  <w:pPr>
                    <w:jc w:val="center"/>
                    <w:textAlignment w:val="center"/>
                    <w:rPr>
                      <w:rFonts w:hint="default" w:eastAsia="宋体"/>
                      <w:sz w:val="18"/>
                      <w:szCs w:val="18"/>
                      <w:highlight w:val="none"/>
                      <w:lang w:val="en-US" w:eastAsia="zh-CN"/>
                    </w:rPr>
                  </w:pPr>
                  <w:r>
                    <w:rPr>
                      <w:rFonts w:hint="eastAsia"/>
                      <w:sz w:val="18"/>
                      <w:szCs w:val="18"/>
                      <w:highlight w:val="none"/>
                      <w:lang w:val="en-US" w:eastAsia="zh-CN"/>
                    </w:rPr>
                    <w:t>5.4</w:t>
                  </w:r>
                </w:p>
              </w:tc>
              <w:tc>
                <w:tcPr>
                  <w:tcW w:w="557" w:type="dxa"/>
                  <w:tcMar>
                    <w:top w:w="15" w:type="dxa"/>
                    <w:left w:w="15" w:type="dxa"/>
                    <w:bottom w:w="15" w:type="dxa"/>
                    <w:right w:w="15" w:type="dxa"/>
                  </w:tcMar>
                  <w:vAlign w:val="center"/>
                </w:tcPr>
                <w:p w14:paraId="05DB7E9E">
                  <w:pPr>
                    <w:jc w:val="center"/>
                    <w:textAlignment w:val="center"/>
                    <w:rPr>
                      <w:sz w:val="18"/>
                      <w:szCs w:val="18"/>
                      <w:highlight w:val="none"/>
                    </w:rPr>
                  </w:pPr>
                  <w:r>
                    <w:rPr>
                      <w:sz w:val="18"/>
                      <w:szCs w:val="18"/>
                      <w:highlight w:val="none"/>
                    </w:rPr>
                    <w:t>有组织</w:t>
                  </w:r>
                </w:p>
              </w:tc>
              <w:tc>
                <w:tcPr>
                  <w:tcW w:w="571" w:type="dxa"/>
                  <w:tcMar>
                    <w:top w:w="15" w:type="dxa"/>
                    <w:left w:w="15" w:type="dxa"/>
                    <w:bottom w:w="15" w:type="dxa"/>
                    <w:right w:w="15" w:type="dxa"/>
                  </w:tcMar>
                  <w:vAlign w:val="center"/>
                </w:tcPr>
                <w:p w14:paraId="2E24044F">
                  <w:pPr>
                    <w:jc w:val="center"/>
                    <w:rPr>
                      <w:sz w:val="18"/>
                      <w:szCs w:val="18"/>
                      <w:highlight w:val="none"/>
                    </w:rPr>
                  </w:pPr>
                  <w:r>
                    <w:rPr>
                      <w:sz w:val="18"/>
                      <w:szCs w:val="18"/>
                      <w:highlight w:val="none"/>
                    </w:rPr>
                    <w:t>DA00</w:t>
                  </w:r>
                  <w:r>
                    <w:rPr>
                      <w:rFonts w:hint="eastAsia"/>
                      <w:sz w:val="18"/>
                      <w:szCs w:val="18"/>
                      <w:highlight w:val="none"/>
                    </w:rPr>
                    <w:t>1</w:t>
                  </w:r>
                </w:p>
              </w:tc>
              <w:tc>
                <w:tcPr>
                  <w:tcW w:w="829" w:type="dxa"/>
                  <w:tcMar>
                    <w:top w:w="15" w:type="dxa"/>
                    <w:left w:w="15" w:type="dxa"/>
                    <w:bottom w:w="15" w:type="dxa"/>
                    <w:right w:w="15" w:type="dxa"/>
                  </w:tcMar>
                  <w:vAlign w:val="center"/>
                </w:tcPr>
                <w:p w14:paraId="2A59E741">
                  <w:pPr>
                    <w:jc w:val="center"/>
                    <w:textAlignment w:val="center"/>
                    <w:rPr>
                      <w:rFonts w:hint="eastAsia" w:eastAsia="宋体"/>
                      <w:sz w:val="18"/>
                      <w:szCs w:val="18"/>
                      <w:highlight w:val="none"/>
                      <w:lang w:eastAsia="zh-CN"/>
                    </w:rPr>
                  </w:pPr>
                  <w:r>
                    <w:rPr>
                      <w:rFonts w:hint="eastAsia"/>
                      <w:color w:val="auto"/>
                      <w:sz w:val="18"/>
                      <w:szCs w:val="18"/>
                      <w:highlight w:val="none"/>
                      <w:lang w:val="en-US" w:eastAsia="zh-CN"/>
                    </w:rPr>
                    <w:t>布袋除尘</w:t>
                  </w:r>
                </w:p>
              </w:tc>
              <w:tc>
                <w:tcPr>
                  <w:tcW w:w="675" w:type="dxa"/>
                  <w:vAlign w:val="center"/>
                </w:tcPr>
                <w:p w14:paraId="3BE72EAD">
                  <w:pPr>
                    <w:jc w:val="center"/>
                    <w:textAlignment w:val="center"/>
                    <w:rPr>
                      <w:rFonts w:hint="eastAsia" w:eastAsia="宋体"/>
                      <w:sz w:val="18"/>
                      <w:szCs w:val="18"/>
                      <w:highlight w:val="none"/>
                      <w:lang w:eastAsia="zh-CN"/>
                    </w:rPr>
                  </w:pPr>
                  <w:r>
                    <w:rPr>
                      <w:rFonts w:hint="eastAsia"/>
                      <w:sz w:val="18"/>
                      <w:szCs w:val="18"/>
                      <w:highlight w:val="none"/>
                      <w:lang w:val="en-US" w:eastAsia="zh-CN"/>
                    </w:rPr>
                    <w:t>8000</w:t>
                  </w:r>
                  <w:r>
                    <w:rPr>
                      <w:rFonts w:hint="eastAsia"/>
                      <w:sz w:val="18"/>
                      <w:szCs w:val="18"/>
                      <w:highlight w:val="none"/>
                    </w:rPr>
                    <w:t>m</w:t>
                  </w:r>
                  <w:r>
                    <w:rPr>
                      <w:rFonts w:hint="eastAsia"/>
                      <w:sz w:val="18"/>
                      <w:szCs w:val="18"/>
                      <w:highlight w:val="none"/>
                      <w:vertAlign w:val="superscript"/>
                    </w:rPr>
                    <w:t>3</w:t>
                  </w:r>
                  <w:r>
                    <w:rPr>
                      <w:rFonts w:hint="eastAsia"/>
                      <w:sz w:val="18"/>
                      <w:szCs w:val="18"/>
                      <w:highlight w:val="none"/>
                    </w:rPr>
                    <w:t>/</w:t>
                  </w:r>
                  <w:r>
                    <w:rPr>
                      <w:rFonts w:hint="eastAsia"/>
                      <w:sz w:val="18"/>
                      <w:szCs w:val="18"/>
                      <w:highlight w:val="none"/>
                      <w:lang w:val="en-US" w:eastAsia="zh-CN"/>
                    </w:rPr>
                    <w:t>h</w:t>
                  </w:r>
                </w:p>
              </w:tc>
              <w:tc>
                <w:tcPr>
                  <w:tcW w:w="580" w:type="dxa"/>
                  <w:vAlign w:val="center"/>
                </w:tcPr>
                <w:p w14:paraId="679CAFF9">
                  <w:pPr>
                    <w:jc w:val="center"/>
                    <w:textAlignment w:val="center"/>
                    <w:rPr>
                      <w:rFonts w:hint="default" w:eastAsia="宋体"/>
                      <w:sz w:val="18"/>
                      <w:szCs w:val="18"/>
                      <w:highlight w:val="none"/>
                      <w:lang w:val="en-US" w:eastAsia="zh-CN"/>
                    </w:rPr>
                  </w:pPr>
                  <w:r>
                    <w:rPr>
                      <w:rFonts w:hint="eastAsia"/>
                      <w:sz w:val="18"/>
                      <w:szCs w:val="18"/>
                      <w:highlight w:val="none"/>
                      <w:lang w:val="en-US" w:eastAsia="zh-CN"/>
                    </w:rPr>
                    <w:t>90</w:t>
                  </w:r>
                </w:p>
              </w:tc>
              <w:tc>
                <w:tcPr>
                  <w:tcW w:w="630" w:type="dxa"/>
                  <w:vAlign w:val="center"/>
                </w:tcPr>
                <w:p w14:paraId="3BB3B63A">
                  <w:pPr>
                    <w:jc w:val="center"/>
                    <w:textAlignment w:val="center"/>
                    <w:rPr>
                      <w:rFonts w:hint="default" w:eastAsia="宋体"/>
                      <w:sz w:val="18"/>
                      <w:szCs w:val="18"/>
                      <w:highlight w:val="none"/>
                      <w:lang w:val="en-US" w:eastAsia="zh-CN"/>
                    </w:rPr>
                  </w:pPr>
                  <w:r>
                    <w:rPr>
                      <w:rFonts w:hint="eastAsia"/>
                      <w:sz w:val="18"/>
                      <w:szCs w:val="18"/>
                      <w:highlight w:val="none"/>
                      <w:lang w:val="en-US" w:eastAsia="zh-CN"/>
                    </w:rPr>
                    <w:t>99</w:t>
                  </w:r>
                </w:p>
              </w:tc>
              <w:tc>
                <w:tcPr>
                  <w:tcW w:w="825" w:type="dxa"/>
                  <w:vAlign w:val="center"/>
                </w:tcPr>
                <w:p w14:paraId="4A568CCB">
                  <w:pPr>
                    <w:jc w:val="center"/>
                    <w:textAlignment w:val="center"/>
                    <w:rPr>
                      <w:sz w:val="18"/>
                      <w:szCs w:val="18"/>
                      <w:highlight w:val="none"/>
                    </w:rPr>
                  </w:pPr>
                  <w:r>
                    <w:rPr>
                      <w:rFonts w:hint="eastAsia"/>
                      <w:sz w:val="18"/>
                      <w:szCs w:val="18"/>
                      <w:highlight w:val="none"/>
                    </w:rPr>
                    <w:t>是</w:t>
                  </w:r>
                </w:p>
              </w:tc>
              <w:tc>
                <w:tcPr>
                  <w:tcW w:w="1065" w:type="dxa"/>
                  <w:vAlign w:val="center"/>
                </w:tcPr>
                <w:p w14:paraId="5C91F867">
                  <w:pPr>
                    <w:jc w:val="center"/>
                    <w:textAlignment w:val="center"/>
                    <w:rPr>
                      <w:rFonts w:hint="default" w:eastAsia="宋体"/>
                      <w:sz w:val="18"/>
                      <w:szCs w:val="18"/>
                      <w:highlight w:val="none"/>
                      <w:lang w:val="en-US" w:eastAsia="zh-CN"/>
                    </w:rPr>
                  </w:pPr>
                  <w:r>
                    <w:rPr>
                      <w:rFonts w:hint="eastAsia"/>
                      <w:sz w:val="18"/>
                      <w:szCs w:val="18"/>
                      <w:highlight w:val="none"/>
                      <w:lang w:val="en-US" w:eastAsia="zh-CN"/>
                    </w:rPr>
                    <w:t>5.6</w:t>
                  </w:r>
                </w:p>
              </w:tc>
              <w:tc>
                <w:tcPr>
                  <w:tcW w:w="810" w:type="dxa"/>
                  <w:vAlign w:val="center"/>
                </w:tcPr>
                <w:p w14:paraId="27381936">
                  <w:pPr>
                    <w:jc w:val="center"/>
                    <w:textAlignment w:val="center"/>
                    <w:rPr>
                      <w:rFonts w:hint="default" w:eastAsia="宋体"/>
                      <w:sz w:val="18"/>
                      <w:szCs w:val="18"/>
                      <w:highlight w:val="none"/>
                      <w:lang w:val="en-US" w:eastAsia="zh-CN"/>
                    </w:rPr>
                  </w:pPr>
                  <w:r>
                    <w:rPr>
                      <w:rFonts w:hint="eastAsia"/>
                      <w:sz w:val="18"/>
                      <w:szCs w:val="18"/>
                      <w:highlight w:val="none"/>
                      <w:lang w:val="en-US" w:eastAsia="zh-CN"/>
                    </w:rPr>
                    <w:t>0.045</w:t>
                  </w:r>
                </w:p>
              </w:tc>
              <w:tc>
                <w:tcPr>
                  <w:tcW w:w="810" w:type="dxa"/>
                  <w:vAlign w:val="center"/>
                </w:tcPr>
                <w:p w14:paraId="7EB4E437">
                  <w:pPr>
                    <w:jc w:val="center"/>
                    <w:textAlignment w:val="center"/>
                    <w:rPr>
                      <w:rFonts w:hint="default" w:eastAsia="宋体"/>
                      <w:sz w:val="18"/>
                      <w:szCs w:val="18"/>
                      <w:highlight w:val="none"/>
                      <w:lang w:val="en-US" w:eastAsia="zh-CN"/>
                    </w:rPr>
                  </w:pPr>
                  <w:r>
                    <w:rPr>
                      <w:rFonts w:hint="eastAsia"/>
                      <w:sz w:val="18"/>
                      <w:szCs w:val="18"/>
                      <w:highlight w:val="none"/>
                      <w:lang w:val="en-US" w:eastAsia="zh-CN"/>
                    </w:rPr>
                    <w:t>0.054</w:t>
                  </w:r>
                </w:p>
              </w:tc>
              <w:tc>
                <w:tcPr>
                  <w:tcW w:w="978" w:type="dxa"/>
                  <w:vAlign w:val="center"/>
                </w:tcPr>
                <w:p w14:paraId="34B24AF2">
                  <w:pPr>
                    <w:jc w:val="center"/>
                    <w:textAlignment w:val="center"/>
                    <w:rPr>
                      <w:rFonts w:hint="default" w:eastAsia="宋体"/>
                      <w:sz w:val="18"/>
                      <w:szCs w:val="18"/>
                      <w:lang w:val="en-US" w:eastAsia="zh-CN"/>
                    </w:rPr>
                  </w:pPr>
                  <w:r>
                    <w:rPr>
                      <w:rFonts w:hint="eastAsia"/>
                      <w:sz w:val="18"/>
                      <w:szCs w:val="18"/>
                      <w:lang w:val="en-US" w:eastAsia="zh-CN"/>
                    </w:rPr>
                    <w:t>20</w:t>
                  </w:r>
                </w:p>
              </w:tc>
              <w:tc>
                <w:tcPr>
                  <w:tcW w:w="705" w:type="dxa"/>
                  <w:tcMar>
                    <w:top w:w="15" w:type="dxa"/>
                    <w:left w:w="15" w:type="dxa"/>
                    <w:bottom w:w="15" w:type="dxa"/>
                    <w:right w:w="15" w:type="dxa"/>
                  </w:tcMar>
                  <w:vAlign w:val="center"/>
                </w:tcPr>
                <w:p w14:paraId="09B5E86A">
                  <w:pPr>
                    <w:jc w:val="center"/>
                    <w:textAlignment w:val="center"/>
                    <w:rPr>
                      <w:rFonts w:hint="eastAsia" w:eastAsia="宋体"/>
                      <w:sz w:val="18"/>
                      <w:szCs w:val="18"/>
                      <w:lang w:val="en-US" w:eastAsia="zh-CN"/>
                    </w:rPr>
                  </w:pPr>
                  <w:r>
                    <w:rPr>
                      <w:rFonts w:hint="eastAsia"/>
                      <w:sz w:val="18"/>
                      <w:szCs w:val="18"/>
                      <w:lang w:val="en-US" w:eastAsia="zh-CN"/>
                    </w:rPr>
                    <w:t>/</w:t>
                  </w:r>
                </w:p>
              </w:tc>
              <w:tc>
                <w:tcPr>
                  <w:tcW w:w="390" w:type="dxa"/>
                  <w:tcMar>
                    <w:top w:w="15" w:type="dxa"/>
                    <w:left w:w="15" w:type="dxa"/>
                    <w:bottom w:w="15" w:type="dxa"/>
                    <w:right w:w="15" w:type="dxa"/>
                  </w:tcMar>
                  <w:vAlign w:val="center"/>
                </w:tcPr>
                <w:p w14:paraId="3FB8C283">
                  <w:pPr>
                    <w:jc w:val="center"/>
                    <w:textAlignment w:val="center"/>
                    <w:rPr>
                      <w:rFonts w:hint="default"/>
                      <w:sz w:val="18"/>
                      <w:szCs w:val="18"/>
                      <w:lang w:val="en-US" w:eastAsia="zh-CN"/>
                    </w:rPr>
                  </w:pPr>
                  <w:r>
                    <w:rPr>
                      <w:rFonts w:hint="eastAsia"/>
                      <w:sz w:val="18"/>
                      <w:szCs w:val="18"/>
                      <w:lang w:val="en-US" w:eastAsia="zh-CN"/>
                    </w:rPr>
                    <w:t>1200h</w:t>
                  </w:r>
                </w:p>
              </w:tc>
            </w:tr>
            <w:tr w14:paraId="1C2E2897">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108" w:type="dxa"/>
                  <w:bottom w:w="0" w:type="dxa"/>
                  <w:right w:w="108" w:type="dxa"/>
                </w:tblCellMar>
              </w:tblPrEx>
              <w:trPr>
                <w:trHeight w:val="870" w:hRule="atLeast"/>
                <w:jc w:val="center"/>
              </w:trPr>
              <w:tc>
                <w:tcPr>
                  <w:tcW w:w="311" w:type="dxa"/>
                  <w:vMerge w:val="continue"/>
                  <w:tcMar>
                    <w:top w:w="15" w:type="dxa"/>
                    <w:left w:w="15" w:type="dxa"/>
                    <w:bottom w:w="15" w:type="dxa"/>
                    <w:right w:w="15" w:type="dxa"/>
                  </w:tcMar>
                  <w:vAlign w:val="center"/>
                </w:tcPr>
                <w:p w14:paraId="3EAB8BC0">
                  <w:pPr>
                    <w:jc w:val="center"/>
                    <w:textAlignment w:val="center"/>
                    <w:rPr>
                      <w:rFonts w:hint="eastAsia"/>
                      <w:sz w:val="18"/>
                      <w:szCs w:val="18"/>
                    </w:rPr>
                  </w:pPr>
                </w:p>
              </w:tc>
              <w:tc>
                <w:tcPr>
                  <w:tcW w:w="727" w:type="dxa"/>
                  <w:tcMar>
                    <w:top w:w="15" w:type="dxa"/>
                    <w:left w:w="15" w:type="dxa"/>
                    <w:bottom w:w="15" w:type="dxa"/>
                    <w:right w:w="15" w:type="dxa"/>
                  </w:tcMar>
                  <w:vAlign w:val="center"/>
                </w:tcPr>
                <w:p w14:paraId="1BAB6609">
                  <w:pPr>
                    <w:jc w:val="center"/>
                    <w:textAlignment w:val="center"/>
                    <w:rPr>
                      <w:rFonts w:hint="eastAsia" w:eastAsia="宋体"/>
                      <w:sz w:val="18"/>
                      <w:szCs w:val="18"/>
                      <w:lang w:eastAsia="zh-CN"/>
                    </w:rPr>
                  </w:pPr>
                  <w:r>
                    <w:rPr>
                      <w:rFonts w:hint="eastAsia"/>
                      <w:sz w:val="18"/>
                      <w:szCs w:val="18"/>
                      <w:lang w:eastAsia="zh-CN"/>
                    </w:rPr>
                    <w:t>挤出</w:t>
                  </w:r>
                </w:p>
              </w:tc>
              <w:tc>
                <w:tcPr>
                  <w:tcW w:w="530" w:type="dxa"/>
                  <w:tcMar>
                    <w:top w:w="15" w:type="dxa"/>
                    <w:left w:w="15" w:type="dxa"/>
                    <w:bottom w:w="15" w:type="dxa"/>
                    <w:right w:w="15" w:type="dxa"/>
                  </w:tcMar>
                  <w:vAlign w:val="center"/>
                </w:tcPr>
                <w:p w14:paraId="51D2A10C">
                  <w:pPr>
                    <w:jc w:val="center"/>
                    <w:textAlignment w:val="center"/>
                    <w:rPr>
                      <w:rFonts w:hint="eastAsia" w:eastAsia="宋体"/>
                      <w:sz w:val="18"/>
                      <w:szCs w:val="18"/>
                      <w:lang w:eastAsia="zh-CN"/>
                    </w:rPr>
                  </w:pPr>
                  <w:r>
                    <w:rPr>
                      <w:rFonts w:hint="eastAsia"/>
                      <w:sz w:val="18"/>
                      <w:szCs w:val="18"/>
                      <w:lang w:eastAsia="zh-CN"/>
                    </w:rPr>
                    <w:t>非甲烷总烃</w:t>
                  </w:r>
                </w:p>
              </w:tc>
              <w:tc>
                <w:tcPr>
                  <w:tcW w:w="750" w:type="dxa"/>
                  <w:tcMar>
                    <w:top w:w="15" w:type="dxa"/>
                    <w:left w:w="15" w:type="dxa"/>
                    <w:bottom w:w="15" w:type="dxa"/>
                    <w:right w:w="15" w:type="dxa"/>
                  </w:tcMar>
                  <w:vAlign w:val="center"/>
                </w:tcPr>
                <w:p w14:paraId="08EB8C91">
                  <w:pPr>
                    <w:jc w:val="center"/>
                    <w:textAlignment w:val="center"/>
                    <w:rPr>
                      <w:rFonts w:hint="default"/>
                      <w:sz w:val="18"/>
                      <w:szCs w:val="18"/>
                      <w:lang w:val="en-US" w:eastAsia="zh-CN"/>
                    </w:rPr>
                  </w:pPr>
                  <w:r>
                    <w:rPr>
                      <w:rFonts w:hint="eastAsia"/>
                      <w:sz w:val="18"/>
                      <w:szCs w:val="18"/>
                      <w:lang w:val="en-US" w:eastAsia="zh-CN"/>
                    </w:rPr>
                    <w:t>97.14</w:t>
                  </w:r>
                </w:p>
              </w:tc>
              <w:tc>
                <w:tcPr>
                  <w:tcW w:w="690" w:type="dxa"/>
                  <w:tcMar>
                    <w:top w:w="15" w:type="dxa"/>
                    <w:left w:w="15" w:type="dxa"/>
                    <w:bottom w:w="15" w:type="dxa"/>
                    <w:right w:w="15" w:type="dxa"/>
                  </w:tcMar>
                  <w:vAlign w:val="center"/>
                </w:tcPr>
                <w:p w14:paraId="06E0128A">
                  <w:pPr>
                    <w:jc w:val="center"/>
                    <w:textAlignment w:val="center"/>
                    <w:rPr>
                      <w:rFonts w:hint="default"/>
                      <w:sz w:val="18"/>
                      <w:szCs w:val="18"/>
                      <w:lang w:val="en-US" w:eastAsia="zh-CN"/>
                    </w:rPr>
                  </w:pPr>
                  <w:r>
                    <w:rPr>
                      <w:rFonts w:hint="eastAsia"/>
                      <w:sz w:val="18"/>
                      <w:szCs w:val="18"/>
                      <w:lang w:val="en-US" w:eastAsia="zh-CN"/>
                    </w:rPr>
                    <w:t>0.68</w:t>
                  </w:r>
                </w:p>
              </w:tc>
              <w:tc>
                <w:tcPr>
                  <w:tcW w:w="563" w:type="dxa"/>
                  <w:tcMar>
                    <w:top w:w="15" w:type="dxa"/>
                    <w:left w:w="15" w:type="dxa"/>
                    <w:bottom w:w="15" w:type="dxa"/>
                    <w:right w:w="15" w:type="dxa"/>
                  </w:tcMar>
                  <w:vAlign w:val="center"/>
                </w:tcPr>
                <w:p w14:paraId="4920F937">
                  <w:pPr>
                    <w:jc w:val="center"/>
                    <w:textAlignment w:val="center"/>
                    <w:rPr>
                      <w:rFonts w:hint="default"/>
                      <w:sz w:val="18"/>
                      <w:szCs w:val="18"/>
                      <w:lang w:val="en-US" w:eastAsia="zh-CN"/>
                    </w:rPr>
                  </w:pPr>
                  <w:r>
                    <w:rPr>
                      <w:rFonts w:hint="eastAsia"/>
                      <w:sz w:val="18"/>
                      <w:szCs w:val="18"/>
                      <w:lang w:val="en-US" w:eastAsia="zh-CN"/>
                    </w:rPr>
                    <w:t>1.35</w:t>
                  </w:r>
                </w:p>
              </w:tc>
              <w:tc>
                <w:tcPr>
                  <w:tcW w:w="557" w:type="dxa"/>
                  <w:tcMar>
                    <w:top w:w="15" w:type="dxa"/>
                    <w:left w:w="15" w:type="dxa"/>
                    <w:bottom w:w="15" w:type="dxa"/>
                    <w:right w:w="15" w:type="dxa"/>
                  </w:tcMar>
                  <w:vAlign w:val="center"/>
                </w:tcPr>
                <w:p w14:paraId="49081482">
                  <w:pPr>
                    <w:jc w:val="center"/>
                    <w:textAlignment w:val="center"/>
                    <w:rPr>
                      <w:sz w:val="18"/>
                      <w:szCs w:val="18"/>
                    </w:rPr>
                  </w:pPr>
                  <w:r>
                    <w:rPr>
                      <w:sz w:val="18"/>
                      <w:szCs w:val="18"/>
                    </w:rPr>
                    <w:t>有组织</w:t>
                  </w:r>
                </w:p>
              </w:tc>
              <w:tc>
                <w:tcPr>
                  <w:tcW w:w="571" w:type="dxa"/>
                  <w:tcMar>
                    <w:top w:w="15" w:type="dxa"/>
                    <w:left w:w="15" w:type="dxa"/>
                    <w:bottom w:w="15" w:type="dxa"/>
                    <w:right w:w="15" w:type="dxa"/>
                  </w:tcMar>
                  <w:vAlign w:val="center"/>
                </w:tcPr>
                <w:p w14:paraId="4A0D0FF1">
                  <w:pPr>
                    <w:jc w:val="center"/>
                    <w:rPr>
                      <w:sz w:val="18"/>
                      <w:szCs w:val="18"/>
                    </w:rPr>
                  </w:pPr>
                  <w:r>
                    <w:rPr>
                      <w:sz w:val="18"/>
                      <w:szCs w:val="18"/>
                    </w:rPr>
                    <w:t>DA00</w:t>
                  </w:r>
                  <w:r>
                    <w:rPr>
                      <w:rFonts w:hint="eastAsia"/>
                      <w:sz w:val="18"/>
                      <w:szCs w:val="18"/>
                      <w:lang w:val="en-US" w:eastAsia="zh-CN"/>
                    </w:rPr>
                    <w:t>2</w:t>
                  </w:r>
                </w:p>
              </w:tc>
              <w:tc>
                <w:tcPr>
                  <w:tcW w:w="829" w:type="dxa"/>
                  <w:tcMar>
                    <w:top w:w="15" w:type="dxa"/>
                    <w:left w:w="15" w:type="dxa"/>
                    <w:bottom w:w="15" w:type="dxa"/>
                    <w:right w:w="15" w:type="dxa"/>
                  </w:tcMar>
                  <w:vAlign w:val="center"/>
                </w:tcPr>
                <w:p w14:paraId="0908CD24">
                  <w:pPr>
                    <w:jc w:val="center"/>
                    <w:textAlignment w:val="center"/>
                    <w:rPr>
                      <w:rFonts w:hint="eastAsia"/>
                      <w:sz w:val="18"/>
                      <w:szCs w:val="18"/>
                    </w:rPr>
                  </w:pPr>
                  <w:r>
                    <w:rPr>
                      <w:rFonts w:hint="eastAsia"/>
                      <w:sz w:val="18"/>
                      <w:szCs w:val="18"/>
                      <w:lang w:eastAsia="zh-CN"/>
                    </w:rPr>
                    <w:t>水喷淋</w:t>
                  </w:r>
                  <w:r>
                    <w:rPr>
                      <w:rFonts w:hint="eastAsia"/>
                      <w:sz w:val="18"/>
                      <w:szCs w:val="18"/>
                      <w:lang w:val="en-US" w:eastAsia="zh-CN"/>
                    </w:rPr>
                    <w:t>+除雾除湿+</w:t>
                  </w:r>
                  <w:r>
                    <w:rPr>
                      <w:rFonts w:hint="eastAsia"/>
                      <w:sz w:val="18"/>
                      <w:szCs w:val="18"/>
                    </w:rPr>
                    <w:t>二级活性炭吸附</w:t>
                  </w:r>
                </w:p>
              </w:tc>
              <w:tc>
                <w:tcPr>
                  <w:tcW w:w="675" w:type="dxa"/>
                  <w:vAlign w:val="center"/>
                </w:tcPr>
                <w:p w14:paraId="0754EF28">
                  <w:pPr>
                    <w:jc w:val="center"/>
                    <w:textAlignment w:val="center"/>
                    <w:rPr>
                      <w:rFonts w:hint="default" w:eastAsia="宋体"/>
                      <w:sz w:val="18"/>
                      <w:szCs w:val="18"/>
                      <w:lang w:val="en-US" w:eastAsia="zh-CN"/>
                    </w:rPr>
                  </w:pPr>
                  <w:r>
                    <w:rPr>
                      <w:rFonts w:hint="eastAsia"/>
                      <w:color w:val="auto"/>
                      <w:sz w:val="18"/>
                      <w:szCs w:val="18"/>
                      <w:lang w:val="en-US" w:eastAsia="zh-CN"/>
                    </w:rPr>
                    <w:t>7000m</w:t>
                  </w:r>
                  <w:r>
                    <w:rPr>
                      <w:rFonts w:hint="eastAsia"/>
                      <w:color w:val="auto"/>
                      <w:sz w:val="18"/>
                      <w:szCs w:val="18"/>
                      <w:vertAlign w:val="superscript"/>
                      <w:lang w:val="en-US" w:eastAsia="zh-CN"/>
                    </w:rPr>
                    <w:t>3</w:t>
                  </w:r>
                  <w:r>
                    <w:rPr>
                      <w:rFonts w:hint="eastAsia"/>
                      <w:color w:val="auto"/>
                      <w:sz w:val="18"/>
                      <w:szCs w:val="18"/>
                      <w:lang w:val="en-US" w:eastAsia="zh-CN"/>
                    </w:rPr>
                    <w:t>/h</w:t>
                  </w:r>
                </w:p>
              </w:tc>
              <w:tc>
                <w:tcPr>
                  <w:tcW w:w="580" w:type="dxa"/>
                  <w:vAlign w:val="center"/>
                </w:tcPr>
                <w:p w14:paraId="6AA4F7D8">
                  <w:pPr>
                    <w:jc w:val="center"/>
                    <w:textAlignment w:val="center"/>
                    <w:rPr>
                      <w:rFonts w:hint="default" w:eastAsia="宋体"/>
                      <w:sz w:val="18"/>
                      <w:szCs w:val="18"/>
                      <w:lang w:val="en-US" w:eastAsia="zh-CN"/>
                    </w:rPr>
                  </w:pPr>
                  <w:r>
                    <w:rPr>
                      <w:rFonts w:hint="eastAsia"/>
                      <w:sz w:val="18"/>
                      <w:szCs w:val="18"/>
                      <w:lang w:val="en-US" w:eastAsia="zh-CN"/>
                    </w:rPr>
                    <w:t>90</w:t>
                  </w:r>
                </w:p>
              </w:tc>
              <w:tc>
                <w:tcPr>
                  <w:tcW w:w="630" w:type="dxa"/>
                  <w:vAlign w:val="center"/>
                </w:tcPr>
                <w:p w14:paraId="558AACEB">
                  <w:pPr>
                    <w:jc w:val="center"/>
                    <w:textAlignment w:val="center"/>
                    <w:rPr>
                      <w:rFonts w:hint="default" w:eastAsia="宋体"/>
                      <w:sz w:val="18"/>
                      <w:szCs w:val="18"/>
                      <w:lang w:val="en-US" w:eastAsia="zh-CN"/>
                    </w:rPr>
                  </w:pPr>
                  <w:r>
                    <w:rPr>
                      <w:rFonts w:hint="eastAsia"/>
                      <w:sz w:val="18"/>
                      <w:szCs w:val="18"/>
                      <w:lang w:val="en-US" w:eastAsia="zh-CN"/>
                    </w:rPr>
                    <w:t>90</w:t>
                  </w:r>
                </w:p>
              </w:tc>
              <w:tc>
                <w:tcPr>
                  <w:tcW w:w="825" w:type="dxa"/>
                  <w:vAlign w:val="center"/>
                </w:tcPr>
                <w:p w14:paraId="0662869B">
                  <w:pPr>
                    <w:jc w:val="center"/>
                    <w:textAlignment w:val="center"/>
                    <w:rPr>
                      <w:rFonts w:hint="eastAsia" w:eastAsia="宋体"/>
                      <w:sz w:val="18"/>
                      <w:szCs w:val="18"/>
                      <w:lang w:val="en-US" w:eastAsia="zh-CN"/>
                    </w:rPr>
                  </w:pPr>
                  <w:r>
                    <w:rPr>
                      <w:rFonts w:hint="eastAsia"/>
                      <w:sz w:val="18"/>
                      <w:szCs w:val="18"/>
                      <w:lang w:val="en-US" w:eastAsia="zh-CN"/>
                    </w:rPr>
                    <w:t>是</w:t>
                  </w:r>
                </w:p>
              </w:tc>
              <w:tc>
                <w:tcPr>
                  <w:tcW w:w="1065" w:type="dxa"/>
                  <w:vAlign w:val="center"/>
                </w:tcPr>
                <w:p w14:paraId="5356138E">
                  <w:pPr>
                    <w:jc w:val="center"/>
                    <w:textAlignment w:val="center"/>
                    <w:rPr>
                      <w:rFonts w:hint="default"/>
                      <w:sz w:val="18"/>
                      <w:szCs w:val="18"/>
                      <w:lang w:val="en-US" w:eastAsia="zh-CN"/>
                    </w:rPr>
                  </w:pPr>
                  <w:r>
                    <w:rPr>
                      <w:rFonts w:hint="eastAsia"/>
                      <w:sz w:val="18"/>
                      <w:szCs w:val="18"/>
                      <w:lang w:val="en-US" w:eastAsia="zh-CN"/>
                    </w:rPr>
                    <w:t>9.71</w:t>
                  </w:r>
                </w:p>
              </w:tc>
              <w:tc>
                <w:tcPr>
                  <w:tcW w:w="810" w:type="dxa"/>
                  <w:vAlign w:val="center"/>
                </w:tcPr>
                <w:p w14:paraId="3147F3DD">
                  <w:pPr>
                    <w:jc w:val="center"/>
                    <w:textAlignment w:val="center"/>
                    <w:rPr>
                      <w:rFonts w:hint="default"/>
                      <w:sz w:val="18"/>
                      <w:szCs w:val="18"/>
                      <w:lang w:val="en-US" w:eastAsia="zh-CN"/>
                    </w:rPr>
                  </w:pPr>
                  <w:r>
                    <w:rPr>
                      <w:rFonts w:hint="eastAsia"/>
                      <w:sz w:val="18"/>
                      <w:szCs w:val="18"/>
                      <w:lang w:val="en-US" w:eastAsia="zh-CN"/>
                    </w:rPr>
                    <w:t>0.068</w:t>
                  </w:r>
                </w:p>
              </w:tc>
              <w:tc>
                <w:tcPr>
                  <w:tcW w:w="810" w:type="dxa"/>
                  <w:vAlign w:val="center"/>
                </w:tcPr>
                <w:p w14:paraId="495DC678">
                  <w:pPr>
                    <w:jc w:val="center"/>
                    <w:textAlignment w:val="center"/>
                    <w:rPr>
                      <w:rFonts w:hint="default"/>
                      <w:sz w:val="18"/>
                      <w:szCs w:val="18"/>
                      <w:lang w:val="en-US" w:eastAsia="zh-CN"/>
                    </w:rPr>
                  </w:pPr>
                  <w:r>
                    <w:rPr>
                      <w:rFonts w:hint="eastAsia"/>
                      <w:sz w:val="18"/>
                      <w:szCs w:val="18"/>
                      <w:lang w:val="en-US" w:eastAsia="zh-CN"/>
                    </w:rPr>
                    <w:t>0.135</w:t>
                  </w:r>
                </w:p>
              </w:tc>
              <w:tc>
                <w:tcPr>
                  <w:tcW w:w="978" w:type="dxa"/>
                  <w:vAlign w:val="center"/>
                </w:tcPr>
                <w:p w14:paraId="05EFC2C3">
                  <w:pPr>
                    <w:jc w:val="center"/>
                    <w:textAlignment w:val="center"/>
                    <w:rPr>
                      <w:rFonts w:hint="default" w:eastAsia="宋体"/>
                      <w:sz w:val="18"/>
                      <w:szCs w:val="18"/>
                      <w:lang w:val="en-US" w:eastAsia="zh-CN"/>
                    </w:rPr>
                  </w:pPr>
                  <w:r>
                    <w:rPr>
                      <w:rFonts w:hint="eastAsia"/>
                      <w:sz w:val="18"/>
                      <w:szCs w:val="18"/>
                      <w:lang w:val="en-US" w:eastAsia="zh-CN"/>
                    </w:rPr>
                    <w:t>60</w:t>
                  </w:r>
                </w:p>
              </w:tc>
              <w:tc>
                <w:tcPr>
                  <w:tcW w:w="705" w:type="dxa"/>
                  <w:tcMar>
                    <w:top w:w="15" w:type="dxa"/>
                    <w:left w:w="15" w:type="dxa"/>
                    <w:bottom w:w="15" w:type="dxa"/>
                    <w:right w:w="15" w:type="dxa"/>
                  </w:tcMar>
                  <w:vAlign w:val="center"/>
                </w:tcPr>
                <w:p w14:paraId="2C0F71D1">
                  <w:pPr>
                    <w:jc w:val="center"/>
                    <w:textAlignment w:val="center"/>
                    <w:rPr>
                      <w:rFonts w:hint="eastAsia" w:eastAsia="宋体"/>
                      <w:sz w:val="18"/>
                      <w:szCs w:val="18"/>
                      <w:lang w:val="en-US" w:eastAsia="zh-CN"/>
                    </w:rPr>
                  </w:pPr>
                  <w:r>
                    <w:rPr>
                      <w:rFonts w:hint="eastAsia"/>
                      <w:sz w:val="18"/>
                      <w:szCs w:val="18"/>
                      <w:lang w:val="en-US" w:eastAsia="zh-CN"/>
                    </w:rPr>
                    <w:t>/</w:t>
                  </w:r>
                </w:p>
              </w:tc>
              <w:tc>
                <w:tcPr>
                  <w:tcW w:w="390" w:type="dxa"/>
                  <w:tcMar>
                    <w:top w:w="15" w:type="dxa"/>
                    <w:left w:w="15" w:type="dxa"/>
                    <w:bottom w:w="15" w:type="dxa"/>
                    <w:right w:w="15" w:type="dxa"/>
                  </w:tcMar>
                  <w:vAlign w:val="center"/>
                </w:tcPr>
                <w:p w14:paraId="3E46C0DE">
                  <w:pPr>
                    <w:jc w:val="center"/>
                    <w:textAlignment w:val="center"/>
                    <w:rPr>
                      <w:rFonts w:hint="default"/>
                      <w:sz w:val="18"/>
                      <w:szCs w:val="18"/>
                      <w:lang w:val="en-US" w:eastAsia="zh-CN"/>
                    </w:rPr>
                  </w:pPr>
                  <w:r>
                    <w:rPr>
                      <w:rFonts w:hint="eastAsia"/>
                      <w:sz w:val="18"/>
                      <w:szCs w:val="18"/>
                      <w:lang w:val="en-US" w:eastAsia="zh-CN"/>
                    </w:rPr>
                    <w:t>2000h</w:t>
                  </w:r>
                </w:p>
              </w:tc>
            </w:tr>
          </w:tbl>
          <w:p w14:paraId="1622D762">
            <w:pPr>
              <w:widowControl/>
              <w:spacing w:line="440" w:lineRule="exact"/>
              <w:ind w:firstLine="420" w:firstLineChars="200"/>
              <w:jc w:val="left"/>
            </w:pPr>
            <w:r>
              <w:rPr>
                <w:rFonts w:hint="eastAsia"/>
              </w:rPr>
              <w:t>根据江苏省生态环境厅文件苏环发</w:t>
            </w:r>
            <w:r>
              <w:rPr>
                <w:rFonts w:hint="eastAsia"/>
                <w:lang w:eastAsia="zh-CN"/>
              </w:rPr>
              <w:t>〔</w:t>
            </w:r>
            <w:r>
              <w:rPr>
                <w:rFonts w:hint="eastAsia"/>
              </w:rPr>
              <w:t>2021</w:t>
            </w:r>
            <w:r>
              <w:rPr>
                <w:rFonts w:hint="eastAsia"/>
                <w:lang w:eastAsia="zh-CN"/>
              </w:rPr>
              <w:t>〕</w:t>
            </w:r>
            <w:r>
              <w:rPr>
                <w:rFonts w:hint="eastAsia"/>
              </w:rPr>
              <w:t>3号文相关要求：单独排放口VOCs排放设计小时废气排放量1万立方米及以上的化工企业、3万立方米及以上的其他行业安装VOCs自动监测设备，因此本项目无需安装VOCs在线监测设备。</w:t>
            </w:r>
          </w:p>
          <w:p w14:paraId="19284406">
            <w:pPr>
              <w:widowControl/>
              <w:spacing w:line="440" w:lineRule="exact"/>
              <w:ind w:firstLine="420" w:firstLineChars="200"/>
              <w:jc w:val="left"/>
            </w:pPr>
            <w:r>
              <w:rPr>
                <w:rFonts w:hint="eastAsia"/>
              </w:rPr>
              <w:t>上表可见，本项目</w:t>
            </w:r>
            <w:r>
              <w:rPr>
                <w:rFonts w:hint="eastAsia"/>
                <w:lang w:eastAsia="zh-CN"/>
              </w:rPr>
              <w:t>配料、投料产生的废气经一根</w:t>
            </w:r>
            <w:r>
              <w:rPr>
                <w:rFonts w:hint="eastAsia"/>
                <w:lang w:val="en-US" w:eastAsia="zh-CN"/>
              </w:rPr>
              <w:t>15m高1#排气筒DA001排放，排放浓度满足《合成树脂工业污染物排放标准》（GB31572-2015）</w:t>
            </w:r>
            <w:r>
              <w:rPr>
                <w:rFonts w:hint="eastAsia"/>
              </w:rPr>
              <w:t>中排放限值要求</w:t>
            </w:r>
            <w:r>
              <w:rPr>
                <w:rFonts w:hint="eastAsia"/>
                <w:lang w:val="en-US" w:eastAsia="zh-CN"/>
              </w:rPr>
              <w:t>。挤出</w:t>
            </w:r>
            <w:r>
              <w:rPr>
                <w:rFonts w:hint="eastAsia"/>
              </w:rPr>
              <w:t>废气经</w:t>
            </w:r>
            <w:r>
              <w:rPr>
                <w:rFonts w:hint="eastAsia"/>
                <w:lang w:eastAsia="zh-CN"/>
              </w:rPr>
              <w:t>集气罩</w:t>
            </w:r>
            <w:r>
              <w:rPr>
                <w:rFonts w:hint="eastAsia"/>
              </w:rPr>
              <w:t>收集并采用水喷淋+除雾除湿+二级活性炭吸附处理后，</w:t>
            </w:r>
            <w:r>
              <w:rPr>
                <w:rFonts w:hint="eastAsia"/>
                <w:lang w:eastAsia="zh-CN"/>
              </w:rPr>
              <w:t>通过一根</w:t>
            </w:r>
            <w:r>
              <w:rPr>
                <w:rFonts w:hint="eastAsia"/>
                <w:lang w:val="en-US" w:eastAsia="zh-CN"/>
              </w:rPr>
              <w:t>15m高2#排气筒DA002排放，</w:t>
            </w:r>
            <w:r>
              <w:rPr>
                <w:rFonts w:hint="eastAsia"/>
                <w:lang w:eastAsia="zh-CN"/>
              </w:rPr>
              <w:t>满足</w:t>
            </w:r>
            <w:r>
              <w:rPr>
                <w:rFonts w:hint="eastAsia"/>
              </w:rPr>
              <w:t>《合成树脂工业污染物排放标准》（GB31572-2015）。项目有组织废气可以做到达标排放。</w:t>
            </w:r>
            <w:r>
              <w:t>项目无组织废气产生及排放情况如下。</w:t>
            </w:r>
          </w:p>
          <w:p w14:paraId="25F1B8BB">
            <w:pPr>
              <w:spacing w:line="440" w:lineRule="exact"/>
              <w:jc w:val="center"/>
              <w:rPr>
                <w:b/>
                <w:bCs/>
              </w:rPr>
            </w:pPr>
            <w:r>
              <w:rPr>
                <w:b/>
                <w:bCs/>
              </w:rPr>
              <w:t>表 4-</w:t>
            </w:r>
            <w:r>
              <w:rPr>
                <w:rFonts w:hint="eastAsia"/>
                <w:b/>
                <w:bCs/>
              </w:rPr>
              <w:t>2</w:t>
            </w:r>
            <w:r>
              <w:rPr>
                <w:b/>
                <w:bCs/>
              </w:rPr>
              <w:t xml:space="preserve"> 项目无组织废气产生及排放情况一览表</w:t>
            </w:r>
          </w:p>
          <w:tbl>
            <w:tblPr>
              <w:tblStyle w:val="16"/>
              <w:tblW w:w="127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348"/>
              <w:gridCol w:w="1843"/>
              <w:gridCol w:w="1387"/>
              <w:gridCol w:w="1841"/>
              <w:gridCol w:w="1098"/>
              <w:gridCol w:w="1549"/>
              <w:gridCol w:w="1350"/>
              <w:gridCol w:w="1350"/>
            </w:tblGrid>
            <w:tr w14:paraId="6BADD0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90" w:type="dxa"/>
                  <w:vAlign w:val="center"/>
                </w:tcPr>
                <w:p w14:paraId="608583D0">
                  <w:pPr>
                    <w:jc w:val="center"/>
                    <w:rPr>
                      <w:sz w:val="18"/>
                      <w:szCs w:val="18"/>
                    </w:rPr>
                  </w:pPr>
                  <w:r>
                    <w:rPr>
                      <w:sz w:val="18"/>
                      <w:szCs w:val="18"/>
                    </w:rPr>
                    <w:t>来源</w:t>
                  </w:r>
                </w:p>
              </w:tc>
              <w:tc>
                <w:tcPr>
                  <w:tcW w:w="1348" w:type="dxa"/>
                  <w:vAlign w:val="center"/>
                </w:tcPr>
                <w:p w14:paraId="0ACD82E7">
                  <w:pPr>
                    <w:jc w:val="center"/>
                    <w:rPr>
                      <w:sz w:val="18"/>
                      <w:szCs w:val="18"/>
                    </w:rPr>
                  </w:pPr>
                  <w:r>
                    <w:rPr>
                      <w:sz w:val="18"/>
                      <w:szCs w:val="18"/>
                    </w:rPr>
                    <w:t>污染物名称</w:t>
                  </w:r>
                </w:p>
              </w:tc>
              <w:tc>
                <w:tcPr>
                  <w:tcW w:w="1843" w:type="dxa"/>
                  <w:vAlign w:val="center"/>
                </w:tcPr>
                <w:p w14:paraId="31FCC7C8">
                  <w:pPr>
                    <w:jc w:val="center"/>
                    <w:rPr>
                      <w:sz w:val="18"/>
                      <w:szCs w:val="18"/>
                    </w:rPr>
                  </w:pPr>
                  <w:r>
                    <w:rPr>
                      <w:sz w:val="18"/>
                      <w:szCs w:val="18"/>
                    </w:rPr>
                    <w:t>产生速率kg/h</w:t>
                  </w:r>
                </w:p>
              </w:tc>
              <w:tc>
                <w:tcPr>
                  <w:tcW w:w="1387" w:type="dxa"/>
                  <w:vAlign w:val="center"/>
                </w:tcPr>
                <w:p w14:paraId="01D8C24E">
                  <w:pPr>
                    <w:jc w:val="center"/>
                    <w:rPr>
                      <w:sz w:val="18"/>
                      <w:szCs w:val="18"/>
                    </w:rPr>
                  </w:pPr>
                  <w:r>
                    <w:rPr>
                      <w:sz w:val="18"/>
                      <w:szCs w:val="18"/>
                    </w:rPr>
                    <w:t>产生量t/a</w:t>
                  </w:r>
                </w:p>
              </w:tc>
              <w:tc>
                <w:tcPr>
                  <w:tcW w:w="1841" w:type="dxa"/>
                  <w:vAlign w:val="center"/>
                </w:tcPr>
                <w:p w14:paraId="42AED69B">
                  <w:pPr>
                    <w:jc w:val="center"/>
                    <w:rPr>
                      <w:sz w:val="18"/>
                      <w:szCs w:val="18"/>
                    </w:rPr>
                  </w:pPr>
                  <w:r>
                    <w:rPr>
                      <w:sz w:val="18"/>
                      <w:szCs w:val="18"/>
                    </w:rPr>
                    <w:t>排放速率kg/h</w:t>
                  </w:r>
                </w:p>
              </w:tc>
              <w:tc>
                <w:tcPr>
                  <w:tcW w:w="1098" w:type="dxa"/>
                  <w:vAlign w:val="center"/>
                </w:tcPr>
                <w:p w14:paraId="40399A42">
                  <w:pPr>
                    <w:jc w:val="center"/>
                    <w:rPr>
                      <w:sz w:val="18"/>
                      <w:szCs w:val="18"/>
                    </w:rPr>
                  </w:pPr>
                  <w:r>
                    <w:rPr>
                      <w:sz w:val="18"/>
                      <w:szCs w:val="18"/>
                    </w:rPr>
                    <w:t>排放量t/a</w:t>
                  </w:r>
                </w:p>
              </w:tc>
              <w:tc>
                <w:tcPr>
                  <w:tcW w:w="1549" w:type="dxa"/>
                  <w:vAlign w:val="center"/>
                </w:tcPr>
                <w:p w14:paraId="4905C037">
                  <w:pPr>
                    <w:jc w:val="center"/>
                    <w:rPr>
                      <w:sz w:val="18"/>
                      <w:szCs w:val="18"/>
                    </w:rPr>
                  </w:pPr>
                  <w:r>
                    <w:rPr>
                      <w:sz w:val="18"/>
                      <w:szCs w:val="18"/>
                    </w:rPr>
                    <w:t>面源面积m</w:t>
                  </w:r>
                  <w:r>
                    <w:rPr>
                      <w:sz w:val="18"/>
                      <w:szCs w:val="18"/>
                      <w:vertAlign w:val="superscript"/>
                    </w:rPr>
                    <w:t>2</w:t>
                  </w:r>
                </w:p>
              </w:tc>
              <w:tc>
                <w:tcPr>
                  <w:tcW w:w="1350" w:type="dxa"/>
                  <w:vAlign w:val="center"/>
                </w:tcPr>
                <w:p w14:paraId="70F5988E">
                  <w:pPr>
                    <w:jc w:val="center"/>
                    <w:rPr>
                      <w:sz w:val="18"/>
                      <w:szCs w:val="18"/>
                    </w:rPr>
                  </w:pPr>
                  <w:r>
                    <w:rPr>
                      <w:sz w:val="18"/>
                      <w:szCs w:val="18"/>
                    </w:rPr>
                    <w:t>面源高度m</w:t>
                  </w:r>
                </w:p>
              </w:tc>
              <w:tc>
                <w:tcPr>
                  <w:tcW w:w="1350" w:type="dxa"/>
                  <w:vAlign w:val="center"/>
                </w:tcPr>
                <w:p w14:paraId="1216F269">
                  <w:pPr>
                    <w:jc w:val="center"/>
                    <w:rPr>
                      <w:rFonts w:hint="eastAsia" w:eastAsia="宋体"/>
                      <w:sz w:val="18"/>
                      <w:szCs w:val="18"/>
                      <w:lang w:eastAsia="zh-CN"/>
                    </w:rPr>
                  </w:pPr>
                  <w:r>
                    <w:rPr>
                      <w:rFonts w:hint="eastAsia"/>
                      <w:sz w:val="18"/>
                      <w:szCs w:val="18"/>
                      <w:lang w:eastAsia="zh-CN"/>
                    </w:rPr>
                    <w:t>工作时间</w:t>
                  </w:r>
                </w:p>
              </w:tc>
            </w:tr>
            <w:tr w14:paraId="704AD5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0" w:type="dxa"/>
                  <w:vMerge w:val="restart"/>
                  <w:vAlign w:val="center"/>
                </w:tcPr>
                <w:p w14:paraId="695A5A4D">
                  <w:pPr>
                    <w:jc w:val="center"/>
                    <w:rPr>
                      <w:sz w:val="18"/>
                      <w:szCs w:val="18"/>
                    </w:rPr>
                  </w:pPr>
                  <w:r>
                    <w:rPr>
                      <w:rFonts w:hint="eastAsia"/>
                      <w:sz w:val="18"/>
                      <w:szCs w:val="18"/>
                      <w:lang w:eastAsia="zh-CN"/>
                    </w:rPr>
                    <w:t>生产</w:t>
                  </w:r>
                  <w:r>
                    <w:rPr>
                      <w:sz w:val="18"/>
                      <w:szCs w:val="18"/>
                    </w:rPr>
                    <w:t>车间</w:t>
                  </w:r>
                </w:p>
              </w:tc>
              <w:tc>
                <w:tcPr>
                  <w:tcW w:w="1348" w:type="dxa"/>
                  <w:vAlign w:val="center"/>
                </w:tcPr>
                <w:p w14:paraId="320409CF">
                  <w:pPr>
                    <w:jc w:val="center"/>
                    <w:textAlignment w:val="center"/>
                    <w:rPr>
                      <w:rFonts w:hint="eastAsia" w:eastAsia="宋体"/>
                      <w:sz w:val="18"/>
                      <w:szCs w:val="18"/>
                      <w:lang w:eastAsia="zh-CN"/>
                    </w:rPr>
                  </w:pPr>
                  <w:r>
                    <w:rPr>
                      <w:rFonts w:hint="eastAsia"/>
                      <w:sz w:val="18"/>
                      <w:szCs w:val="18"/>
                      <w:lang w:eastAsia="zh-CN"/>
                    </w:rPr>
                    <w:t>颗粒物</w:t>
                  </w:r>
                </w:p>
              </w:tc>
              <w:tc>
                <w:tcPr>
                  <w:tcW w:w="1843" w:type="dxa"/>
                  <w:vAlign w:val="center"/>
                </w:tcPr>
                <w:p w14:paraId="60E49B35">
                  <w:pPr>
                    <w:jc w:val="center"/>
                    <w:rPr>
                      <w:rFonts w:hint="default" w:eastAsia="宋体"/>
                      <w:sz w:val="18"/>
                      <w:szCs w:val="18"/>
                      <w:lang w:val="en-US" w:eastAsia="zh-CN"/>
                    </w:rPr>
                  </w:pPr>
                  <w:r>
                    <w:rPr>
                      <w:rFonts w:hint="eastAsia"/>
                      <w:sz w:val="18"/>
                      <w:szCs w:val="18"/>
                      <w:lang w:val="en-US" w:eastAsia="zh-CN"/>
                    </w:rPr>
                    <w:t>0.5</w:t>
                  </w:r>
                </w:p>
              </w:tc>
              <w:tc>
                <w:tcPr>
                  <w:tcW w:w="1387" w:type="dxa"/>
                  <w:vAlign w:val="center"/>
                </w:tcPr>
                <w:p w14:paraId="24B84EB5">
                  <w:pPr>
                    <w:jc w:val="center"/>
                    <w:rPr>
                      <w:rFonts w:hint="default" w:eastAsia="宋体"/>
                      <w:sz w:val="18"/>
                      <w:szCs w:val="18"/>
                      <w:lang w:val="en-US" w:eastAsia="zh-CN"/>
                    </w:rPr>
                  </w:pPr>
                  <w:r>
                    <w:rPr>
                      <w:rFonts w:hint="eastAsia"/>
                      <w:sz w:val="18"/>
                      <w:szCs w:val="18"/>
                      <w:lang w:val="en-US" w:eastAsia="zh-CN"/>
                    </w:rPr>
                    <w:t>0.6</w:t>
                  </w:r>
                </w:p>
              </w:tc>
              <w:tc>
                <w:tcPr>
                  <w:tcW w:w="1841" w:type="dxa"/>
                  <w:vAlign w:val="center"/>
                </w:tcPr>
                <w:p w14:paraId="3EF09D4E">
                  <w:pPr>
                    <w:jc w:val="center"/>
                    <w:rPr>
                      <w:rFonts w:hint="default" w:eastAsia="宋体"/>
                      <w:sz w:val="18"/>
                      <w:szCs w:val="18"/>
                      <w:lang w:val="en-US" w:eastAsia="zh-CN"/>
                    </w:rPr>
                  </w:pPr>
                  <w:r>
                    <w:rPr>
                      <w:rFonts w:hint="eastAsia"/>
                      <w:sz w:val="18"/>
                      <w:szCs w:val="18"/>
                      <w:lang w:val="en-US" w:eastAsia="zh-CN"/>
                    </w:rPr>
                    <w:t>0.5</w:t>
                  </w:r>
                </w:p>
              </w:tc>
              <w:tc>
                <w:tcPr>
                  <w:tcW w:w="1098" w:type="dxa"/>
                  <w:vAlign w:val="center"/>
                </w:tcPr>
                <w:p w14:paraId="71071AB7">
                  <w:pPr>
                    <w:jc w:val="center"/>
                    <w:rPr>
                      <w:rFonts w:hint="default" w:eastAsia="宋体"/>
                      <w:sz w:val="18"/>
                      <w:szCs w:val="18"/>
                      <w:lang w:val="en-US" w:eastAsia="zh-CN"/>
                    </w:rPr>
                  </w:pPr>
                  <w:r>
                    <w:rPr>
                      <w:rFonts w:hint="eastAsia"/>
                      <w:sz w:val="18"/>
                      <w:szCs w:val="18"/>
                      <w:lang w:val="en-US" w:eastAsia="zh-CN"/>
                    </w:rPr>
                    <w:t>0.6</w:t>
                  </w:r>
                </w:p>
              </w:tc>
              <w:tc>
                <w:tcPr>
                  <w:tcW w:w="1549" w:type="dxa"/>
                  <w:vAlign w:val="center"/>
                </w:tcPr>
                <w:p w14:paraId="0BB95804">
                  <w:pPr>
                    <w:jc w:val="center"/>
                    <w:rPr>
                      <w:color w:val="auto"/>
                      <w:sz w:val="18"/>
                      <w:szCs w:val="18"/>
                    </w:rPr>
                  </w:pPr>
                  <w:r>
                    <w:rPr>
                      <w:rFonts w:hint="eastAsia"/>
                      <w:color w:val="auto"/>
                      <w:sz w:val="18"/>
                      <w:szCs w:val="21"/>
                      <w:lang w:val="en-US" w:eastAsia="zh-CN"/>
                    </w:rPr>
                    <w:t>17</w:t>
                  </w:r>
                  <w:r>
                    <w:rPr>
                      <w:rFonts w:hint="eastAsia"/>
                      <w:color w:val="auto"/>
                      <w:sz w:val="18"/>
                      <w:szCs w:val="21"/>
                    </w:rPr>
                    <w:t>00</w:t>
                  </w:r>
                </w:p>
              </w:tc>
              <w:tc>
                <w:tcPr>
                  <w:tcW w:w="1350" w:type="dxa"/>
                  <w:vAlign w:val="center"/>
                </w:tcPr>
                <w:p w14:paraId="7F2CF4A6">
                  <w:pPr>
                    <w:jc w:val="center"/>
                    <w:rPr>
                      <w:rFonts w:hint="default" w:eastAsia="宋体"/>
                      <w:color w:val="auto"/>
                      <w:sz w:val="18"/>
                      <w:szCs w:val="18"/>
                      <w:lang w:val="en-US" w:eastAsia="zh-CN"/>
                    </w:rPr>
                  </w:pPr>
                  <w:r>
                    <w:rPr>
                      <w:rFonts w:hint="eastAsia"/>
                      <w:color w:val="auto"/>
                      <w:sz w:val="18"/>
                      <w:szCs w:val="18"/>
                      <w:lang w:val="en-US" w:eastAsia="zh-CN"/>
                    </w:rPr>
                    <w:t>11</w:t>
                  </w:r>
                </w:p>
              </w:tc>
              <w:tc>
                <w:tcPr>
                  <w:tcW w:w="1350" w:type="dxa"/>
                  <w:vAlign w:val="center"/>
                </w:tcPr>
                <w:p w14:paraId="14E7A13D">
                  <w:pPr>
                    <w:jc w:val="center"/>
                    <w:rPr>
                      <w:rFonts w:hint="default"/>
                      <w:sz w:val="18"/>
                      <w:szCs w:val="18"/>
                      <w:lang w:val="en-US" w:eastAsia="zh-CN"/>
                    </w:rPr>
                  </w:pPr>
                  <w:r>
                    <w:rPr>
                      <w:rFonts w:hint="eastAsia" w:cs="Times New Roman"/>
                      <w:sz w:val="18"/>
                      <w:szCs w:val="18"/>
                      <w:lang w:val="en-US" w:eastAsia="zh-CN"/>
                    </w:rPr>
                    <w:t>12</w:t>
                  </w:r>
                  <w:r>
                    <w:rPr>
                      <w:rFonts w:hint="default" w:ascii="Times New Roman" w:hAnsi="Times New Roman" w:cs="Times New Roman"/>
                      <w:sz w:val="18"/>
                      <w:szCs w:val="18"/>
                      <w:lang w:val="en-US" w:eastAsia="zh-CN"/>
                    </w:rPr>
                    <w:t>00h</w:t>
                  </w:r>
                </w:p>
              </w:tc>
            </w:tr>
            <w:tr w14:paraId="49B2A1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0" w:type="dxa"/>
                  <w:vMerge w:val="continue"/>
                  <w:vAlign w:val="center"/>
                </w:tcPr>
                <w:p w14:paraId="2C8FBC59">
                  <w:pPr>
                    <w:jc w:val="center"/>
                    <w:rPr>
                      <w:rFonts w:hint="eastAsia"/>
                      <w:sz w:val="18"/>
                      <w:szCs w:val="18"/>
                      <w:lang w:eastAsia="zh-CN"/>
                    </w:rPr>
                  </w:pPr>
                </w:p>
              </w:tc>
              <w:tc>
                <w:tcPr>
                  <w:tcW w:w="1348" w:type="dxa"/>
                  <w:vAlign w:val="center"/>
                </w:tcPr>
                <w:p w14:paraId="5FB53D1E">
                  <w:pPr>
                    <w:jc w:val="center"/>
                    <w:textAlignment w:val="center"/>
                    <w:rPr>
                      <w:rFonts w:hint="eastAsia"/>
                      <w:sz w:val="18"/>
                      <w:szCs w:val="18"/>
                    </w:rPr>
                  </w:pPr>
                  <w:r>
                    <w:rPr>
                      <w:rFonts w:hint="eastAsia"/>
                      <w:sz w:val="18"/>
                      <w:szCs w:val="18"/>
                    </w:rPr>
                    <w:t>非甲烷总烃</w:t>
                  </w:r>
                </w:p>
              </w:tc>
              <w:tc>
                <w:tcPr>
                  <w:tcW w:w="1843" w:type="dxa"/>
                  <w:vAlign w:val="center"/>
                </w:tcPr>
                <w:p w14:paraId="166EFBA2">
                  <w:pPr>
                    <w:jc w:val="center"/>
                    <w:rPr>
                      <w:rFonts w:hint="default"/>
                      <w:sz w:val="18"/>
                      <w:szCs w:val="18"/>
                      <w:lang w:val="en-US" w:eastAsia="zh-CN"/>
                    </w:rPr>
                  </w:pPr>
                  <w:r>
                    <w:rPr>
                      <w:rFonts w:hint="eastAsia"/>
                      <w:sz w:val="18"/>
                      <w:szCs w:val="18"/>
                      <w:lang w:val="en-US" w:eastAsia="zh-CN"/>
                    </w:rPr>
                    <w:t>0.075</w:t>
                  </w:r>
                </w:p>
              </w:tc>
              <w:tc>
                <w:tcPr>
                  <w:tcW w:w="1387" w:type="dxa"/>
                  <w:vAlign w:val="center"/>
                </w:tcPr>
                <w:p w14:paraId="22C92A9A">
                  <w:pPr>
                    <w:jc w:val="center"/>
                    <w:rPr>
                      <w:rFonts w:hint="default"/>
                      <w:sz w:val="18"/>
                      <w:szCs w:val="18"/>
                      <w:lang w:val="en-US" w:eastAsia="zh-CN"/>
                    </w:rPr>
                  </w:pPr>
                  <w:r>
                    <w:rPr>
                      <w:rFonts w:hint="eastAsia"/>
                      <w:sz w:val="18"/>
                      <w:szCs w:val="18"/>
                      <w:lang w:val="en-US" w:eastAsia="zh-CN"/>
                    </w:rPr>
                    <w:t>0.15</w:t>
                  </w:r>
                </w:p>
              </w:tc>
              <w:tc>
                <w:tcPr>
                  <w:tcW w:w="1841" w:type="dxa"/>
                  <w:vAlign w:val="center"/>
                </w:tcPr>
                <w:p w14:paraId="68F87994">
                  <w:pPr>
                    <w:jc w:val="center"/>
                    <w:rPr>
                      <w:rFonts w:hint="eastAsia"/>
                      <w:sz w:val="18"/>
                      <w:szCs w:val="18"/>
                      <w:lang w:val="en-US" w:eastAsia="zh-CN"/>
                    </w:rPr>
                  </w:pPr>
                  <w:r>
                    <w:rPr>
                      <w:rFonts w:hint="eastAsia"/>
                      <w:sz w:val="18"/>
                      <w:szCs w:val="18"/>
                      <w:lang w:val="en-US" w:eastAsia="zh-CN"/>
                    </w:rPr>
                    <w:t>0.075</w:t>
                  </w:r>
                </w:p>
              </w:tc>
              <w:tc>
                <w:tcPr>
                  <w:tcW w:w="1098" w:type="dxa"/>
                  <w:vAlign w:val="center"/>
                </w:tcPr>
                <w:p w14:paraId="34F70E4D">
                  <w:pPr>
                    <w:jc w:val="center"/>
                    <w:rPr>
                      <w:rFonts w:hint="eastAsia"/>
                      <w:sz w:val="18"/>
                      <w:szCs w:val="18"/>
                      <w:lang w:val="en-US" w:eastAsia="zh-CN"/>
                    </w:rPr>
                  </w:pPr>
                  <w:r>
                    <w:rPr>
                      <w:rFonts w:hint="eastAsia"/>
                      <w:sz w:val="18"/>
                      <w:szCs w:val="18"/>
                      <w:lang w:val="en-US" w:eastAsia="zh-CN"/>
                    </w:rPr>
                    <w:t>0.15</w:t>
                  </w:r>
                </w:p>
              </w:tc>
              <w:tc>
                <w:tcPr>
                  <w:tcW w:w="1549" w:type="dxa"/>
                  <w:vAlign w:val="center"/>
                </w:tcPr>
                <w:p w14:paraId="3B4D540E">
                  <w:pPr>
                    <w:jc w:val="center"/>
                    <w:rPr>
                      <w:rFonts w:hint="default"/>
                      <w:color w:val="auto"/>
                      <w:sz w:val="18"/>
                      <w:szCs w:val="21"/>
                      <w:lang w:val="en-US" w:eastAsia="zh-CN"/>
                    </w:rPr>
                  </w:pPr>
                  <w:r>
                    <w:rPr>
                      <w:rFonts w:hint="eastAsia"/>
                      <w:color w:val="auto"/>
                      <w:sz w:val="18"/>
                      <w:szCs w:val="21"/>
                      <w:lang w:val="en-US" w:eastAsia="zh-CN"/>
                    </w:rPr>
                    <w:t>1000</w:t>
                  </w:r>
                </w:p>
              </w:tc>
              <w:tc>
                <w:tcPr>
                  <w:tcW w:w="1350" w:type="dxa"/>
                  <w:vAlign w:val="center"/>
                </w:tcPr>
                <w:p w14:paraId="6B1C074A">
                  <w:pPr>
                    <w:jc w:val="center"/>
                    <w:rPr>
                      <w:rFonts w:hint="default"/>
                      <w:color w:val="auto"/>
                      <w:sz w:val="18"/>
                      <w:szCs w:val="18"/>
                      <w:lang w:val="en-US" w:eastAsia="zh-CN"/>
                    </w:rPr>
                  </w:pPr>
                  <w:r>
                    <w:rPr>
                      <w:rFonts w:hint="eastAsia"/>
                      <w:color w:val="auto"/>
                      <w:sz w:val="18"/>
                      <w:szCs w:val="18"/>
                      <w:lang w:val="en-US" w:eastAsia="zh-CN"/>
                    </w:rPr>
                    <w:t>11</w:t>
                  </w:r>
                </w:p>
              </w:tc>
              <w:tc>
                <w:tcPr>
                  <w:tcW w:w="1350" w:type="dxa"/>
                  <w:vAlign w:val="center"/>
                </w:tcPr>
                <w:p w14:paraId="2566574C">
                  <w:pPr>
                    <w:jc w:val="center"/>
                    <w:rPr>
                      <w:rFonts w:hint="default" w:ascii="Times New Roman" w:hAnsi="Times New Roman" w:cs="Times New Roman"/>
                      <w:sz w:val="18"/>
                      <w:szCs w:val="18"/>
                      <w:lang w:val="en-US" w:eastAsia="zh-CN"/>
                    </w:rPr>
                  </w:pPr>
                  <w:r>
                    <w:rPr>
                      <w:rFonts w:hint="eastAsia" w:cs="Times New Roman"/>
                      <w:sz w:val="18"/>
                      <w:szCs w:val="18"/>
                      <w:lang w:val="en-US" w:eastAsia="zh-CN"/>
                    </w:rPr>
                    <w:t>2000h</w:t>
                  </w:r>
                </w:p>
              </w:tc>
            </w:tr>
          </w:tbl>
          <w:p w14:paraId="207554F9"/>
        </w:tc>
      </w:tr>
    </w:tbl>
    <w:p w14:paraId="136A092F">
      <w:pPr>
        <w:sectPr>
          <w:pgSz w:w="16838" w:h="11906" w:orient="landscape"/>
          <w:pgMar w:top="1588" w:right="1531" w:bottom="1588" w:left="1531" w:header="851" w:footer="794"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24"/>
      </w:tblGrid>
      <w:tr w14:paraId="3DB54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46" w:hRule="atLeast"/>
          <w:jc w:val="center"/>
        </w:trPr>
        <w:tc>
          <w:tcPr>
            <w:tcW w:w="746" w:type="dxa"/>
            <w:tcMar>
              <w:left w:w="28" w:type="dxa"/>
              <w:right w:w="28" w:type="dxa"/>
            </w:tcMar>
            <w:vAlign w:val="center"/>
          </w:tcPr>
          <w:p w14:paraId="784FA6B0">
            <w:pPr>
              <w:adjustRightInd w:val="0"/>
              <w:snapToGrid w:val="0"/>
              <w:jc w:val="center"/>
              <w:rPr>
                <w:rFonts w:ascii="宋体" w:hAnsi="宋体" w:cs="宋体"/>
                <w:bCs/>
                <w:color w:val="auto"/>
                <w:szCs w:val="21"/>
              </w:rPr>
            </w:pPr>
            <w:r>
              <w:rPr>
                <w:rFonts w:hint="eastAsia" w:ascii="宋体" w:hAnsi="宋体" w:cs="宋体"/>
                <w:bCs/>
                <w:color w:val="auto"/>
                <w:szCs w:val="21"/>
              </w:rPr>
              <w:t>运营</w:t>
            </w:r>
          </w:p>
          <w:p w14:paraId="44CB5E24">
            <w:pPr>
              <w:adjustRightInd w:val="0"/>
              <w:snapToGrid w:val="0"/>
              <w:jc w:val="center"/>
              <w:rPr>
                <w:rFonts w:ascii="宋体" w:hAnsi="宋体" w:cs="宋体"/>
                <w:bCs/>
                <w:color w:val="auto"/>
                <w:szCs w:val="21"/>
              </w:rPr>
            </w:pPr>
            <w:r>
              <w:rPr>
                <w:rFonts w:hint="eastAsia" w:ascii="宋体" w:hAnsi="宋体" w:cs="宋体"/>
                <w:bCs/>
                <w:color w:val="auto"/>
                <w:szCs w:val="21"/>
              </w:rPr>
              <w:t>期环</w:t>
            </w:r>
          </w:p>
          <w:p w14:paraId="783447A3">
            <w:pPr>
              <w:adjustRightInd w:val="0"/>
              <w:snapToGrid w:val="0"/>
              <w:jc w:val="center"/>
              <w:rPr>
                <w:rFonts w:ascii="宋体" w:hAnsi="宋体" w:cs="宋体"/>
                <w:bCs/>
                <w:color w:val="auto"/>
                <w:szCs w:val="21"/>
              </w:rPr>
            </w:pPr>
            <w:r>
              <w:rPr>
                <w:rFonts w:hint="eastAsia" w:ascii="宋体" w:hAnsi="宋体" w:cs="宋体"/>
                <w:bCs/>
                <w:color w:val="auto"/>
                <w:szCs w:val="21"/>
              </w:rPr>
              <w:t>境影</w:t>
            </w:r>
          </w:p>
          <w:p w14:paraId="3F86B656">
            <w:pPr>
              <w:adjustRightInd w:val="0"/>
              <w:snapToGrid w:val="0"/>
              <w:jc w:val="center"/>
              <w:rPr>
                <w:rFonts w:ascii="宋体" w:hAnsi="宋体" w:cs="宋体"/>
                <w:bCs/>
                <w:color w:val="auto"/>
                <w:szCs w:val="21"/>
              </w:rPr>
            </w:pPr>
            <w:r>
              <w:rPr>
                <w:rFonts w:hint="eastAsia" w:ascii="宋体" w:hAnsi="宋体" w:cs="宋体"/>
                <w:bCs/>
                <w:color w:val="auto"/>
                <w:szCs w:val="21"/>
              </w:rPr>
              <w:t>响和</w:t>
            </w:r>
          </w:p>
          <w:p w14:paraId="0501981B">
            <w:pPr>
              <w:adjustRightInd w:val="0"/>
              <w:snapToGrid w:val="0"/>
              <w:jc w:val="center"/>
              <w:rPr>
                <w:rFonts w:ascii="宋体" w:hAnsi="宋体" w:cs="宋体"/>
                <w:bCs/>
                <w:color w:val="auto"/>
                <w:szCs w:val="21"/>
              </w:rPr>
            </w:pPr>
            <w:r>
              <w:rPr>
                <w:rFonts w:hint="eastAsia" w:ascii="宋体" w:hAnsi="宋体" w:cs="宋体"/>
                <w:bCs/>
                <w:color w:val="auto"/>
                <w:szCs w:val="21"/>
              </w:rPr>
              <w:t>保护</w:t>
            </w:r>
          </w:p>
          <w:p w14:paraId="029E56DC">
            <w:pPr>
              <w:adjustRightInd w:val="0"/>
              <w:snapToGrid w:val="0"/>
              <w:jc w:val="center"/>
              <w:rPr>
                <w:rFonts w:ascii="宋体" w:hAnsi="宋体" w:cs="宋体"/>
                <w:bCs/>
                <w:color w:val="auto"/>
                <w:szCs w:val="21"/>
              </w:rPr>
            </w:pPr>
            <w:r>
              <w:rPr>
                <w:rFonts w:hint="eastAsia" w:ascii="宋体" w:hAnsi="宋体" w:cs="宋体"/>
                <w:bCs/>
                <w:color w:val="auto"/>
                <w:szCs w:val="21"/>
              </w:rPr>
              <w:t>措施</w:t>
            </w:r>
          </w:p>
        </w:tc>
        <w:tc>
          <w:tcPr>
            <w:tcW w:w="8124" w:type="dxa"/>
            <w:vAlign w:val="center"/>
          </w:tcPr>
          <w:p w14:paraId="7159CEE4">
            <w:pPr>
              <w:widowControl/>
              <w:spacing w:line="500" w:lineRule="exact"/>
              <w:jc w:val="center"/>
              <w:rPr>
                <w:b/>
                <w:bCs/>
                <w:color w:val="auto"/>
                <w:szCs w:val="21"/>
              </w:rPr>
            </w:pPr>
            <w:r>
              <w:rPr>
                <w:b/>
                <w:bCs/>
                <w:color w:val="auto"/>
                <w:kern w:val="0"/>
                <w:szCs w:val="21"/>
                <w:lang w:bidi="ar"/>
              </w:rPr>
              <w:t>表 4-</w:t>
            </w:r>
            <w:r>
              <w:rPr>
                <w:rFonts w:hint="eastAsia"/>
                <w:b/>
                <w:bCs/>
                <w:color w:val="auto"/>
                <w:kern w:val="0"/>
                <w:szCs w:val="21"/>
                <w:lang w:bidi="ar"/>
              </w:rPr>
              <w:t>3</w:t>
            </w:r>
            <w:r>
              <w:rPr>
                <w:b/>
                <w:bCs/>
                <w:color w:val="auto"/>
                <w:kern w:val="0"/>
                <w:szCs w:val="21"/>
                <w:lang w:bidi="ar"/>
              </w:rPr>
              <w:t xml:space="preserve"> 项目有组织排放口基本情况一览表</w:t>
            </w:r>
          </w:p>
          <w:tbl>
            <w:tblPr>
              <w:tblStyle w:val="16"/>
              <w:tblW w:w="7895"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5"/>
              <w:gridCol w:w="918"/>
              <w:gridCol w:w="668"/>
              <w:gridCol w:w="752"/>
              <w:gridCol w:w="805"/>
              <w:gridCol w:w="543"/>
              <w:gridCol w:w="849"/>
              <w:gridCol w:w="758"/>
              <w:gridCol w:w="1095"/>
              <w:gridCol w:w="1092"/>
            </w:tblGrid>
            <w:tr w14:paraId="49F77D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dxa"/>
                  <w:vMerge w:val="restart"/>
                  <w:vAlign w:val="center"/>
                </w:tcPr>
                <w:p w14:paraId="7ED9AE3E">
                  <w:pPr>
                    <w:jc w:val="center"/>
                    <w:rPr>
                      <w:color w:val="auto"/>
                      <w:sz w:val="18"/>
                      <w:szCs w:val="18"/>
                    </w:rPr>
                  </w:pPr>
                  <w:r>
                    <w:rPr>
                      <w:color w:val="auto"/>
                      <w:sz w:val="18"/>
                      <w:szCs w:val="18"/>
                    </w:rPr>
                    <w:t>序号</w:t>
                  </w:r>
                </w:p>
              </w:tc>
              <w:tc>
                <w:tcPr>
                  <w:tcW w:w="918" w:type="dxa"/>
                  <w:vMerge w:val="restart"/>
                  <w:vAlign w:val="center"/>
                </w:tcPr>
                <w:p w14:paraId="6E82F989">
                  <w:pPr>
                    <w:jc w:val="center"/>
                    <w:rPr>
                      <w:color w:val="auto"/>
                      <w:sz w:val="18"/>
                      <w:szCs w:val="18"/>
                    </w:rPr>
                  </w:pPr>
                  <w:r>
                    <w:rPr>
                      <w:color w:val="auto"/>
                      <w:sz w:val="18"/>
                      <w:szCs w:val="18"/>
                    </w:rPr>
                    <w:t>排气筒高度（m）</w:t>
                  </w:r>
                </w:p>
              </w:tc>
              <w:tc>
                <w:tcPr>
                  <w:tcW w:w="668" w:type="dxa"/>
                  <w:vMerge w:val="restart"/>
                  <w:vAlign w:val="center"/>
                </w:tcPr>
                <w:p w14:paraId="57924737">
                  <w:pPr>
                    <w:jc w:val="center"/>
                    <w:rPr>
                      <w:color w:val="auto"/>
                      <w:sz w:val="18"/>
                      <w:szCs w:val="18"/>
                    </w:rPr>
                  </w:pPr>
                  <w:r>
                    <w:rPr>
                      <w:color w:val="auto"/>
                      <w:sz w:val="18"/>
                      <w:szCs w:val="18"/>
                    </w:rPr>
                    <w:t>内径（m）</w:t>
                  </w:r>
                </w:p>
              </w:tc>
              <w:tc>
                <w:tcPr>
                  <w:tcW w:w="752" w:type="dxa"/>
                  <w:vMerge w:val="restart"/>
                  <w:vAlign w:val="center"/>
                </w:tcPr>
                <w:p w14:paraId="21D043CF">
                  <w:pPr>
                    <w:jc w:val="center"/>
                    <w:rPr>
                      <w:color w:val="auto"/>
                      <w:sz w:val="18"/>
                      <w:szCs w:val="18"/>
                    </w:rPr>
                  </w:pPr>
                  <w:r>
                    <w:rPr>
                      <w:color w:val="auto"/>
                      <w:sz w:val="18"/>
                      <w:szCs w:val="18"/>
                    </w:rPr>
                    <w:t>温度（℃）</w:t>
                  </w:r>
                </w:p>
              </w:tc>
              <w:tc>
                <w:tcPr>
                  <w:tcW w:w="805" w:type="dxa"/>
                  <w:vMerge w:val="restart"/>
                  <w:vAlign w:val="center"/>
                </w:tcPr>
                <w:p w14:paraId="6F3507BD">
                  <w:pPr>
                    <w:jc w:val="center"/>
                    <w:rPr>
                      <w:color w:val="auto"/>
                      <w:sz w:val="18"/>
                      <w:szCs w:val="18"/>
                    </w:rPr>
                  </w:pPr>
                  <w:r>
                    <w:rPr>
                      <w:color w:val="auto"/>
                      <w:sz w:val="18"/>
                      <w:szCs w:val="18"/>
                    </w:rPr>
                    <w:t>风速（m/s）</w:t>
                  </w:r>
                </w:p>
              </w:tc>
              <w:tc>
                <w:tcPr>
                  <w:tcW w:w="543" w:type="dxa"/>
                  <w:vMerge w:val="restart"/>
                  <w:vAlign w:val="center"/>
                </w:tcPr>
                <w:p w14:paraId="5F784465">
                  <w:pPr>
                    <w:jc w:val="center"/>
                    <w:rPr>
                      <w:color w:val="auto"/>
                      <w:sz w:val="18"/>
                      <w:szCs w:val="18"/>
                    </w:rPr>
                  </w:pPr>
                  <w:r>
                    <w:rPr>
                      <w:color w:val="auto"/>
                      <w:sz w:val="18"/>
                      <w:szCs w:val="18"/>
                    </w:rPr>
                    <w:t>编号</w:t>
                  </w:r>
                </w:p>
              </w:tc>
              <w:tc>
                <w:tcPr>
                  <w:tcW w:w="849" w:type="dxa"/>
                  <w:vMerge w:val="restart"/>
                  <w:vAlign w:val="center"/>
                </w:tcPr>
                <w:p w14:paraId="592D44F5">
                  <w:pPr>
                    <w:jc w:val="center"/>
                    <w:rPr>
                      <w:color w:val="auto"/>
                      <w:sz w:val="18"/>
                      <w:szCs w:val="18"/>
                    </w:rPr>
                  </w:pPr>
                  <w:r>
                    <w:rPr>
                      <w:color w:val="auto"/>
                      <w:sz w:val="18"/>
                      <w:szCs w:val="18"/>
                    </w:rPr>
                    <w:t>名称</w:t>
                  </w:r>
                </w:p>
              </w:tc>
              <w:tc>
                <w:tcPr>
                  <w:tcW w:w="758" w:type="dxa"/>
                  <w:vMerge w:val="restart"/>
                  <w:vAlign w:val="center"/>
                </w:tcPr>
                <w:p w14:paraId="2217AF8D">
                  <w:pPr>
                    <w:jc w:val="center"/>
                    <w:rPr>
                      <w:color w:val="auto"/>
                      <w:sz w:val="18"/>
                      <w:szCs w:val="18"/>
                    </w:rPr>
                  </w:pPr>
                  <w:r>
                    <w:rPr>
                      <w:color w:val="auto"/>
                      <w:sz w:val="18"/>
                      <w:szCs w:val="18"/>
                    </w:rPr>
                    <w:t>类型</w:t>
                  </w:r>
                </w:p>
              </w:tc>
              <w:tc>
                <w:tcPr>
                  <w:tcW w:w="2187" w:type="dxa"/>
                  <w:gridSpan w:val="2"/>
                  <w:vAlign w:val="center"/>
                </w:tcPr>
                <w:p w14:paraId="1290CF5E">
                  <w:pPr>
                    <w:jc w:val="center"/>
                    <w:rPr>
                      <w:color w:val="auto"/>
                      <w:sz w:val="18"/>
                      <w:szCs w:val="18"/>
                    </w:rPr>
                  </w:pPr>
                  <w:r>
                    <w:rPr>
                      <w:color w:val="auto"/>
                      <w:sz w:val="18"/>
                      <w:szCs w:val="18"/>
                    </w:rPr>
                    <w:t>地理坐标（°）</w:t>
                  </w:r>
                </w:p>
              </w:tc>
            </w:tr>
            <w:tr w14:paraId="5A9C10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15" w:type="dxa"/>
                  <w:vMerge w:val="continue"/>
                  <w:vAlign w:val="center"/>
                </w:tcPr>
                <w:p w14:paraId="0839B4B4">
                  <w:pPr>
                    <w:jc w:val="center"/>
                    <w:rPr>
                      <w:color w:val="auto"/>
                      <w:sz w:val="18"/>
                      <w:szCs w:val="18"/>
                    </w:rPr>
                  </w:pPr>
                </w:p>
              </w:tc>
              <w:tc>
                <w:tcPr>
                  <w:tcW w:w="918" w:type="dxa"/>
                  <w:vMerge w:val="continue"/>
                  <w:vAlign w:val="center"/>
                </w:tcPr>
                <w:p w14:paraId="6A669DDD">
                  <w:pPr>
                    <w:jc w:val="center"/>
                    <w:rPr>
                      <w:color w:val="auto"/>
                      <w:sz w:val="18"/>
                      <w:szCs w:val="18"/>
                    </w:rPr>
                  </w:pPr>
                </w:p>
              </w:tc>
              <w:tc>
                <w:tcPr>
                  <w:tcW w:w="668" w:type="dxa"/>
                  <w:vMerge w:val="continue"/>
                  <w:vAlign w:val="center"/>
                </w:tcPr>
                <w:p w14:paraId="2CEB5D8D">
                  <w:pPr>
                    <w:jc w:val="center"/>
                    <w:rPr>
                      <w:color w:val="auto"/>
                      <w:sz w:val="18"/>
                      <w:szCs w:val="18"/>
                    </w:rPr>
                  </w:pPr>
                </w:p>
              </w:tc>
              <w:tc>
                <w:tcPr>
                  <w:tcW w:w="752" w:type="dxa"/>
                  <w:vMerge w:val="continue"/>
                  <w:vAlign w:val="center"/>
                </w:tcPr>
                <w:p w14:paraId="6154F15E">
                  <w:pPr>
                    <w:jc w:val="center"/>
                    <w:rPr>
                      <w:color w:val="auto"/>
                      <w:sz w:val="18"/>
                      <w:szCs w:val="18"/>
                    </w:rPr>
                  </w:pPr>
                </w:p>
              </w:tc>
              <w:tc>
                <w:tcPr>
                  <w:tcW w:w="805" w:type="dxa"/>
                  <w:vMerge w:val="continue"/>
                  <w:vAlign w:val="center"/>
                </w:tcPr>
                <w:p w14:paraId="4881DB17">
                  <w:pPr>
                    <w:jc w:val="center"/>
                    <w:rPr>
                      <w:color w:val="auto"/>
                      <w:sz w:val="18"/>
                      <w:szCs w:val="18"/>
                    </w:rPr>
                  </w:pPr>
                </w:p>
              </w:tc>
              <w:tc>
                <w:tcPr>
                  <w:tcW w:w="543" w:type="dxa"/>
                  <w:vMerge w:val="continue"/>
                  <w:vAlign w:val="center"/>
                </w:tcPr>
                <w:p w14:paraId="3303E4CF">
                  <w:pPr>
                    <w:jc w:val="center"/>
                    <w:rPr>
                      <w:color w:val="auto"/>
                      <w:sz w:val="18"/>
                      <w:szCs w:val="18"/>
                    </w:rPr>
                  </w:pPr>
                </w:p>
              </w:tc>
              <w:tc>
                <w:tcPr>
                  <w:tcW w:w="849" w:type="dxa"/>
                  <w:vMerge w:val="continue"/>
                  <w:vAlign w:val="center"/>
                </w:tcPr>
                <w:p w14:paraId="0656074C">
                  <w:pPr>
                    <w:jc w:val="center"/>
                    <w:rPr>
                      <w:color w:val="auto"/>
                      <w:sz w:val="18"/>
                      <w:szCs w:val="18"/>
                    </w:rPr>
                  </w:pPr>
                </w:p>
              </w:tc>
              <w:tc>
                <w:tcPr>
                  <w:tcW w:w="758" w:type="dxa"/>
                  <w:vMerge w:val="continue"/>
                  <w:vAlign w:val="center"/>
                </w:tcPr>
                <w:p w14:paraId="53D15E25">
                  <w:pPr>
                    <w:jc w:val="center"/>
                    <w:rPr>
                      <w:color w:val="auto"/>
                      <w:sz w:val="18"/>
                      <w:szCs w:val="18"/>
                    </w:rPr>
                  </w:pPr>
                </w:p>
              </w:tc>
              <w:tc>
                <w:tcPr>
                  <w:tcW w:w="1095" w:type="dxa"/>
                  <w:vAlign w:val="center"/>
                </w:tcPr>
                <w:p w14:paraId="659F21BF">
                  <w:pPr>
                    <w:jc w:val="center"/>
                    <w:rPr>
                      <w:color w:val="auto"/>
                      <w:sz w:val="18"/>
                      <w:szCs w:val="18"/>
                    </w:rPr>
                  </w:pPr>
                  <w:r>
                    <w:rPr>
                      <w:color w:val="auto"/>
                      <w:sz w:val="18"/>
                      <w:szCs w:val="18"/>
                    </w:rPr>
                    <w:t>经度</w:t>
                  </w:r>
                </w:p>
              </w:tc>
              <w:tc>
                <w:tcPr>
                  <w:tcW w:w="1092" w:type="dxa"/>
                  <w:vAlign w:val="center"/>
                </w:tcPr>
                <w:p w14:paraId="2CC54F1A">
                  <w:pPr>
                    <w:jc w:val="center"/>
                    <w:rPr>
                      <w:color w:val="auto"/>
                      <w:sz w:val="18"/>
                      <w:szCs w:val="18"/>
                    </w:rPr>
                  </w:pPr>
                  <w:r>
                    <w:rPr>
                      <w:color w:val="auto"/>
                      <w:sz w:val="18"/>
                      <w:szCs w:val="18"/>
                    </w:rPr>
                    <w:t>纬度</w:t>
                  </w:r>
                </w:p>
              </w:tc>
            </w:tr>
            <w:tr w14:paraId="138AF2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15" w:type="dxa"/>
                  <w:vAlign w:val="center"/>
                </w:tcPr>
                <w:p w14:paraId="30278A9A">
                  <w:pPr>
                    <w:jc w:val="center"/>
                    <w:rPr>
                      <w:color w:val="auto"/>
                      <w:sz w:val="18"/>
                      <w:szCs w:val="18"/>
                    </w:rPr>
                  </w:pPr>
                  <w:r>
                    <w:rPr>
                      <w:rFonts w:hint="eastAsia"/>
                      <w:color w:val="auto"/>
                      <w:sz w:val="18"/>
                      <w:szCs w:val="18"/>
                    </w:rPr>
                    <w:t>1</w:t>
                  </w:r>
                </w:p>
              </w:tc>
              <w:tc>
                <w:tcPr>
                  <w:tcW w:w="918" w:type="dxa"/>
                  <w:vAlign w:val="center"/>
                </w:tcPr>
                <w:p w14:paraId="7EE21634">
                  <w:pPr>
                    <w:jc w:val="center"/>
                    <w:rPr>
                      <w:color w:val="auto"/>
                      <w:sz w:val="18"/>
                      <w:szCs w:val="18"/>
                    </w:rPr>
                  </w:pPr>
                  <w:r>
                    <w:rPr>
                      <w:color w:val="auto"/>
                      <w:sz w:val="18"/>
                      <w:szCs w:val="18"/>
                    </w:rPr>
                    <w:t>15</w:t>
                  </w:r>
                </w:p>
              </w:tc>
              <w:tc>
                <w:tcPr>
                  <w:tcW w:w="668" w:type="dxa"/>
                  <w:vAlign w:val="center"/>
                </w:tcPr>
                <w:p w14:paraId="65AC420C">
                  <w:pPr>
                    <w:jc w:val="center"/>
                    <w:rPr>
                      <w:rFonts w:hint="default" w:eastAsia="宋体"/>
                      <w:color w:val="auto"/>
                      <w:sz w:val="18"/>
                      <w:szCs w:val="18"/>
                      <w:lang w:val="en-US" w:eastAsia="zh-CN"/>
                    </w:rPr>
                  </w:pPr>
                  <w:r>
                    <w:rPr>
                      <w:color w:val="auto"/>
                      <w:sz w:val="18"/>
                      <w:szCs w:val="18"/>
                    </w:rPr>
                    <w:t>0.</w:t>
                  </w:r>
                  <w:r>
                    <w:rPr>
                      <w:rFonts w:hint="eastAsia"/>
                      <w:color w:val="auto"/>
                      <w:sz w:val="18"/>
                      <w:szCs w:val="18"/>
                      <w:lang w:val="en-US" w:eastAsia="zh-CN"/>
                    </w:rPr>
                    <w:t>43</w:t>
                  </w:r>
                </w:p>
              </w:tc>
              <w:tc>
                <w:tcPr>
                  <w:tcW w:w="752" w:type="dxa"/>
                  <w:vAlign w:val="center"/>
                </w:tcPr>
                <w:p w14:paraId="6118F9BC">
                  <w:pPr>
                    <w:jc w:val="center"/>
                    <w:rPr>
                      <w:rFonts w:hint="default" w:eastAsia="宋体"/>
                      <w:color w:val="auto"/>
                      <w:sz w:val="18"/>
                      <w:szCs w:val="18"/>
                      <w:lang w:val="en-US" w:eastAsia="zh-CN"/>
                    </w:rPr>
                  </w:pPr>
                  <w:r>
                    <w:rPr>
                      <w:rFonts w:hint="eastAsia"/>
                      <w:color w:val="auto"/>
                      <w:sz w:val="18"/>
                      <w:szCs w:val="18"/>
                      <w:lang w:val="en-US" w:eastAsia="zh-CN"/>
                    </w:rPr>
                    <w:t>25</w:t>
                  </w:r>
                </w:p>
              </w:tc>
              <w:tc>
                <w:tcPr>
                  <w:tcW w:w="805" w:type="dxa"/>
                  <w:vAlign w:val="center"/>
                </w:tcPr>
                <w:p w14:paraId="6BD45C2F">
                  <w:pPr>
                    <w:jc w:val="center"/>
                    <w:rPr>
                      <w:color w:val="auto"/>
                      <w:sz w:val="18"/>
                      <w:szCs w:val="18"/>
                    </w:rPr>
                  </w:pPr>
                  <w:r>
                    <w:rPr>
                      <w:color w:val="auto"/>
                      <w:sz w:val="18"/>
                      <w:szCs w:val="18"/>
                    </w:rPr>
                    <w:t>15</w:t>
                  </w:r>
                </w:p>
              </w:tc>
              <w:tc>
                <w:tcPr>
                  <w:tcW w:w="543" w:type="dxa"/>
                  <w:vAlign w:val="center"/>
                </w:tcPr>
                <w:p w14:paraId="18E16CA4">
                  <w:pPr>
                    <w:jc w:val="center"/>
                    <w:rPr>
                      <w:color w:val="auto"/>
                      <w:sz w:val="18"/>
                      <w:szCs w:val="18"/>
                    </w:rPr>
                  </w:pPr>
                  <w:r>
                    <w:rPr>
                      <w:color w:val="auto"/>
                      <w:sz w:val="18"/>
                      <w:szCs w:val="18"/>
                    </w:rPr>
                    <w:t>DA00</w:t>
                  </w:r>
                  <w:r>
                    <w:rPr>
                      <w:rFonts w:hint="eastAsia"/>
                      <w:color w:val="auto"/>
                      <w:sz w:val="18"/>
                      <w:szCs w:val="18"/>
                    </w:rPr>
                    <w:t>1</w:t>
                  </w:r>
                </w:p>
              </w:tc>
              <w:tc>
                <w:tcPr>
                  <w:tcW w:w="849" w:type="dxa"/>
                  <w:vAlign w:val="center"/>
                </w:tcPr>
                <w:p w14:paraId="396607C2">
                  <w:pPr>
                    <w:jc w:val="center"/>
                    <w:rPr>
                      <w:rFonts w:hint="default" w:eastAsia="宋体"/>
                      <w:color w:val="auto"/>
                      <w:sz w:val="18"/>
                      <w:szCs w:val="18"/>
                      <w:lang w:val="en-US" w:eastAsia="zh-CN"/>
                    </w:rPr>
                  </w:pPr>
                  <w:r>
                    <w:rPr>
                      <w:rFonts w:hint="eastAsia"/>
                      <w:color w:val="auto"/>
                      <w:sz w:val="18"/>
                      <w:szCs w:val="18"/>
                      <w:lang w:eastAsia="zh-CN"/>
                    </w:rPr>
                    <w:t>颗粒物</w:t>
                  </w:r>
                </w:p>
              </w:tc>
              <w:tc>
                <w:tcPr>
                  <w:tcW w:w="758" w:type="dxa"/>
                  <w:vAlign w:val="center"/>
                </w:tcPr>
                <w:p w14:paraId="7CFEB616">
                  <w:pPr>
                    <w:jc w:val="center"/>
                    <w:rPr>
                      <w:color w:val="auto"/>
                      <w:sz w:val="18"/>
                      <w:szCs w:val="18"/>
                    </w:rPr>
                  </w:pPr>
                  <w:r>
                    <w:rPr>
                      <w:color w:val="auto"/>
                      <w:sz w:val="18"/>
                      <w:szCs w:val="18"/>
                    </w:rPr>
                    <w:t>一般排放口</w:t>
                  </w:r>
                </w:p>
              </w:tc>
              <w:tc>
                <w:tcPr>
                  <w:tcW w:w="1095" w:type="dxa"/>
                  <w:vAlign w:val="center"/>
                </w:tcPr>
                <w:p w14:paraId="5B4CC688">
                  <w:pPr>
                    <w:jc w:val="center"/>
                    <w:rPr>
                      <w:color w:val="auto"/>
                      <w:sz w:val="18"/>
                      <w:szCs w:val="18"/>
                    </w:rPr>
                  </w:pPr>
                  <w:r>
                    <w:rPr>
                      <w:rFonts w:hint="eastAsia"/>
                      <w:color w:val="auto"/>
                      <w:sz w:val="18"/>
                      <w:szCs w:val="18"/>
                    </w:rPr>
                    <w:t>120.86109</w:t>
                  </w:r>
                </w:p>
              </w:tc>
              <w:tc>
                <w:tcPr>
                  <w:tcW w:w="1092" w:type="dxa"/>
                  <w:vAlign w:val="center"/>
                </w:tcPr>
                <w:p w14:paraId="6AC3DDFD">
                  <w:pPr>
                    <w:jc w:val="center"/>
                    <w:rPr>
                      <w:color w:val="auto"/>
                      <w:sz w:val="18"/>
                      <w:szCs w:val="18"/>
                    </w:rPr>
                  </w:pPr>
                  <w:r>
                    <w:rPr>
                      <w:rFonts w:hint="eastAsia"/>
                      <w:color w:val="auto"/>
                      <w:sz w:val="18"/>
                      <w:szCs w:val="18"/>
                    </w:rPr>
                    <w:t>32.17904</w:t>
                  </w:r>
                </w:p>
              </w:tc>
            </w:tr>
            <w:tr w14:paraId="6C9798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15" w:type="dxa"/>
                  <w:vAlign w:val="center"/>
                </w:tcPr>
                <w:p w14:paraId="48965F32">
                  <w:pPr>
                    <w:jc w:val="center"/>
                    <w:rPr>
                      <w:rFonts w:hint="eastAsia" w:eastAsia="宋体"/>
                      <w:color w:val="auto"/>
                      <w:sz w:val="18"/>
                      <w:szCs w:val="18"/>
                      <w:lang w:val="en-US" w:eastAsia="zh-CN"/>
                    </w:rPr>
                  </w:pPr>
                  <w:r>
                    <w:rPr>
                      <w:rFonts w:hint="eastAsia"/>
                      <w:color w:val="auto"/>
                      <w:sz w:val="18"/>
                      <w:szCs w:val="18"/>
                      <w:lang w:val="en-US" w:eastAsia="zh-CN"/>
                    </w:rPr>
                    <w:t>2</w:t>
                  </w:r>
                </w:p>
              </w:tc>
              <w:tc>
                <w:tcPr>
                  <w:tcW w:w="918" w:type="dxa"/>
                  <w:vAlign w:val="center"/>
                </w:tcPr>
                <w:p w14:paraId="055313C4">
                  <w:pPr>
                    <w:jc w:val="center"/>
                    <w:rPr>
                      <w:rFonts w:hint="default" w:eastAsia="宋体"/>
                      <w:color w:val="auto"/>
                      <w:sz w:val="18"/>
                      <w:szCs w:val="18"/>
                      <w:lang w:val="en-US" w:eastAsia="zh-CN"/>
                    </w:rPr>
                  </w:pPr>
                  <w:r>
                    <w:rPr>
                      <w:rFonts w:hint="eastAsia"/>
                      <w:color w:val="auto"/>
                      <w:sz w:val="18"/>
                      <w:szCs w:val="18"/>
                      <w:lang w:val="en-US" w:eastAsia="zh-CN"/>
                    </w:rPr>
                    <w:t>15</w:t>
                  </w:r>
                </w:p>
              </w:tc>
              <w:tc>
                <w:tcPr>
                  <w:tcW w:w="668" w:type="dxa"/>
                  <w:vAlign w:val="center"/>
                </w:tcPr>
                <w:p w14:paraId="620C2347">
                  <w:pPr>
                    <w:jc w:val="center"/>
                    <w:rPr>
                      <w:rFonts w:hint="default" w:eastAsia="宋体"/>
                      <w:color w:val="auto"/>
                      <w:sz w:val="18"/>
                      <w:szCs w:val="18"/>
                      <w:lang w:val="en-US" w:eastAsia="zh-CN"/>
                    </w:rPr>
                  </w:pPr>
                  <w:r>
                    <w:rPr>
                      <w:rFonts w:hint="eastAsia"/>
                      <w:color w:val="auto"/>
                      <w:sz w:val="18"/>
                      <w:szCs w:val="18"/>
                      <w:lang w:val="en-US" w:eastAsia="zh-CN"/>
                    </w:rPr>
                    <w:t>0.4</w:t>
                  </w:r>
                </w:p>
              </w:tc>
              <w:tc>
                <w:tcPr>
                  <w:tcW w:w="752" w:type="dxa"/>
                  <w:vAlign w:val="center"/>
                </w:tcPr>
                <w:p w14:paraId="610BB073">
                  <w:pPr>
                    <w:jc w:val="center"/>
                    <w:rPr>
                      <w:color w:val="auto"/>
                      <w:sz w:val="18"/>
                      <w:szCs w:val="18"/>
                    </w:rPr>
                  </w:pPr>
                  <w:r>
                    <w:rPr>
                      <w:color w:val="auto"/>
                      <w:sz w:val="18"/>
                      <w:szCs w:val="18"/>
                    </w:rPr>
                    <w:t>25</w:t>
                  </w:r>
                </w:p>
              </w:tc>
              <w:tc>
                <w:tcPr>
                  <w:tcW w:w="805" w:type="dxa"/>
                  <w:vAlign w:val="center"/>
                </w:tcPr>
                <w:p w14:paraId="775BC0F1">
                  <w:pPr>
                    <w:jc w:val="center"/>
                    <w:rPr>
                      <w:color w:val="auto"/>
                      <w:sz w:val="18"/>
                      <w:szCs w:val="18"/>
                    </w:rPr>
                  </w:pPr>
                  <w:r>
                    <w:rPr>
                      <w:color w:val="auto"/>
                      <w:sz w:val="18"/>
                      <w:szCs w:val="18"/>
                    </w:rPr>
                    <w:t>15</w:t>
                  </w:r>
                </w:p>
              </w:tc>
              <w:tc>
                <w:tcPr>
                  <w:tcW w:w="543" w:type="dxa"/>
                  <w:vAlign w:val="center"/>
                </w:tcPr>
                <w:p w14:paraId="15E0F725">
                  <w:pPr>
                    <w:jc w:val="center"/>
                    <w:rPr>
                      <w:rFonts w:hint="eastAsia" w:eastAsia="宋体"/>
                      <w:color w:val="auto"/>
                      <w:sz w:val="18"/>
                      <w:szCs w:val="18"/>
                      <w:lang w:eastAsia="zh-CN"/>
                    </w:rPr>
                  </w:pPr>
                  <w:r>
                    <w:rPr>
                      <w:color w:val="auto"/>
                      <w:sz w:val="18"/>
                      <w:szCs w:val="18"/>
                    </w:rPr>
                    <w:t>DA00</w:t>
                  </w:r>
                  <w:r>
                    <w:rPr>
                      <w:rFonts w:hint="eastAsia"/>
                      <w:color w:val="auto"/>
                      <w:sz w:val="18"/>
                      <w:szCs w:val="18"/>
                      <w:lang w:val="en-US" w:eastAsia="zh-CN"/>
                    </w:rPr>
                    <w:t>2</w:t>
                  </w:r>
                </w:p>
              </w:tc>
              <w:tc>
                <w:tcPr>
                  <w:tcW w:w="849" w:type="dxa"/>
                  <w:vAlign w:val="center"/>
                </w:tcPr>
                <w:p w14:paraId="4861AE1C">
                  <w:pPr>
                    <w:jc w:val="center"/>
                    <w:rPr>
                      <w:rFonts w:hint="eastAsia"/>
                      <w:color w:val="auto"/>
                      <w:sz w:val="18"/>
                      <w:szCs w:val="18"/>
                    </w:rPr>
                  </w:pPr>
                  <w:r>
                    <w:rPr>
                      <w:rFonts w:hint="eastAsia"/>
                      <w:color w:val="auto"/>
                      <w:sz w:val="18"/>
                      <w:szCs w:val="18"/>
                    </w:rPr>
                    <w:t>非甲烷总烃</w:t>
                  </w:r>
                </w:p>
              </w:tc>
              <w:tc>
                <w:tcPr>
                  <w:tcW w:w="758" w:type="dxa"/>
                  <w:vAlign w:val="center"/>
                </w:tcPr>
                <w:p w14:paraId="6DEFD70C">
                  <w:pPr>
                    <w:jc w:val="center"/>
                    <w:rPr>
                      <w:color w:val="auto"/>
                      <w:sz w:val="18"/>
                      <w:szCs w:val="18"/>
                    </w:rPr>
                  </w:pPr>
                  <w:r>
                    <w:rPr>
                      <w:color w:val="auto"/>
                      <w:sz w:val="18"/>
                      <w:szCs w:val="18"/>
                    </w:rPr>
                    <w:t>一般排放口</w:t>
                  </w:r>
                </w:p>
              </w:tc>
              <w:tc>
                <w:tcPr>
                  <w:tcW w:w="1095" w:type="dxa"/>
                  <w:vAlign w:val="center"/>
                </w:tcPr>
                <w:p w14:paraId="7DC1929A">
                  <w:pPr>
                    <w:jc w:val="center"/>
                    <w:rPr>
                      <w:rFonts w:hint="eastAsia"/>
                      <w:color w:val="auto"/>
                      <w:sz w:val="18"/>
                      <w:szCs w:val="18"/>
                    </w:rPr>
                  </w:pPr>
                  <w:r>
                    <w:rPr>
                      <w:rFonts w:hint="eastAsia"/>
                      <w:color w:val="auto"/>
                      <w:sz w:val="18"/>
                      <w:szCs w:val="18"/>
                    </w:rPr>
                    <w:t>120.86140</w:t>
                  </w:r>
                </w:p>
              </w:tc>
              <w:tc>
                <w:tcPr>
                  <w:tcW w:w="1092" w:type="dxa"/>
                  <w:vAlign w:val="center"/>
                </w:tcPr>
                <w:p w14:paraId="0AE33155">
                  <w:pPr>
                    <w:jc w:val="center"/>
                    <w:rPr>
                      <w:rFonts w:hint="eastAsia"/>
                      <w:color w:val="auto"/>
                      <w:sz w:val="18"/>
                      <w:szCs w:val="18"/>
                    </w:rPr>
                  </w:pPr>
                  <w:r>
                    <w:rPr>
                      <w:rFonts w:hint="eastAsia"/>
                      <w:color w:val="auto"/>
                      <w:sz w:val="18"/>
                      <w:szCs w:val="18"/>
                    </w:rPr>
                    <w:t>32.17918</w:t>
                  </w:r>
                </w:p>
              </w:tc>
            </w:tr>
          </w:tbl>
          <w:p w14:paraId="72D76BA8">
            <w:pPr>
              <w:adjustRightInd w:val="0"/>
              <w:snapToGrid w:val="0"/>
              <w:spacing w:line="500" w:lineRule="exact"/>
              <w:rPr>
                <w:b/>
                <w:bCs/>
                <w:color w:val="auto"/>
                <w:szCs w:val="21"/>
              </w:rPr>
            </w:pPr>
            <w:r>
              <w:rPr>
                <w:b/>
                <w:bCs/>
                <w:color w:val="auto"/>
                <w:szCs w:val="21"/>
              </w:rPr>
              <w:t>废气污染物排放源源强核算过程：</w:t>
            </w:r>
          </w:p>
          <w:p w14:paraId="772EA82A">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200"/>
              <w:textAlignment w:val="auto"/>
              <w:rPr>
                <w:rFonts w:hint="eastAsia"/>
                <w:lang w:eastAsia="zh-CN"/>
              </w:rPr>
            </w:pPr>
            <w:r>
              <w:rPr>
                <w:rFonts w:hint="eastAsia"/>
                <w:lang w:eastAsia="zh-CN"/>
              </w:rPr>
              <w:t>配料、投料粉尘</w:t>
            </w:r>
          </w:p>
          <w:p w14:paraId="338BDD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lang w:val="en-US"/>
              </w:rPr>
            </w:pPr>
            <w:r>
              <w:rPr>
                <w:rFonts w:hint="eastAsia"/>
                <w:lang w:val="en-US" w:eastAsia="zh-CN"/>
              </w:rPr>
              <w:t>项目使用的原辅材料（PP粒子）、颜料、EBS等，人工拆包与投料。因此，在拆包、投料过程中会有一定量的粉尘产生，参考《排放源统计调查产排污核算方法和系数手册》（</w:t>
            </w:r>
            <w:r>
              <w:rPr>
                <w:rFonts w:hint="default"/>
                <w:lang w:val="en-US" w:eastAsia="zh-CN"/>
              </w:rPr>
              <w:t>2021</w:t>
            </w:r>
            <w:r>
              <w:rPr>
                <w:rFonts w:hint="eastAsia"/>
                <w:lang w:val="en-US" w:eastAsia="zh-CN"/>
              </w:rPr>
              <w:t>年第</w:t>
            </w:r>
            <w:r>
              <w:rPr>
                <w:rFonts w:hint="default"/>
                <w:lang w:val="en-US" w:eastAsia="zh-CN"/>
              </w:rPr>
              <w:t>24</w:t>
            </w:r>
            <w:r>
              <w:rPr>
                <w:rFonts w:hint="eastAsia"/>
                <w:lang w:val="en-US" w:eastAsia="zh-CN"/>
              </w:rPr>
              <w:t>号）</w:t>
            </w:r>
            <w:r>
              <w:rPr>
                <w:rFonts w:hint="default"/>
                <w:lang w:val="en-US" w:eastAsia="zh-CN"/>
              </w:rPr>
              <w:t>292</w:t>
            </w:r>
            <w:r>
              <w:rPr>
                <w:rFonts w:hint="eastAsia"/>
                <w:lang w:val="en-US" w:eastAsia="zh-CN"/>
              </w:rPr>
              <w:t>塑料制品行业系数手册中“</w:t>
            </w:r>
            <w:r>
              <w:rPr>
                <w:rFonts w:hint="default"/>
                <w:lang w:val="en-US" w:eastAsia="zh-CN"/>
              </w:rPr>
              <w:t>2922</w:t>
            </w:r>
            <w:r>
              <w:rPr>
                <w:rFonts w:hint="eastAsia"/>
                <w:lang w:val="en-US" w:eastAsia="zh-CN"/>
              </w:rPr>
              <w:t>塑料板、管、型材”的颗粒物产污系数</w:t>
            </w:r>
            <w:r>
              <w:rPr>
                <w:rFonts w:hint="default"/>
                <w:lang w:val="en-US" w:eastAsia="zh-CN"/>
              </w:rPr>
              <w:t>6.0</w:t>
            </w:r>
            <w:r>
              <w:rPr>
                <w:rFonts w:hint="eastAsia"/>
                <w:lang w:val="en-US" w:eastAsia="zh-CN"/>
              </w:rPr>
              <w:t>千克</w:t>
            </w:r>
            <w:r>
              <w:rPr>
                <w:rFonts w:hint="default"/>
                <w:lang w:val="en-US" w:eastAsia="zh-CN"/>
              </w:rPr>
              <w:t>/</w:t>
            </w:r>
            <w:r>
              <w:rPr>
                <w:rFonts w:hint="eastAsia"/>
                <w:lang w:val="en-US" w:eastAsia="zh-CN"/>
              </w:rPr>
              <w:t>吨</w:t>
            </w:r>
            <w:r>
              <w:rPr>
                <w:rFonts w:hint="default"/>
                <w:lang w:val="en-US" w:eastAsia="zh-CN"/>
              </w:rPr>
              <w:t>-</w:t>
            </w:r>
            <w:r>
              <w:rPr>
                <w:rFonts w:hint="eastAsia"/>
                <w:lang w:val="en-US" w:eastAsia="zh-CN"/>
              </w:rPr>
              <w:t>产品。本项目色母粒预计产能为100</w:t>
            </w:r>
            <w:r>
              <w:rPr>
                <w:rFonts w:hint="default"/>
                <w:lang w:val="en-US" w:eastAsia="zh-CN"/>
              </w:rPr>
              <w:t>0t/a</w:t>
            </w:r>
            <w:r>
              <w:rPr>
                <w:rFonts w:hint="eastAsia"/>
                <w:lang w:val="en-US" w:eastAsia="zh-CN"/>
              </w:rPr>
              <w:t>，故本项目颗粒物的产生量为</w:t>
            </w:r>
            <w:r>
              <w:rPr>
                <w:rFonts w:hint="default"/>
                <w:lang w:val="en-US" w:eastAsia="zh-CN"/>
              </w:rPr>
              <w:t>6.0*</w:t>
            </w:r>
            <w:r>
              <w:rPr>
                <w:rFonts w:hint="eastAsia"/>
                <w:lang w:val="en-US" w:eastAsia="zh-CN"/>
              </w:rPr>
              <w:t>1000</w:t>
            </w:r>
            <w:r>
              <w:rPr>
                <w:rFonts w:hint="default"/>
                <w:lang w:val="en-US" w:eastAsia="zh-CN"/>
              </w:rPr>
              <w:t>/1000=</w:t>
            </w:r>
            <w:r>
              <w:rPr>
                <w:rFonts w:hint="eastAsia"/>
                <w:lang w:val="en-US" w:eastAsia="zh-CN"/>
              </w:rPr>
              <w:t>6</w:t>
            </w:r>
            <w:r>
              <w:rPr>
                <w:rFonts w:hint="default"/>
                <w:lang w:val="en-US" w:eastAsia="zh-CN"/>
              </w:rPr>
              <w:t>t/a</w:t>
            </w:r>
            <w:r>
              <w:rPr>
                <w:rFonts w:hint="eastAsia"/>
                <w:lang w:val="en-US" w:eastAsia="zh-CN"/>
              </w:rPr>
              <w:t>，配料、投料工序每天工作时间以4h计，则年工作时间为1200h。</w:t>
            </w:r>
          </w:p>
          <w:p w14:paraId="7BD487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lang w:val="en-US" w:eastAsia="zh-CN"/>
              </w:rPr>
            </w:pPr>
            <w:r>
              <w:rPr>
                <w:rFonts w:hint="eastAsia"/>
                <w:lang w:val="en-US" w:eastAsia="zh-CN"/>
              </w:rPr>
              <w:t>拟采取在配料工位、上料机上方设置集气罩对粉尘进行收集，粉尘收集后（收集率按90%计）通过一套布袋除尘器处理（去除率按99%计），通过一根15m高排气筒1#外排。</w:t>
            </w:r>
          </w:p>
          <w:p w14:paraId="4A144B95">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20" w:firstLineChars="200"/>
              <w:textAlignment w:val="auto"/>
              <w:rPr>
                <w:rFonts w:hint="eastAsia" w:cs="Times New Roman"/>
                <w:color w:val="auto"/>
                <w:kern w:val="2"/>
                <w:sz w:val="21"/>
                <w:szCs w:val="21"/>
                <w:lang w:eastAsia="zh-CN"/>
              </w:rPr>
            </w:pPr>
            <w:r>
              <w:rPr>
                <w:rFonts w:hint="eastAsia" w:cs="Times New Roman"/>
                <w:color w:val="auto"/>
                <w:kern w:val="2"/>
                <w:sz w:val="21"/>
                <w:szCs w:val="21"/>
                <w:lang w:eastAsia="zh-CN"/>
              </w:rPr>
              <w:t>粉碎粉尘</w:t>
            </w:r>
          </w:p>
          <w:p w14:paraId="05B65D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lang w:val="en-US" w:eastAsia="zh-CN"/>
              </w:rPr>
            </w:pPr>
            <w:r>
              <w:rPr>
                <w:rFonts w:hint="eastAsia"/>
                <w:lang w:eastAsia="zh-CN"/>
              </w:rPr>
              <w:t>本项目对生产中产生的不合格品粉碎后进行回用，粉碎过程中会产生少量的粉尘（以颗粒物计）。参考《排放源统计调查产排污核算方法和系数手册》中非金属废料和碎屑加工处理行业废</w:t>
            </w:r>
            <w:r>
              <w:rPr>
                <w:rFonts w:hint="eastAsia"/>
                <w:lang w:val="en-US" w:eastAsia="zh-CN"/>
              </w:rPr>
              <w:t>PE/PP粉</w:t>
            </w:r>
            <w:r>
              <w:rPr>
                <w:rFonts w:hint="eastAsia"/>
                <w:lang w:eastAsia="zh-CN"/>
              </w:rPr>
              <w:t>碎工序产污情况，颗粒物产生系数约为</w:t>
            </w:r>
            <w:r>
              <w:rPr>
                <w:rFonts w:hint="eastAsia"/>
                <w:lang w:val="en-US" w:eastAsia="zh-CN"/>
              </w:rPr>
              <w:t>375</w:t>
            </w:r>
            <w:r>
              <w:rPr>
                <w:rFonts w:hint="eastAsia"/>
                <w:lang w:eastAsia="zh-CN"/>
              </w:rPr>
              <w:t>g/t-原料，企业不合格品</w:t>
            </w:r>
            <w:r>
              <w:t>产生量</w:t>
            </w:r>
            <w:r>
              <w:rPr>
                <w:rFonts w:hint="eastAsia"/>
                <w:lang w:eastAsia="zh-CN"/>
              </w:rPr>
              <w:t>约</w:t>
            </w:r>
            <w:r>
              <w:t>为</w:t>
            </w:r>
            <w:r>
              <w:rPr>
                <w:rFonts w:hint="eastAsia"/>
                <w:lang w:val="en-US" w:eastAsia="zh-CN"/>
              </w:rPr>
              <w:t>10</w:t>
            </w:r>
            <w:r>
              <w:t>t，</w:t>
            </w:r>
            <w:r>
              <w:rPr>
                <w:rFonts w:hint="eastAsia"/>
                <w:lang w:eastAsia="zh-CN"/>
              </w:rPr>
              <w:t>则产生的颗粒物为</w:t>
            </w:r>
            <w:r>
              <w:rPr>
                <w:rFonts w:hint="eastAsia"/>
                <w:lang w:val="en-US" w:eastAsia="zh-CN"/>
              </w:rPr>
              <w:t>0.004t/a，</w:t>
            </w:r>
            <w:r>
              <w:rPr>
                <w:rFonts w:hint="eastAsia"/>
                <w:lang w:eastAsia="zh-CN"/>
              </w:rPr>
              <w:t>年工作</w:t>
            </w:r>
            <w:r>
              <w:rPr>
                <w:rFonts w:hint="eastAsia"/>
                <w:lang w:val="en-US" w:eastAsia="zh-CN"/>
              </w:rPr>
              <w:t>1200h，拟采取在粉碎机上方设置集气罩对粉尘进行收集，粉尘收集后（收集率按90%计）与配料、投料粉尘通过一套布袋除尘器处理（去除率按99%计），通过一根15m高排气筒1#外排。</w:t>
            </w:r>
          </w:p>
          <w:p w14:paraId="79C1F952">
            <w:pPr>
              <w:pStyle w:val="23"/>
              <w:keepNext w:val="0"/>
              <w:keepLines w:val="0"/>
              <w:pageBreakBefore w:val="0"/>
              <w:kinsoku/>
              <w:wordWrap/>
              <w:overflowPunct/>
              <w:topLinePunct w:val="0"/>
              <w:bidi w:val="0"/>
              <w:snapToGrid/>
              <w:spacing w:after="0" w:line="500" w:lineRule="exact"/>
              <w:ind w:firstLine="420" w:firstLineChars="200"/>
              <w:textAlignment w:val="auto"/>
              <w:rPr>
                <w:rFonts w:hint="eastAsia" w:ascii="Times New Roman" w:eastAsia="宋体" w:cs="Times New Roman"/>
                <w:color w:val="auto"/>
                <w:kern w:val="2"/>
                <w:sz w:val="21"/>
                <w:szCs w:val="21"/>
              </w:rPr>
            </w:pPr>
            <w:r>
              <w:rPr>
                <w:rFonts w:hint="eastAsia" w:ascii="Times New Roman" w:cs="Times New Roman"/>
                <w:color w:val="auto"/>
                <w:kern w:val="2"/>
                <w:sz w:val="21"/>
                <w:szCs w:val="21"/>
                <w:lang w:eastAsia="zh-CN"/>
              </w:rPr>
              <w:t>风量</w:t>
            </w:r>
            <w:r>
              <w:rPr>
                <w:rFonts w:hint="eastAsia" w:ascii="Times New Roman" w:eastAsia="宋体" w:cs="Times New Roman"/>
                <w:color w:val="auto"/>
                <w:kern w:val="2"/>
                <w:sz w:val="21"/>
                <w:szCs w:val="21"/>
              </w:rPr>
              <w:t>参考《环境工程设计手册》（魏先勋主编）外部吸气罩的设计计算方法，具体如下：</w:t>
            </w:r>
          </w:p>
          <w:p w14:paraId="0C698E38">
            <w:pPr>
              <w:pStyle w:val="23"/>
              <w:spacing w:after="0" w:line="360" w:lineRule="auto"/>
              <w:ind w:firstLine="420" w:firstLineChars="200"/>
              <w:jc w:val="center"/>
              <w:rPr>
                <w:rFonts w:ascii="Times New Roman" w:eastAsia="宋体" w:cs="Times New Roman"/>
                <w:color w:val="auto"/>
                <w:kern w:val="2"/>
                <w:sz w:val="21"/>
                <w:szCs w:val="21"/>
              </w:rPr>
            </w:pPr>
            <w:r>
              <w:rPr>
                <w:rFonts w:ascii="Times New Roman" w:eastAsia="宋体" w:cs="Times New Roman"/>
                <w:color w:val="auto"/>
                <w:kern w:val="2"/>
                <w:sz w:val="21"/>
                <w:szCs w:val="21"/>
              </w:rPr>
              <w:t>L=kPHVx</w:t>
            </w:r>
          </w:p>
          <w:p w14:paraId="5D40DE5F">
            <w:pPr>
              <w:pStyle w:val="23"/>
              <w:keepNext w:val="0"/>
              <w:keepLines w:val="0"/>
              <w:pageBreakBefore w:val="0"/>
              <w:widowControl w:val="0"/>
              <w:kinsoku/>
              <w:wordWrap/>
              <w:overflowPunct/>
              <w:topLinePunct w:val="0"/>
              <w:autoSpaceDE w:val="0"/>
              <w:autoSpaceDN w:val="0"/>
              <w:bidi w:val="0"/>
              <w:adjustRightInd w:val="0"/>
              <w:snapToGrid/>
              <w:spacing w:after="0" w:line="500" w:lineRule="exact"/>
              <w:ind w:firstLine="420" w:firstLineChars="200"/>
              <w:textAlignment w:val="auto"/>
              <w:rPr>
                <w:rFonts w:hint="eastAsia" w:ascii="Times New Roman" w:eastAsia="宋体" w:cs="Times New Roman"/>
                <w:color w:val="auto"/>
                <w:kern w:val="2"/>
                <w:sz w:val="21"/>
                <w:szCs w:val="21"/>
              </w:rPr>
            </w:pPr>
            <w:r>
              <w:rPr>
                <w:rFonts w:hint="eastAsia" w:ascii="Times New Roman" w:eastAsia="宋体" w:cs="Times New Roman"/>
                <w:color w:val="auto"/>
                <w:kern w:val="2"/>
                <w:sz w:val="21"/>
                <w:szCs w:val="21"/>
              </w:rPr>
              <w:t>式中：L—排放量，m</w:t>
            </w:r>
            <w:r>
              <w:rPr>
                <w:rFonts w:hint="eastAsia" w:ascii="Times New Roman" w:eastAsia="宋体" w:cs="Times New Roman"/>
                <w:color w:val="auto"/>
                <w:kern w:val="2"/>
                <w:sz w:val="21"/>
                <w:szCs w:val="21"/>
                <w:vertAlign w:val="superscript"/>
              </w:rPr>
              <w:t>3</w:t>
            </w:r>
            <w:r>
              <w:rPr>
                <w:rFonts w:hint="eastAsia" w:ascii="Times New Roman" w:eastAsia="宋体" w:cs="Times New Roman"/>
                <w:color w:val="auto"/>
                <w:kern w:val="2"/>
                <w:sz w:val="21"/>
                <w:szCs w:val="21"/>
              </w:rPr>
              <w:t>/s；</w:t>
            </w:r>
          </w:p>
          <w:p w14:paraId="12133DD6">
            <w:pPr>
              <w:pStyle w:val="23"/>
              <w:keepNext w:val="0"/>
              <w:keepLines w:val="0"/>
              <w:pageBreakBefore w:val="0"/>
              <w:widowControl w:val="0"/>
              <w:kinsoku/>
              <w:wordWrap/>
              <w:overflowPunct/>
              <w:topLinePunct w:val="0"/>
              <w:autoSpaceDE w:val="0"/>
              <w:autoSpaceDN w:val="0"/>
              <w:bidi w:val="0"/>
              <w:adjustRightInd w:val="0"/>
              <w:snapToGrid/>
              <w:spacing w:after="0" w:line="500" w:lineRule="exact"/>
              <w:ind w:firstLine="420" w:firstLineChars="200"/>
              <w:textAlignment w:val="auto"/>
              <w:rPr>
                <w:rFonts w:hint="eastAsia" w:ascii="Times New Roman" w:eastAsia="宋体" w:cs="Times New Roman"/>
                <w:color w:val="auto"/>
                <w:kern w:val="2"/>
                <w:sz w:val="21"/>
                <w:szCs w:val="21"/>
              </w:rPr>
            </w:pPr>
            <w:r>
              <w:rPr>
                <w:rFonts w:hint="eastAsia" w:ascii="Times New Roman" w:eastAsia="宋体" w:cs="Times New Roman"/>
                <w:color w:val="auto"/>
                <w:kern w:val="2"/>
                <w:sz w:val="21"/>
                <w:szCs w:val="21"/>
              </w:rPr>
              <w:t>k—安全系数，一般取1.4；</w:t>
            </w:r>
          </w:p>
          <w:p w14:paraId="5BBFC6AA">
            <w:pPr>
              <w:pStyle w:val="23"/>
              <w:keepNext w:val="0"/>
              <w:keepLines w:val="0"/>
              <w:pageBreakBefore w:val="0"/>
              <w:widowControl w:val="0"/>
              <w:kinsoku/>
              <w:wordWrap/>
              <w:overflowPunct/>
              <w:topLinePunct w:val="0"/>
              <w:autoSpaceDE w:val="0"/>
              <w:autoSpaceDN w:val="0"/>
              <w:bidi w:val="0"/>
              <w:adjustRightInd w:val="0"/>
              <w:snapToGrid/>
              <w:spacing w:after="0" w:line="500" w:lineRule="exact"/>
              <w:ind w:firstLine="420" w:firstLineChars="200"/>
              <w:textAlignment w:val="auto"/>
              <w:rPr>
                <w:rFonts w:hint="eastAsia" w:ascii="Times New Roman" w:eastAsia="宋体" w:cs="Times New Roman"/>
                <w:color w:val="auto"/>
                <w:kern w:val="2"/>
                <w:sz w:val="21"/>
                <w:szCs w:val="21"/>
              </w:rPr>
            </w:pPr>
            <w:r>
              <w:rPr>
                <w:rFonts w:hint="eastAsia" w:ascii="Times New Roman" w:eastAsia="宋体" w:cs="Times New Roman"/>
                <w:color w:val="auto"/>
                <w:kern w:val="2"/>
                <w:sz w:val="21"/>
                <w:szCs w:val="21"/>
              </w:rPr>
              <w:t>P—排风罩口敞开面的周长，m；集气罩长边为</w:t>
            </w:r>
            <w:r>
              <w:rPr>
                <w:rFonts w:hint="eastAsia" w:ascii="Times New Roman" w:cs="Times New Roman"/>
                <w:color w:val="auto"/>
                <w:kern w:val="2"/>
                <w:sz w:val="21"/>
                <w:szCs w:val="21"/>
                <w:lang w:val="en-US" w:eastAsia="zh-CN"/>
              </w:rPr>
              <w:t>1</w:t>
            </w:r>
            <w:r>
              <w:rPr>
                <w:rFonts w:hint="eastAsia" w:ascii="Times New Roman" w:eastAsia="宋体" w:cs="Times New Roman"/>
                <w:color w:val="auto"/>
                <w:kern w:val="2"/>
                <w:sz w:val="21"/>
                <w:szCs w:val="21"/>
              </w:rPr>
              <w:t>m，短边为</w:t>
            </w:r>
            <w:r>
              <w:rPr>
                <w:rFonts w:hint="eastAsia" w:ascii="Times New Roman" w:cs="Times New Roman"/>
                <w:color w:val="auto"/>
                <w:kern w:val="2"/>
                <w:sz w:val="21"/>
                <w:szCs w:val="21"/>
                <w:lang w:val="en-US" w:eastAsia="zh-CN"/>
              </w:rPr>
              <w:t>0.5</w:t>
            </w:r>
            <w:r>
              <w:rPr>
                <w:rFonts w:hint="eastAsia" w:ascii="Times New Roman" w:eastAsia="宋体" w:cs="Times New Roman"/>
                <w:color w:val="auto"/>
                <w:kern w:val="2"/>
                <w:sz w:val="21"/>
                <w:szCs w:val="21"/>
              </w:rPr>
              <w:t>m，则集气罩周长P=</w:t>
            </w:r>
            <w:r>
              <w:rPr>
                <w:rFonts w:hint="eastAsia" w:ascii="Times New Roman" w:cs="Times New Roman"/>
                <w:color w:val="auto"/>
                <w:kern w:val="2"/>
                <w:sz w:val="21"/>
                <w:szCs w:val="21"/>
                <w:lang w:val="en-US" w:eastAsia="zh-CN"/>
              </w:rPr>
              <w:t>3</w:t>
            </w:r>
            <w:r>
              <w:rPr>
                <w:rFonts w:hint="eastAsia" w:ascii="Times New Roman" w:eastAsia="宋体" w:cs="Times New Roman"/>
                <w:color w:val="auto"/>
                <w:kern w:val="2"/>
                <w:sz w:val="21"/>
                <w:szCs w:val="21"/>
              </w:rPr>
              <w:t>m；</w:t>
            </w:r>
          </w:p>
          <w:p w14:paraId="50FF1B1E">
            <w:pPr>
              <w:pStyle w:val="23"/>
              <w:keepNext w:val="0"/>
              <w:keepLines w:val="0"/>
              <w:pageBreakBefore w:val="0"/>
              <w:widowControl w:val="0"/>
              <w:kinsoku/>
              <w:wordWrap/>
              <w:overflowPunct/>
              <w:topLinePunct w:val="0"/>
              <w:autoSpaceDE w:val="0"/>
              <w:autoSpaceDN w:val="0"/>
              <w:bidi w:val="0"/>
              <w:adjustRightInd w:val="0"/>
              <w:snapToGrid/>
              <w:spacing w:after="0" w:line="500" w:lineRule="exact"/>
              <w:ind w:firstLine="420" w:firstLineChars="200"/>
              <w:textAlignment w:val="auto"/>
              <w:rPr>
                <w:rFonts w:hint="eastAsia" w:ascii="Times New Roman" w:eastAsia="宋体" w:cs="Times New Roman"/>
                <w:color w:val="auto"/>
                <w:kern w:val="2"/>
                <w:sz w:val="21"/>
                <w:szCs w:val="21"/>
              </w:rPr>
            </w:pPr>
            <w:r>
              <w:rPr>
                <w:rFonts w:hint="eastAsia" w:ascii="Times New Roman" w:eastAsia="宋体" w:cs="Times New Roman"/>
                <w:color w:val="auto"/>
                <w:kern w:val="2"/>
                <w:sz w:val="21"/>
                <w:szCs w:val="21"/>
              </w:rPr>
              <w:t>H—罩口至污染源距离，m；一般取0.3A（罩口长边尺寸）；集气罩长边为</w:t>
            </w:r>
            <w:r>
              <w:rPr>
                <w:rFonts w:hint="eastAsia" w:ascii="Times New Roman" w:cs="Times New Roman"/>
                <w:color w:val="auto"/>
                <w:kern w:val="2"/>
                <w:sz w:val="21"/>
                <w:szCs w:val="21"/>
                <w:lang w:val="en-US" w:eastAsia="zh-CN"/>
              </w:rPr>
              <w:t>1</w:t>
            </w:r>
            <w:r>
              <w:rPr>
                <w:rFonts w:hint="eastAsia" w:ascii="Times New Roman" w:eastAsia="宋体" w:cs="Times New Roman"/>
                <w:color w:val="auto"/>
                <w:kern w:val="2"/>
                <w:sz w:val="21"/>
                <w:szCs w:val="21"/>
              </w:rPr>
              <w:t>m，至污染源距离取</w:t>
            </w:r>
            <w:r>
              <w:rPr>
                <w:rFonts w:hint="eastAsia" w:ascii="Times New Roman" w:eastAsia="宋体" w:cs="Times New Roman"/>
                <w:color w:val="auto"/>
                <w:kern w:val="2"/>
                <w:sz w:val="21"/>
                <w:szCs w:val="21"/>
                <w:lang w:val="en-US" w:eastAsia="zh-CN"/>
              </w:rPr>
              <w:t>0.</w:t>
            </w:r>
            <w:r>
              <w:rPr>
                <w:rFonts w:hint="eastAsia" w:ascii="Times New Roman" w:cs="Times New Roman"/>
                <w:color w:val="auto"/>
                <w:kern w:val="2"/>
                <w:sz w:val="21"/>
                <w:szCs w:val="21"/>
                <w:lang w:val="en-US" w:eastAsia="zh-CN"/>
              </w:rPr>
              <w:t>3</w:t>
            </w:r>
            <w:r>
              <w:rPr>
                <w:rFonts w:hint="eastAsia" w:ascii="Times New Roman" w:eastAsia="宋体" w:cs="Times New Roman"/>
                <w:color w:val="auto"/>
                <w:kern w:val="2"/>
                <w:sz w:val="21"/>
                <w:szCs w:val="21"/>
              </w:rPr>
              <w:t>m；</w:t>
            </w:r>
          </w:p>
          <w:p w14:paraId="172DBD54">
            <w:pPr>
              <w:pStyle w:val="23"/>
              <w:keepNext w:val="0"/>
              <w:keepLines w:val="0"/>
              <w:pageBreakBefore w:val="0"/>
              <w:widowControl w:val="0"/>
              <w:kinsoku/>
              <w:wordWrap/>
              <w:overflowPunct/>
              <w:topLinePunct w:val="0"/>
              <w:autoSpaceDE w:val="0"/>
              <w:autoSpaceDN w:val="0"/>
              <w:bidi w:val="0"/>
              <w:adjustRightInd w:val="0"/>
              <w:snapToGrid/>
              <w:spacing w:after="0" w:line="500" w:lineRule="exact"/>
              <w:ind w:firstLine="420" w:firstLineChars="200"/>
              <w:textAlignment w:val="auto"/>
              <w:rPr>
                <w:rFonts w:hint="eastAsia" w:ascii="Times New Roman" w:eastAsia="宋体" w:cs="Times New Roman"/>
                <w:color w:val="auto"/>
                <w:kern w:val="2"/>
                <w:sz w:val="21"/>
                <w:szCs w:val="21"/>
              </w:rPr>
            </w:pPr>
            <w:r>
              <w:rPr>
                <w:rFonts w:hint="eastAsia" w:ascii="Times New Roman" w:eastAsia="宋体" w:cs="Times New Roman"/>
                <w:color w:val="auto"/>
                <w:kern w:val="2"/>
                <w:sz w:val="21"/>
                <w:szCs w:val="21"/>
              </w:rPr>
              <w:t>Vx—污染源边缘控制风速，m/s；取0.</w:t>
            </w:r>
            <w:r>
              <w:rPr>
                <w:rFonts w:ascii="Times New Roman" w:eastAsia="宋体" w:cs="Times New Roman"/>
                <w:color w:val="auto"/>
                <w:kern w:val="2"/>
                <w:sz w:val="21"/>
                <w:szCs w:val="21"/>
              </w:rPr>
              <w:t>28</w:t>
            </w:r>
            <w:r>
              <w:rPr>
                <w:rFonts w:hint="eastAsia" w:ascii="Times New Roman" w:eastAsia="宋体" w:cs="Times New Roman"/>
                <w:color w:val="auto"/>
                <w:kern w:val="2"/>
                <w:sz w:val="21"/>
                <w:szCs w:val="21"/>
              </w:rPr>
              <w:t>m/s。</w:t>
            </w:r>
          </w:p>
          <w:p w14:paraId="58547280">
            <w:pPr>
              <w:pStyle w:val="23"/>
              <w:keepNext w:val="0"/>
              <w:keepLines w:val="0"/>
              <w:pageBreakBefore w:val="0"/>
              <w:widowControl w:val="0"/>
              <w:kinsoku/>
              <w:wordWrap/>
              <w:overflowPunct/>
              <w:topLinePunct w:val="0"/>
              <w:autoSpaceDE w:val="0"/>
              <w:autoSpaceDN w:val="0"/>
              <w:bidi w:val="0"/>
              <w:adjustRightInd w:val="0"/>
              <w:snapToGrid/>
              <w:spacing w:after="0" w:line="500" w:lineRule="exact"/>
              <w:ind w:firstLine="420" w:firstLineChars="200"/>
              <w:textAlignment w:val="auto"/>
              <w:rPr>
                <w:rFonts w:hint="eastAsia" w:ascii="Times New Roman" w:eastAsia="宋体" w:cs="Times New Roman"/>
                <w:color w:val="auto"/>
                <w:kern w:val="2"/>
                <w:sz w:val="21"/>
                <w:szCs w:val="21"/>
              </w:rPr>
            </w:pPr>
            <w:r>
              <w:rPr>
                <w:rFonts w:hint="eastAsia" w:ascii="Times New Roman" w:eastAsia="宋体" w:cs="Times New Roman"/>
                <w:color w:val="auto"/>
                <w:kern w:val="2"/>
                <w:sz w:val="21"/>
                <w:szCs w:val="21"/>
              </w:rPr>
              <w:t>经计算，本项目L=</w:t>
            </w:r>
            <w:r>
              <w:rPr>
                <w:rFonts w:hint="eastAsia" w:ascii="Times New Roman" w:cs="Times New Roman"/>
                <w:color w:val="auto"/>
                <w:kern w:val="2"/>
                <w:sz w:val="21"/>
                <w:szCs w:val="21"/>
                <w:lang w:val="en-US" w:eastAsia="zh-CN"/>
              </w:rPr>
              <w:t>0.35</w:t>
            </w:r>
            <w:r>
              <w:rPr>
                <w:rFonts w:hint="eastAsia" w:ascii="Times New Roman" w:eastAsia="宋体" w:cs="Times New Roman"/>
                <w:color w:val="auto"/>
                <w:kern w:val="2"/>
                <w:sz w:val="21"/>
                <w:szCs w:val="21"/>
              </w:rPr>
              <w:t>m</w:t>
            </w:r>
            <w:r>
              <w:rPr>
                <w:rFonts w:hint="eastAsia" w:ascii="Times New Roman" w:eastAsia="宋体" w:cs="Times New Roman"/>
                <w:color w:val="auto"/>
                <w:kern w:val="2"/>
                <w:sz w:val="21"/>
                <w:szCs w:val="21"/>
                <w:vertAlign w:val="superscript"/>
              </w:rPr>
              <w:t>3</w:t>
            </w:r>
            <w:r>
              <w:rPr>
                <w:rFonts w:hint="eastAsia" w:ascii="Times New Roman" w:eastAsia="宋体" w:cs="Times New Roman"/>
                <w:color w:val="auto"/>
                <w:kern w:val="2"/>
                <w:sz w:val="21"/>
                <w:szCs w:val="21"/>
              </w:rPr>
              <w:t>/s，即</w:t>
            </w:r>
            <w:r>
              <w:rPr>
                <w:rFonts w:hint="eastAsia" w:ascii="Times New Roman" w:cs="Times New Roman"/>
                <w:color w:val="auto"/>
                <w:kern w:val="2"/>
                <w:sz w:val="21"/>
                <w:szCs w:val="21"/>
                <w:lang w:val="en-US" w:eastAsia="zh-CN"/>
              </w:rPr>
              <w:t>1270</w:t>
            </w:r>
            <w:r>
              <w:rPr>
                <w:rFonts w:hint="eastAsia" w:ascii="Times New Roman" w:eastAsia="宋体" w:cs="Times New Roman"/>
                <w:color w:val="auto"/>
                <w:kern w:val="2"/>
                <w:sz w:val="21"/>
                <w:szCs w:val="21"/>
              </w:rPr>
              <w:t>m</w:t>
            </w:r>
            <w:r>
              <w:rPr>
                <w:rFonts w:hint="eastAsia" w:ascii="Times New Roman" w:eastAsia="宋体" w:cs="Times New Roman"/>
                <w:color w:val="auto"/>
                <w:kern w:val="2"/>
                <w:sz w:val="21"/>
                <w:szCs w:val="21"/>
                <w:vertAlign w:val="superscript"/>
              </w:rPr>
              <w:t>3</w:t>
            </w:r>
            <w:r>
              <w:rPr>
                <w:rFonts w:hint="eastAsia" w:ascii="Times New Roman" w:eastAsia="宋体" w:cs="Times New Roman"/>
                <w:color w:val="auto"/>
                <w:kern w:val="2"/>
                <w:sz w:val="21"/>
                <w:szCs w:val="21"/>
              </w:rPr>
              <w:t>/h。考虑到风量损失，故</w:t>
            </w:r>
            <w:r>
              <w:rPr>
                <w:rFonts w:hint="eastAsia" w:ascii="Times New Roman" w:cs="Times New Roman"/>
                <w:color w:val="auto"/>
                <w:kern w:val="2"/>
                <w:sz w:val="21"/>
                <w:szCs w:val="21"/>
                <w:lang w:val="en-US" w:eastAsia="zh-CN"/>
              </w:rPr>
              <w:t>在4</w:t>
            </w:r>
            <w:r>
              <w:rPr>
                <w:rFonts w:hint="eastAsia" w:ascii="Times New Roman" w:eastAsia="宋体" w:cs="Times New Roman"/>
                <w:color w:val="auto"/>
                <w:kern w:val="2"/>
                <w:sz w:val="21"/>
                <w:szCs w:val="21"/>
              </w:rPr>
              <w:t>台</w:t>
            </w:r>
            <w:r>
              <w:rPr>
                <w:rFonts w:hint="eastAsia" w:ascii="Times New Roman" w:cs="Times New Roman"/>
                <w:color w:val="auto"/>
                <w:kern w:val="2"/>
                <w:sz w:val="21"/>
                <w:szCs w:val="21"/>
                <w:lang w:eastAsia="zh-CN"/>
              </w:rPr>
              <w:t>上料机、</w:t>
            </w:r>
            <w:r>
              <w:rPr>
                <w:rFonts w:hint="eastAsia" w:ascii="Times New Roman" w:cs="Times New Roman"/>
                <w:color w:val="auto"/>
                <w:kern w:val="2"/>
                <w:sz w:val="21"/>
                <w:szCs w:val="21"/>
                <w:lang w:val="en-US" w:eastAsia="zh-CN"/>
              </w:rPr>
              <w:t>2台粉碎机</w:t>
            </w:r>
            <w:r>
              <w:rPr>
                <w:rFonts w:hint="eastAsia" w:ascii="Times New Roman" w:eastAsia="宋体" w:cs="Times New Roman"/>
                <w:color w:val="auto"/>
                <w:kern w:val="2"/>
                <w:sz w:val="21"/>
                <w:szCs w:val="21"/>
              </w:rPr>
              <w:t>风量取</w:t>
            </w:r>
            <w:r>
              <w:rPr>
                <w:rFonts w:hint="eastAsia" w:ascii="Times New Roman" w:cs="Times New Roman"/>
                <w:color w:val="auto"/>
                <w:kern w:val="2"/>
                <w:sz w:val="21"/>
                <w:szCs w:val="21"/>
                <w:lang w:val="en-US" w:eastAsia="zh-CN"/>
              </w:rPr>
              <w:t>8</w:t>
            </w:r>
            <w:r>
              <w:rPr>
                <w:rFonts w:hint="eastAsia" w:ascii="Times New Roman" w:eastAsia="宋体" w:cs="Times New Roman"/>
                <w:color w:val="auto"/>
                <w:kern w:val="2"/>
                <w:sz w:val="21"/>
                <w:szCs w:val="21"/>
                <w:lang w:val="en-US" w:eastAsia="zh-CN"/>
              </w:rPr>
              <w:t>000</w:t>
            </w:r>
            <w:r>
              <w:rPr>
                <w:rFonts w:hint="eastAsia" w:ascii="Times New Roman" w:eastAsia="宋体" w:cs="Times New Roman"/>
                <w:color w:val="auto"/>
                <w:kern w:val="2"/>
                <w:sz w:val="21"/>
                <w:szCs w:val="21"/>
              </w:rPr>
              <w:t>m</w:t>
            </w:r>
            <w:r>
              <w:rPr>
                <w:rFonts w:hint="eastAsia" w:ascii="Times New Roman" w:eastAsia="宋体" w:cs="Times New Roman"/>
                <w:color w:val="auto"/>
                <w:kern w:val="2"/>
                <w:sz w:val="21"/>
                <w:szCs w:val="21"/>
                <w:vertAlign w:val="superscript"/>
              </w:rPr>
              <w:t>3</w:t>
            </w:r>
            <w:r>
              <w:rPr>
                <w:rFonts w:hint="eastAsia" w:ascii="Times New Roman" w:eastAsia="宋体" w:cs="Times New Roman"/>
                <w:color w:val="auto"/>
                <w:kern w:val="2"/>
                <w:sz w:val="21"/>
                <w:szCs w:val="21"/>
              </w:rPr>
              <w:t>/h。</w:t>
            </w:r>
          </w:p>
          <w:p w14:paraId="1A40011E">
            <w:pPr>
              <w:keepNext w:val="0"/>
              <w:keepLines w:val="0"/>
              <w:pageBreakBefore w:val="0"/>
              <w:widowControl/>
              <w:kinsoku/>
              <w:wordWrap/>
              <w:overflowPunct/>
              <w:topLinePunct w:val="0"/>
              <w:bidi w:val="0"/>
              <w:snapToGrid/>
              <w:spacing w:line="500" w:lineRule="exact"/>
              <w:ind w:firstLine="420" w:firstLineChars="200"/>
              <w:jc w:val="left"/>
              <w:textAlignment w:val="auto"/>
              <w:rPr>
                <w:rFonts w:hint="default" w:eastAsia="宋体"/>
                <w:lang w:val="en-US" w:eastAsia="zh-CN"/>
              </w:rPr>
            </w:pPr>
            <w:r>
              <w:rPr>
                <w:rFonts w:hint="eastAsia"/>
                <w:lang w:eastAsia="zh-CN"/>
              </w:rPr>
              <w:t>配料、投料和粉碎过程颗粒物总产生量为：</w:t>
            </w:r>
            <w:r>
              <w:rPr>
                <w:rFonts w:hint="eastAsia"/>
                <w:lang w:val="en-US" w:eastAsia="zh-CN"/>
              </w:rPr>
              <w:t>6+0.004=6.004t。</w:t>
            </w:r>
          </w:p>
          <w:p w14:paraId="7E957430">
            <w:pPr>
              <w:keepNext w:val="0"/>
              <w:keepLines w:val="0"/>
              <w:pageBreakBefore w:val="0"/>
              <w:widowControl/>
              <w:kinsoku/>
              <w:wordWrap/>
              <w:overflowPunct/>
              <w:topLinePunct w:val="0"/>
              <w:bidi w:val="0"/>
              <w:snapToGrid/>
              <w:spacing w:line="500" w:lineRule="exact"/>
              <w:ind w:firstLine="420" w:firstLineChars="200"/>
              <w:jc w:val="left"/>
              <w:textAlignment w:val="auto"/>
            </w:pPr>
            <w:r>
              <w:t>则</w:t>
            </w:r>
            <w:r>
              <w:rPr>
                <w:rFonts w:hint="eastAsia"/>
                <w:lang w:eastAsia="zh-CN"/>
              </w:rPr>
              <w:t>颗粒物有组织产生量为</w:t>
            </w:r>
            <w:r>
              <w:rPr>
                <w:rFonts w:hint="eastAsia"/>
                <w:lang w:val="en-US" w:eastAsia="zh-CN"/>
              </w:rPr>
              <w:t>5.4t/a，</w:t>
            </w:r>
            <w:r>
              <w:t>产生速率为</w:t>
            </w:r>
            <w:r>
              <w:rPr>
                <w:rFonts w:hint="eastAsia"/>
                <w:lang w:val="en-US" w:eastAsia="zh-CN"/>
              </w:rPr>
              <w:t>4.5</w:t>
            </w:r>
            <w:r>
              <w:t>kg/h，产生浓度为</w:t>
            </w:r>
            <w:r>
              <w:rPr>
                <w:rFonts w:hint="eastAsia"/>
                <w:lang w:val="en-US" w:eastAsia="zh-CN"/>
              </w:rPr>
              <w:t>562.5</w:t>
            </w:r>
            <w:r>
              <w:t>mg/m</w:t>
            </w:r>
            <w:r>
              <w:rPr>
                <w:vertAlign w:val="superscript"/>
              </w:rPr>
              <w:t>3</w:t>
            </w:r>
            <w:r>
              <w:t>；有组织排放量为</w:t>
            </w:r>
            <w:r>
              <w:rPr>
                <w:rFonts w:hint="eastAsia"/>
                <w:lang w:val="en-US" w:eastAsia="zh-CN"/>
              </w:rPr>
              <w:t>0.054</w:t>
            </w:r>
            <w:r>
              <w:t>t/a，排放速率为</w:t>
            </w:r>
            <w:r>
              <w:rPr>
                <w:rFonts w:hint="eastAsia"/>
                <w:lang w:val="en-US" w:eastAsia="zh-CN"/>
              </w:rPr>
              <w:t>0.045</w:t>
            </w:r>
            <w:r>
              <w:t>kg/h，排放浓度为</w:t>
            </w:r>
            <w:r>
              <w:rPr>
                <w:rFonts w:hint="eastAsia"/>
                <w:lang w:val="en-US" w:eastAsia="zh-CN"/>
              </w:rPr>
              <w:t>5.6</w:t>
            </w:r>
            <w:r>
              <w:t>mg/m</w:t>
            </w:r>
            <w:r>
              <w:rPr>
                <w:vertAlign w:val="superscript"/>
              </w:rPr>
              <w:t>3</w:t>
            </w:r>
            <w:r>
              <w:t>。该过程未被收集的</w:t>
            </w:r>
            <w:r>
              <w:rPr>
                <w:rFonts w:hint="eastAsia"/>
                <w:lang w:eastAsia="zh-CN"/>
              </w:rPr>
              <w:t>颗粒物</w:t>
            </w:r>
            <w:r>
              <w:t>无组织排放，</w:t>
            </w:r>
            <w:r>
              <w:rPr>
                <w:rFonts w:hint="eastAsia"/>
                <w:lang w:eastAsia="zh-CN"/>
              </w:rPr>
              <w:t>颗粒物</w:t>
            </w:r>
            <w:r>
              <w:t>无组织排放量为</w:t>
            </w:r>
            <w:r>
              <w:rPr>
                <w:rFonts w:hint="eastAsia"/>
                <w:lang w:val="en-US" w:eastAsia="zh-CN"/>
              </w:rPr>
              <w:t>0.6</w:t>
            </w:r>
            <w:r>
              <w:t>t/a，排放速率为</w:t>
            </w:r>
            <w:r>
              <w:rPr>
                <w:rFonts w:hint="eastAsia"/>
                <w:lang w:val="en-US" w:eastAsia="zh-CN"/>
              </w:rPr>
              <w:t>0.5</w:t>
            </w:r>
            <w:r>
              <w:t>kg/h。</w:t>
            </w:r>
          </w:p>
          <w:p w14:paraId="018E4486">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200"/>
              <w:textAlignment w:val="auto"/>
              <w:rPr>
                <w:rFonts w:hint="eastAsia"/>
                <w:lang w:eastAsia="zh-CN"/>
              </w:rPr>
            </w:pPr>
            <w:r>
              <w:rPr>
                <w:rFonts w:hint="eastAsia"/>
                <w:lang w:eastAsia="zh-CN"/>
              </w:rPr>
              <w:t>挤出废气</w:t>
            </w:r>
          </w:p>
          <w:p w14:paraId="1C5BA8A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lang w:val="en-US" w:eastAsia="zh-CN"/>
              </w:rPr>
            </w:pPr>
            <w:r>
              <w:rPr>
                <w:rFonts w:hint="eastAsia"/>
                <w:lang w:eastAsia="zh-CN"/>
              </w:rPr>
              <w:t>项目在熔融挤出时产生有机废气，以非甲烷总烃计，参照《排放源统计调查产排污核算方法和系数手册》的塑料制品行业系数手册，塑料板、管、型材制造行业系数表中配料-混合-挤出的挥发性有机物（以非甲烷总烃计）产污系数为1.50kg/t-产品，项目产能为</w:t>
            </w:r>
            <w:r>
              <w:rPr>
                <w:rFonts w:hint="eastAsia"/>
                <w:lang w:val="en-US" w:eastAsia="zh-CN"/>
              </w:rPr>
              <w:t>1000</w:t>
            </w:r>
            <w:r>
              <w:rPr>
                <w:rFonts w:hint="eastAsia"/>
                <w:lang w:eastAsia="zh-CN"/>
              </w:rPr>
              <w:t>t/a，则非甲烷总烃产生量为</w:t>
            </w:r>
            <w:r>
              <w:rPr>
                <w:rFonts w:hint="eastAsia"/>
                <w:lang w:val="en-US" w:eastAsia="zh-CN"/>
              </w:rPr>
              <w:t>1.5t/a，年工作时间为2000h，拟采取在挤出机上方设置集气罩（收集效率90%），经水喷淋+除雾除湿设施+二级活性炭吸附装置处理后（处理效率90%），通过一根15m高排气筒排放。</w:t>
            </w:r>
          </w:p>
          <w:p w14:paraId="6274F567">
            <w:pPr>
              <w:pStyle w:val="23"/>
              <w:keepNext w:val="0"/>
              <w:keepLines w:val="0"/>
              <w:pageBreakBefore w:val="0"/>
              <w:kinsoku/>
              <w:wordWrap/>
              <w:overflowPunct/>
              <w:topLinePunct w:val="0"/>
              <w:bidi w:val="0"/>
              <w:snapToGrid/>
              <w:spacing w:after="0" w:line="500" w:lineRule="exact"/>
              <w:ind w:firstLine="420" w:firstLineChars="200"/>
              <w:textAlignment w:val="auto"/>
              <w:rPr>
                <w:rFonts w:hint="eastAsia" w:ascii="Times New Roman" w:eastAsia="宋体" w:cs="Times New Roman"/>
                <w:color w:val="auto"/>
                <w:kern w:val="2"/>
                <w:sz w:val="21"/>
                <w:szCs w:val="21"/>
              </w:rPr>
            </w:pPr>
            <w:r>
              <w:rPr>
                <w:rFonts w:hint="eastAsia" w:ascii="Times New Roman" w:cs="Times New Roman"/>
                <w:color w:val="auto"/>
                <w:kern w:val="2"/>
                <w:sz w:val="21"/>
                <w:szCs w:val="21"/>
                <w:lang w:eastAsia="zh-CN"/>
              </w:rPr>
              <w:t>风量</w:t>
            </w:r>
            <w:r>
              <w:rPr>
                <w:rFonts w:hint="eastAsia" w:ascii="Times New Roman" w:eastAsia="宋体" w:cs="Times New Roman"/>
                <w:color w:val="auto"/>
                <w:kern w:val="2"/>
                <w:sz w:val="21"/>
                <w:szCs w:val="21"/>
              </w:rPr>
              <w:t>参考《环境工程设计手册》（魏先勋主编）外部吸气罩的设计计算方法，具体如下：</w:t>
            </w:r>
          </w:p>
          <w:p w14:paraId="48D2B1D3">
            <w:pPr>
              <w:pStyle w:val="23"/>
              <w:spacing w:after="0" w:line="360" w:lineRule="auto"/>
              <w:ind w:firstLine="420" w:firstLineChars="200"/>
              <w:jc w:val="center"/>
              <w:rPr>
                <w:rFonts w:ascii="Times New Roman" w:eastAsia="宋体" w:cs="Times New Roman"/>
                <w:color w:val="auto"/>
                <w:kern w:val="2"/>
                <w:sz w:val="21"/>
                <w:szCs w:val="21"/>
              </w:rPr>
            </w:pPr>
            <w:r>
              <w:rPr>
                <w:rFonts w:ascii="Times New Roman" w:eastAsia="宋体" w:cs="Times New Roman"/>
                <w:color w:val="auto"/>
                <w:kern w:val="2"/>
                <w:sz w:val="21"/>
                <w:szCs w:val="21"/>
              </w:rPr>
              <w:t>L=kPHVx</w:t>
            </w:r>
          </w:p>
          <w:p w14:paraId="316277B1">
            <w:pPr>
              <w:pStyle w:val="23"/>
              <w:keepNext w:val="0"/>
              <w:keepLines w:val="0"/>
              <w:pageBreakBefore w:val="0"/>
              <w:widowControl w:val="0"/>
              <w:kinsoku/>
              <w:wordWrap/>
              <w:overflowPunct/>
              <w:topLinePunct w:val="0"/>
              <w:autoSpaceDE w:val="0"/>
              <w:autoSpaceDN w:val="0"/>
              <w:bidi w:val="0"/>
              <w:adjustRightInd w:val="0"/>
              <w:snapToGrid/>
              <w:spacing w:after="0" w:line="500" w:lineRule="exact"/>
              <w:ind w:firstLine="420" w:firstLineChars="200"/>
              <w:textAlignment w:val="auto"/>
              <w:rPr>
                <w:rFonts w:hint="eastAsia" w:ascii="Times New Roman" w:eastAsia="宋体" w:cs="Times New Roman"/>
                <w:color w:val="auto"/>
                <w:kern w:val="2"/>
                <w:sz w:val="21"/>
                <w:szCs w:val="21"/>
              </w:rPr>
            </w:pPr>
            <w:r>
              <w:rPr>
                <w:rFonts w:hint="eastAsia" w:ascii="Times New Roman" w:eastAsia="宋体" w:cs="Times New Roman"/>
                <w:color w:val="auto"/>
                <w:kern w:val="2"/>
                <w:sz w:val="21"/>
                <w:szCs w:val="21"/>
              </w:rPr>
              <w:t>式中：L—排放量，m</w:t>
            </w:r>
            <w:r>
              <w:rPr>
                <w:rFonts w:hint="eastAsia" w:ascii="Times New Roman" w:eastAsia="宋体" w:cs="Times New Roman"/>
                <w:color w:val="auto"/>
                <w:kern w:val="2"/>
                <w:sz w:val="21"/>
                <w:szCs w:val="21"/>
                <w:vertAlign w:val="superscript"/>
              </w:rPr>
              <w:t>3</w:t>
            </w:r>
            <w:r>
              <w:rPr>
                <w:rFonts w:hint="eastAsia" w:ascii="Times New Roman" w:eastAsia="宋体" w:cs="Times New Roman"/>
                <w:color w:val="auto"/>
                <w:kern w:val="2"/>
                <w:sz w:val="21"/>
                <w:szCs w:val="21"/>
              </w:rPr>
              <w:t>/s；</w:t>
            </w:r>
          </w:p>
          <w:p w14:paraId="2DC87EDB">
            <w:pPr>
              <w:pStyle w:val="23"/>
              <w:keepNext w:val="0"/>
              <w:keepLines w:val="0"/>
              <w:pageBreakBefore w:val="0"/>
              <w:widowControl w:val="0"/>
              <w:kinsoku/>
              <w:wordWrap/>
              <w:overflowPunct/>
              <w:topLinePunct w:val="0"/>
              <w:autoSpaceDE w:val="0"/>
              <w:autoSpaceDN w:val="0"/>
              <w:bidi w:val="0"/>
              <w:adjustRightInd w:val="0"/>
              <w:snapToGrid/>
              <w:spacing w:after="0" w:line="500" w:lineRule="exact"/>
              <w:ind w:firstLine="420" w:firstLineChars="200"/>
              <w:textAlignment w:val="auto"/>
              <w:rPr>
                <w:rFonts w:hint="eastAsia" w:ascii="Times New Roman" w:eastAsia="宋体" w:cs="Times New Roman"/>
                <w:color w:val="auto"/>
                <w:kern w:val="2"/>
                <w:sz w:val="21"/>
                <w:szCs w:val="21"/>
              </w:rPr>
            </w:pPr>
            <w:r>
              <w:rPr>
                <w:rFonts w:hint="eastAsia" w:ascii="Times New Roman" w:eastAsia="宋体" w:cs="Times New Roman"/>
                <w:color w:val="auto"/>
                <w:kern w:val="2"/>
                <w:sz w:val="21"/>
                <w:szCs w:val="21"/>
              </w:rPr>
              <w:t>k—安全系数，一般取1.4；</w:t>
            </w:r>
          </w:p>
          <w:p w14:paraId="26054527">
            <w:pPr>
              <w:pStyle w:val="23"/>
              <w:keepNext w:val="0"/>
              <w:keepLines w:val="0"/>
              <w:pageBreakBefore w:val="0"/>
              <w:widowControl w:val="0"/>
              <w:kinsoku/>
              <w:wordWrap/>
              <w:overflowPunct/>
              <w:topLinePunct w:val="0"/>
              <w:autoSpaceDE w:val="0"/>
              <w:autoSpaceDN w:val="0"/>
              <w:bidi w:val="0"/>
              <w:adjustRightInd w:val="0"/>
              <w:snapToGrid/>
              <w:spacing w:after="0" w:line="500" w:lineRule="exact"/>
              <w:ind w:firstLine="420" w:firstLineChars="200"/>
              <w:textAlignment w:val="auto"/>
              <w:rPr>
                <w:rFonts w:hint="eastAsia" w:ascii="Times New Roman" w:eastAsia="宋体" w:cs="Times New Roman"/>
                <w:color w:val="auto"/>
                <w:kern w:val="2"/>
                <w:sz w:val="21"/>
                <w:szCs w:val="21"/>
              </w:rPr>
            </w:pPr>
            <w:r>
              <w:rPr>
                <w:rFonts w:hint="eastAsia" w:ascii="Times New Roman" w:eastAsia="宋体" w:cs="Times New Roman"/>
                <w:color w:val="auto"/>
                <w:kern w:val="2"/>
                <w:sz w:val="21"/>
                <w:szCs w:val="21"/>
              </w:rPr>
              <w:t>P—排风罩口敞开面的周长，m；集气罩长边为</w:t>
            </w:r>
            <w:r>
              <w:rPr>
                <w:rFonts w:hint="eastAsia" w:ascii="Times New Roman" w:cs="Times New Roman"/>
                <w:color w:val="auto"/>
                <w:kern w:val="2"/>
                <w:sz w:val="21"/>
                <w:szCs w:val="21"/>
                <w:lang w:val="en-US" w:eastAsia="zh-CN"/>
              </w:rPr>
              <w:t>1</w:t>
            </w:r>
            <w:r>
              <w:rPr>
                <w:rFonts w:hint="eastAsia" w:ascii="Times New Roman" w:eastAsia="宋体" w:cs="Times New Roman"/>
                <w:color w:val="auto"/>
                <w:kern w:val="2"/>
                <w:sz w:val="21"/>
                <w:szCs w:val="21"/>
              </w:rPr>
              <w:t>m，短边为</w:t>
            </w:r>
            <w:r>
              <w:rPr>
                <w:rFonts w:hint="eastAsia" w:ascii="Times New Roman" w:cs="Times New Roman"/>
                <w:color w:val="auto"/>
                <w:kern w:val="2"/>
                <w:sz w:val="21"/>
                <w:szCs w:val="21"/>
                <w:lang w:val="en-US" w:eastAsia="zh-CN"/>
              </w:rPr>
              <w:t>1</w:t>
            </w:r>
            <w:r>
              <w:rPr>
                <w:rFonts w:hint="eastAsia" w:ascii="Times New Roman" w:eastAsia="宋体" w:cs="Times New Roman"/>
                <w:color w:val="auto"/>
                <w:kern w:val="2"/>
                <w:sz w:val="21"/>
                <w:szCs w:val="21"/>
              </w:rPr>
              <w:t>m，则集气罩周长P=</w:t>
            </w:r>
            <w:r>
              <w:rPr>
                <w:rFonts w:hint="eastAsia" w:ascii="Times New Roman" w:cs="Times New Roman"/>
                <w:color w:val="auto"/>
                <w:kern w:val="2"/>
                <w:sz w:val="21"/>
                <w:szCs w:val="21"/>
                <w:lang w:val="en-US" w:eastAsia="zh-CN"/>
              </w:rPr>
              <w:t>4</w:t>
            </w:r>
            <w:r>
              <w:rPr>
                <w:rFonts w:hint="eastAsia" w:ascii="Times New Roman" w:eastAsia="宋体" w:cs="Times New Roman"/>
                <w:color w:val="auto"/>
                <w:kern w:val="2"/>
                <w:sz w:val="21"/>
                <w:szCs w:val="21"/>
              </w:rPr>
              <w:t>m；</w:t>
            </w:r>
          </w:p>
          <w:p w14:paraId="0C239D70">
            <w:pPr>
              <w:pStyle w:val="23"/>
              <w:keepNext w:val="0"/>
              <w:keepLines w:val="0"/>
              <w:pageBreakBefore w:val="0"/>
              <w:widowControl w:val="0"/>
              <w:kinsoku/>
              <w:wordWrap/>
              <w:overflowPunct/>
              <w:topLinePunct w:val="0"/>
              <w:autoSpaceDE w:val="0"/>
              <w:autoSpaceDN w:val="0"/>
              <w:bidi w:val="0"/>
              <w:adjustRightInd w:val="0"/>
              <w:snapToGrid/>
              <w:spacing w:after="0" w:line="500" w:lineRule="exact"/>
              <w:ind w:firstLine="420" w:firstLineChars="200"/>
              <w:textAlignment w:val="auto"/>
              <w:rPr>
                <w:rFonts w:hint="eastAsia" w:ascii="Times New Roman" w:eastAsia="宋体" w:cs="Times New Roman"/>
                <w:color w:val="auto"/>
                <w:kern w:val="2"/>
                <w:sz w:val="21"/>
                <w:szCs w:val="21"/>
              </w:rPr>
            </w:pPr>
            <w:r>
              <w:rPr>
                <w:rFonts w:hint="eastAsia" w:ascii="Times New Roman" w:eastAsia="宋体" w:cs="Times New Roman"/>
                <w:color w:val="auto"/>
                <w:kern w:val="2"/>
                <w:sz w:val="21"/>
                <w:szCs w:val="21"/>
              </w:rPr>
              <w:t>H—罩口至污染源距离，m；一般取0.3A（罩口长边尺寸）；集气罩长边为</w:t>
            </w:r>
            <w:r>
              <w:rPr>
                <w:rFonts w:hint="eastAsia" w:ascii="Times New Roman" w:cs="Times New Roman"/>
                <w:color w:val="auto"/>
                <w:kern w:val="2"/>
                <w:sz w:val="21"/>
                <w:szCs w:val="21"/>
                <w:lang w:val="en-US" w:eastAsia="zh-CN"/>
              </w:rPr>
              <w:t>1</w:t>
            </w:r>
            <w:r>
              <w:rPr>
                <w:rFonts w:hint="eastAsia" w:ascii="Times New Roman" w:eastAsia="宋体" w:cs="Times New Roman"/>
                <w:color w:val="auto"/>
                <w:kern w:val="2"/>
                <w:sz w:val="21"/>
                <w:szCs w:val="21"/>
              </w:rPr>
              <w:t>m，至污染源距离取</w:t>
            </w:r>
            <w:r>
              <w:rPr>
                <w:rFonts w:hint="eastAsia" w:ascii="Times New Roman" w:eastAsia="宋体" w:cs="Times New Roman"/>
                <w:color w:val="auto"/>
                <w:kern w:val="2"/>
                <w:sz w:val="21"/>
                <w:szCs w:val="21"/>
                <w:lang w:val="en-US" w:eastAsia="zh-CN"/>
              </w:rPr>
              <w:t>0.</w:t>
            </w:r>
            <w:r>
              <w:rPr>
                <w:rFonts w:hint="eastAsia" w:ascii="Times New Roman" w:cs="Times New Roman"/>
                <w:color w:val="auto"/>
                <w:kern w:val="2"/>
                <w:sz w:val="21"/>
                <w:szCs w:val="21"/>
                <w:lang w:val="en-US" w:eastAsia="zh-CN"/>
              </w:rPr>
              <w:t>3</w:t>
            </w:r>
            <w:r>
              <w:rPr>
                <w:rFonts w:hint="eastAsia" w:ascii="Times New Roman" w:eastAsia="宋体" w:cs="Times New Roman"/>
                <w:color w:val="auto"/>
                <w:kern w:val="2"/>
                <w:sz w:val="21"/>
                <w:szCs w:val="21"/>
              </w:rPr>
              <w:t>m；</w:t>
            </w:r>
          </w:p>
          <w:p w14:paraId="16A5B0C5">
            <w:pPr>
              <w:pStyle w:val="23"/>
              <w:keepNext w:val="0"/>
              <w:keepLines w:val="0"/>
              <w:pageBreakBefore w:val="0"/>
              <w:widowControl w:val="0"/>
              <w:kinsoku/>
              <w:wordWrap/>
              <w:overflowPunct/>
              <w:topLinePunct w:val="0"/>
              <w:autoSpaceDE w:val="0"/>
              <w:autoSpaceDN w:val="0"/>
              <w:bidi w:val="0"/>
              <w:adjustRightInd w:val="0"/>
              <w:snapToGrid/>
              <w:spacing w:after="0" w:line="500" w:lineRule="exact"/>
              <w:ind w:firstLine="420" w:firstLineChars="200"/>
              <w:textAlignment w:val="auto"/>
              <w:rPr>
                <w:rFonts w:hint="eastAsia" w:ascii="Times New Roman" w:eastAsia="宋体" w:cs="Times New Roman"/>
                <w:color w:val="auto"/>
                <w:kern w:val="2"/>
                <w:sz w:val="21"/>
                <w:szCs w:val="21"/>
              </w:rPr>
            </w:pPr>
            <w:r>
              <w:rPr>
                <w:rFonts w:hint="eastAsia" w:ascii="Times New Roman" w:eastAsia="宋体" w:cs="Times New Roman"/>
                <w:color w:val="auto"/>
                <w:kern w:val="2"/>
                <w:sz w:val="21"/>
                <w:szCs w:val="21"/>
              </w:rPr>
              <w:t>Vx—污染源边缘控制风速，m/s；取0.</w:t>
            </w:r>
            <w:r>
              <w:rPr>
                <w:rFonts w:ascii="Times New Roman" w:eastAsia="宋体" w:cs="Times New Roman"/>
                <w:color w:val="auto"/>
                <w:kern w:val="2"/>
                <w:sz w:val="21"/>
                <w:szCs w:val="21"/>
              </w:rPr>
              <w:t>28</w:t>
            </w:r>
            <w:r>
              <w:rPr>
                <w:rFonts w:hint="eastAsia" w:ascii="Times New Roman" w:eastAsia="宋体" w:cs="Times New Roman"/>
                <w:color w:val="auto"/>
                <w:kern w:val="2"/>
                <w:sz w:val="21"/>
                <w:szCs w:val="21"/>
              </w:rPr>
              <w:t>m/s。</w:t>
            </w:r>
          </w:p>
          <w:p w14:paraId="68440CE0">
            <w:pPr>
              <w:pStyle w:val="23"/>
              <w:keepNext w:val="0"/>
              <w:keepLines w:val="0"/>
              <w:pageBreakBefore w:val="0"/>
              <w:widowControl w:val="0"/>
              <w:kinsoku/>
              <w:wordWrap/>
              <w:overflowPunct/>
              <w:topLinePunct w:val="0"/>
              <w:autoSpaceDE w:val="0"/>
              <w:autoSpaceDN w:val="0"/>
              <w:bidi w:val="0"/>
              <w:adjustRightInd w:val="0"/>
              <w:snapToGrid/>
              <w:spacing w:after="0" w:line="500" w:lineRule="exact"/>
              <w:ind w:firstLine="420" w:firstLineChars="200"/>
              <w:textAlignment w:val="auto"/>
              <w:rPr>
                <w:rFonts w:hint="eastAsia" w:ascii="Times New Roman" w:eastAsia="宋体" w:cs="Times New Roman"/>
                <w:color w:val="auto"/>
                <w:kern w:val="2"/>
                <w:sz w:val="21"/>
                <w:szCs w:val="21"/>
              </w:rPr>
            </w:pPr>
            <w:r>
              <w:rPr>
                <w:rFonts w:hint="eastAsia" w:ascii="Times New Roman" w:eastAsia="宋体" w:cs="Times New Roman"/>
                <w:color w:val="auto"/>
                <w:kern w:val="2"/>
                <w:sz w:val="21"/>
                <w:szCs w:val="21"/>
              </w:rPr>
              <w:t>经计算，本项目L=</w:t>
            </w:r>
            <w:r>
              <w:rPr>
                <w:rFonts w:hint="eastAsia" w:ascii="Times New Roman" w:cs="Times New Roman"/>
                <w:color w:val="auto"/>
                <w:kern w:val="2"/>
                <w:sz w:val="21"/>
                <w:szCs w:val="21"/>
                <w:lang w:val="en-US" w:eastAsia="zh-CN"/>
              </w:rPr>
              <w:t>0.47</w:t>
            </w:r>
            <w:r>
              <w:rPr>
                <w:rFonts w:hint="eastAsia" w:ascii="Times New Roman" w:eastAsia="宋体" w:cs="Times New Roman"/>
                <w:color w:val="auto"/>
                <w:kern w:val="2"/>
                <w:sz w:val="21"/>
                <w:szCs w:val="21"/>
              </w:rPr>
              <w:t>m</w:t>
            </w:r>
            <w:r>
              <w:rPr>
                <w:rFonts w:hint="eastAsia" w:ascii="Times New Roman" w:eastAsia="宋体" w:cs="Times New Roman"/>
                <w:color w:val="auto"/>
                <w:kern w:val="2"/>
                <w:sz w:val="21"/>
                <w:szCs w:val="21"/>
                <w:vertAlign w:val="superscript"/>
              </w:rPr>
              <w:t>3</w:t>
            </w:r>
            <w:r>
              <w:rPr>
                <w:rFonts w:hint="eastAsia" w:ascii="Times New Roman" w:eastAsia="宋体" w:cs="Times New Roman"/>
                <w:color w:val="auto"/>
                <w:kern w:val="2"/>
                <w:sz w:val="21"/>
                <w:szCs w:val="21"/>
              </w:rPr>
              <w:t>/s，即</w:t>
            </w:r>
            <w:r>
              <w:rPr>
                <w:rFonts w:hint="eastAsia" w:ascii="Times New Roman" w:cs="Times New Roman"/>
                <w:color w:val="auto"/>
                <w:kern w:val="2"/>
                <w:sz w:val="21"/>
                <w:szCs w:val="21"/>
                <w:lang w:val="en-US" w:eastAsia="zh-CN"/>
              </w:rPr>
              <w:t>1693.44</w:t>
            </w:r>
            <w:r>
              <w:rPr>
                <w:rFonts w:hint="eastAsia" w:ascii="Times New Roman" w:eastAsia="宋体" w:cs="Times New Roman"/>
                <w:color w:val="auto"/>
                <w:kern w:val="2"/>
                <w:sz w:val="21"/>
                <w:szCs w:val="21"/>
              </w:rPr>
              <w:t>m</w:t>
            </w:r>
            <w:r>
              <w:rPr>
                <w:rFonts w:hint="eastAsia" w:ascii="Times New Roman" w:eastAsia="宋体" w:cs="Times New Roman"/>
                <w:color w:val="auto"/>
                <w:kern w:val="2"/>
                <w:sz w:val="21"/>
                <w:szCs w:val="21"/>
                <w:vertAlign w:val="superscript"/>
              </w:rPr>
              <w:t>3</w:t>
            </w:r>
            <w:r>
              <w:rPr>
                <w:rFonts w:hint="eastAsia" w:ascii="Times New Roman" w:eastAsia="宋体" w:cs="Times New Roman"/>
                <w:color w:val="auto"/>
                <w:kern w:val="2"/>
                <w:sz w:val="21"/>
                <w:szCs w:val="21"/>
              </w:rPr>
              <w:t>/h。考虑到风量损失，故</w:t>
            </w:r>
            <w:r>
              <w:rPr>
                <w:rFonts w:hint="eastAsia" w:ascii="Times New Roman" w:cs="Times New Roman"/>
                <w:color w:val="auto"/>
                <w:kern w:val="2"/>
                <w:sz w:val="21"/>
                <w:szCs w:val="21"/>
                <w:lang w:val="en-US" w:eastAsia="zh-CN"/>
              </w:rPr>
              <w:t>4台挤出机</w:t>
            </w:r>
            <w:r>
              <w:rPr>
                <w:rFonts w:hint="eastAsia" w:ascii="Times New Roman" w:eastAsia="宋体" w:cs="Times New Roman"/>
                <w:color w:val="auto"/>
                <w:kern w:val="2"/>
                <w:sz w:val="21"/>
                <w:szCs w:val="21"/>
              </w:rPr>
              <w:t>风量取</w:t>
            </w:r>
            <w:r>
              <w:rPr>
                <w:rFonts w:hint="eastAsia" w:ascii="Times New Roman" w:cs="Times New Roman"/>
                <w:color w:val="auto"/>
                <w:kern w:val="2"/>
                <w:sz w:val="21"/>
                <w:szCs w:val="21"/>
                <w:lang w:val="en-US" w:eastAsia="zh-CN"/>
              </w:rPr>
              <w:t>7</w:t>
            </w:r>
            <w:r>
              <w:rPr>
                <w:rFonts w:hint="eastAsia" w:ascii="Times New Roman" w:eastAsia="宋体" w:cs="Times New Roman"/>
                <w:color w:val="auto"/>
                <w:kern w:val="2"/>
                <w:sz w:val="21"/>
                <w:szCs w:val="21"/>
                <w:lang w:val="en-US" w:eastAsia="zh-CN"/>
              </w:rPr>
              <w:t>000</w:t>
            </w:r>
            <w:r>
              <w:rPr>
                <w:rFonts w:hint="eastAsia" w:ascii="Times New Roman" w:eastAsia="宋体" w:cs="Times New Roman"/>
                <w:color w:val="auto"/>
                <w:kern w:val="2"/>
                <w:sz w:val="21"/>
                <w:szCs w:val="21"/>
              </w:rPr>
              <w:t>m</w:t>
            </w:r>
            <w:r>
              <w:rPr>
                <w:rFonts w:hint="eastAsia" w:ascii="Times New Roman" w:eastAsia="宋体" w:cs="Times New Roman"/>
                <w:color w:val="auto"/>
                <w:kern w:val="2"/>
                <w:sz w:val="21"/>
                <w:szCs w:val="21"/>
                <w:vertAlign w:val="superscript"/>
              </w:rPr>
              <w:t>3</w:t>
            </w:r>
            <w:r>
              <w:rPr>
                <w:rFonts w:hint="eastAsia" w:ascii="Times New Roman" w:eastAsia="宋体" w:cs="Times New Roman"/>
                <w:color w:val="auto"/>
                <w:kern w:val="2"/>
                <w:sz w:val="21"/>
                <w:szCs w:val="21"/>
              </w:rPr>
              <w:t>/h。</w:t>
            </w:r>
          </w:p>
          <w:p w14:paraId="767930DB">
            <w:pPr>
              <w:widowControl/>
              <w:spacing w:line="500" w:lineRule="exact"/>
              <w:ind w:firstLine="420" w:firstLineChars="200"/>
              <w:jc w:val="left"/>
              <w:rPr>
                <w:b/>
                <w:bCs/>
                <w:color w:val="auto"/>
              </w:rPr>
            </w:pPr>
            <w:r>
              <w:t>则</w:t>
            </w:r>
            <w:r>
              <w:rPr>
                <w:rFonts w:hint="eastAsia"/>
                <w:lang w:eastAsia="zh-CN"/>
              </w:rPr>
              <w:t>非甲烷总烃有组织产生量为</w:t>
            </w:r>
            <w:r>
              <w:rPr>
                <w:rFonts w:hint="eastAsia"/>
                <w:lang w:val="en-US" w:eastAsia="zh-CN"/>
              </w:rPr>
              <w:t>1.35t/a，</w:t>
            </w:r>
            <w:r>
              <w:t>产生速率为</w:t>
            </w:r>
            <w:r>
              <w:rPr>
                <w:rFonts w:hint="eastAsia"/>
                <w:lang w:val="en-US" w:eastAsia="zh-CN"/>
              </w:rPr>
              <w:t>0.68</w:t>
            </w:r>
            <w:r>
              <w:t>kg/h，产生浓度为</w:t>
            </w:r>
            <w:r>
              <w:rPr>
                <w:rFonts w:hint="eastAsia"/>
                <w:lang w:val="en-US" w:eastAsia="zh-CN"/>
              </w:rPr>
              <w:t>97.14</w:t>
            </w:r>
            <w:r>
              <w:t>mg/m</w:t>
            </w:r>
            <w:r>
              <w:rPr>
                <w:vertAlign w:val="superscript"/>
              </w:rPr>
              <w:t>3</w:t>
            </w:r>
            <w:r>
              <w:t>；有组织排放量为</w:t>
            </w:r>
            <w:r>
              <w:rPr>
                <w:rFonts w:hint="eastAsia"/>
                <w:lang w:val="en-US" w:eastAsia="zh-CN"/>
              </w:rPr>
              <w:t>0.135</w:t>
            </w:r>
            <w:r>
              <w:t>t/a，排放速率为</w:t>
            </w:r>
            <w:r>
              <w:rPr>
                <w:rFonts w:hint="eastAsia"/>
                <w:lang w:val="en-US" w:eastAsia="zh-CN"/>
              </w:rPr>
              <w:t>0.068</w:t>
            </w:r>
            <w:r>
              <w:t>kg/h，排放浓度为</w:t>
            </w:r>
            <w:r>
              <w:rPr>
                <w:rFonts w:hint="eastAsia"/>
                <w:lang w:val="en-US" w:eastAsia="zh-CN"/>
              </w:rPr>
              <w:t>9.71</w:t>
            </w:r>
            <w:r>
              <w:t>mg/m</w:t>
            </w:r>
            <w:r>
              <w:rPr>
                <w:vertAlign w:val="superscript"/>
              </w:rPr>
              <w:t>3</w:t>
            </w:r>
            <w:r>
              <w:t>。该过程未被收集的</w:t>
            </w:r>
            <w:r>
              <w:rPr>
                <w:rFonts w:hint="eastAsia"/>
                <w:lang w:eastAsia="zh-CN"/>
              </w:rPr>
              <w:t>非甲烷总烃</w:t>
            </w:r>
            <w:r>
              <w:t>无组织排放，</w:t>
            </w:r>
            <w:r>
              <w:rPr>
                <w:rFonts w:hint="eastAsia"/>
                <w:lang w:eastAsia="zh-CN"/>
              </w:rPr>
              <w:t>非甲烷总烃</w:t>
            </w:r>
            <w:r>
              <w:t>无组织排放量为</w:t>
            </w:r>
            <w:r>
              <w:rPr>
                <w:rFonts w:hint="eastAsia"/>
                <w:lang w:val="en-US" w:eastAsia="zh-CN"/>
              </w:rPr>
              <w:t>0.15</w:t>
            </w:r>
            <w:r>
              <w:t>t/a，排放速率为</w:t>
            </w:r>
            <w:r>
              <w:rPr>
                <w:rFonts w:hint="eastAsia"/>
                <w:lang w:val="en-US" w:eastAsia="zh-CN"/>
              </w:rPr>
              <w:t>0.075</w:t>
            </w:r>
            <w:r>
              <w:t>kg/h。</w:t>
            </w:r>
          </w:p>
          <w:p w14:paraId="6394256F">
            <w:pPr>
              <w:spacing w:line="500" w:lineRule="exact"/>
              <w:ind w:firstLine="420" w:firstLineChars="200"/>
              <w:rPr>
                <w:b w:val="0"/>
                <w:bCs w:val="0"/>
                <w:color w:val="auto"/>
              </w:rPr>
            </w:pPr>
            <w:r>
              <w:rPr>
                <w:rFonts w:hint="eastAsia"/>
                <w:b w:val="0"/>
                <w:bCs w:val="0"/>
                <w:color w:val="auto"/>
                <w:lang w:eastAsia="zh-CN"/>
              </w:rPr>
              <w:t>（</w:t>
            </w:r>
            <w:r>
              <w:rPr>
                <w:rFonts w:hint="eastAsia"/>
                <w:b w:val="0"/>
                <w:bCs w:val="0"/>
                <w:color w:val="auto"/>
                <w:lang w:val="en-US" w:eastAsia="zh-CN"/>
              </w:rPr>
              <w:t>3</w:t>
            </w:r>
            <w:r>
              <w:rPr>
                <w:rFonts w:hint="eastAsia"/>
                <w:b w:val="0"/>
                <w:bCs w:val="0"/>
                <w:color w:val="auto"/>
                <w:lang w:eastAsia="zh-CN"/>
              </w:rPr>
              <w:t>）</w:t>
            </w:r>
            <w:r>
              <w:rPr>
                <w:rFonts w:hint="eastAsia"/>
                <w:b w:val="0"/>
                <w:bCs w:val="0"/>
                <w:color w:val="auto"/>
              </w:rPr>
              <w:t>异味影响分析</w:t>
            </w:r>
          </w:p>
          <w:p w14:paraId="5BF03D6F">
            <w:pPr>
              <w:spacing w:line="50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Ⅰ异味危害主要有六个方面：</w:t>
            </w:r>
          </w:p>
          <w:p w14:paraId="0A56D8FF">
            <w:pPr>
              <w:spacing w:line="50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①危害呼吸系统。人们突然闻到异味，就会产生反射性的抑制吸气，使呼吸次数减少，深度变浅，甚至会暂时停止吸气，妨碍正常呼吸功能。</w:t>
            </w:r>
          </w:p>
          <w:p w14:paraId="7AA24460">
            <w:pPr>
              <w:spacing w:line="50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②危害循环系统。随着呼吸变化，会出现脉搏和血压的变化。</w:t>
            </w:r>
          </w:p>
          <w:p w14:paraId="2B755FDE">
            <w:pPr>
              <w:spacing w:line="50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③危害消化系统。经常接触异味，会使人厌食、恶心，甚至呕吐，进而发展为消化功能减退。</w:t>
            </w:r>
          </w:p>
          <w:p w14:paraId="600681E0">
            <w:pPr>
              <w:spacing w:line="50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④危害内分泌系统。经常受异味刺激，会使内分泌系统的分泌功能紊乱，影响机体的代谢活动。</w:t>
            </w:r>
          </w:p>
          <w:p w14:paraId="029F4C86">
            <w:pPr>
              <w:spacing w:line="50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⑤危害神经系统。长期受到一种或几种低浓度异味物质的刺激，会引起嗅觉脱失、嗅觉疲劳等障碍。“久闻而不知其臭”，使嗅觉丧失了第一道防御功能，但脑神经仍不断受到刺激和损伤，最后导致大脑皮层兴奋和抑制的调节功能失调。</w:t>
            </w:r>
          </w:p>
          <w:p w14:paraId="3E21D2FD">
            <w:pPr>
              <w:spacing w:line="50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⑥对精神的影响。异味使人精神烦躁不安，思想不集中，工作效率减低，判断力和记忆力下降，影响大脑的思考活动。</w:t>
            </w:r>
          </w:p>
          <w:p w14:paraId="7F854060">
            <w:pPr>
              <w:spacing w:line="50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Ⅱ异味气体分析：</w:t>
            </w:r>
          </w:p>
          <w:p w14:paraId="1231ADDD">
            <w:pPr>
              <w:spacing w:line="500" w:lineRule="exact"/>
              <w:ind w:firstLine="42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rPr>
              <w:t>人们凭嗅觉可闻到的恶臭物质有4000多种，其中涉及生态环境和人体健康的有40余种。本项目涉及的恶臭物质主要为涉及</w:t>
            </w:r>
            <w:r>
              <w:rPr>
                <w:rFonts w:hint="eastAsia" w:cs="Times New Roman"/>
                <w:color w:val="auto"/>
                <w:lang w:eastAsia="zh-CN"/>
              </w:rPr>
              <w:t>涂刷</w:t>
            </w:r>
            <w:r>
              <w:rPr>
                <w:rFonts w:hint="default" w:ascii="Times New Roman" w:hAnsi="Times New Roman" w:cs="Times New Roman"/>
                <w:color w:val="auto"/>
              </w:rPr>
              <w:t>的工序产生的少量的异味。恶臭不仅给人的感觉器官以刺激，使人感到不愉快和厌恶，而且某些组分如硫化氢、硫醇、氨等可直接对呼吸系统、内分泌系统、循环系统、神经系统产生严重危害。长期受到一种或几种低浓度恶臭物质刺激，会引起嗅觉疲劳、嗅觉丧失等障碍，甚至导致在大脑皮层兴奋和抑制的调节功能失调根据美国纳德提出将臭气感觉强度从“无气味”到“臭气强度极强”分为五级，具体分法见下表。具体分法见表 4-</w:t>
            </w:r>
            <w:r>
              <w:rPr>
                <w:rFonts w:hint="eastAsia" w:cs="Times New Roman"/>
                <w:color w:val="auto"/>
                <w:lang w:val="en-US" w:eastAsia="zh-CN"/>
              </w:rPr>
              <w:t>4</w:t>
            </w:r>
          </w:p>
          <w:p w14:paraId="2A807233">
            <w:pPr>
              <w:spacing w:line="360" w:lineRule="auto"/>
              <w:jc w:val="center"/>
              <w:rPr>
                <w:b/>
                <w:bCs/>
                <w:color w:val="auto"/>
              </w:rPr>
            </w:pPr>
            <w:r>
              <w:rPr>
                <w:b/>
                <w:bCs/>
                <w:color w:val="auto"/>
              </w:rPr>
              <w:t>表 4-</w:t>
            </w:r>
            <w:r>
              <w:rPr>
                <w:rFonts w:hint="eastAsia"/>
                <w:b/>
                <w:bCs/>
                <w:color w:val="auto"/>
                <w:lang w:val="en-US" w:eastAsia="zh-CN"/>
              </w:rPr>
              <w:t>4</w:t>
            </w:r>
            <w:r>
              <w:rPr>
                <w:b/>
                <w:bCs/>
                <w:color w:val="auto"/>
              </w:rPr>
              <w:t xml:space="preserve"> </w:t>
            </w:r>
            <w:r>
              <w:rPr>
                <w:rFonts w:hint="eastAsia"/>
                <w:b/>
                <w:bCs/>
                <w:color w:val="auto"/>
              </w:rPr>
              <w:t>恶臭强度分级</w:t>
            </w:r>
          </w:p>
          <w:tbl>
            <w:tblPr>
              <w:tblStyle w:val="16"/>
              <w:tblW w:w="7919"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25"/>
              <w:gridCol w:w="5194"/>
            </w:tblGrid>
            <w:tr w14:paraId="1D46AE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5" w:type="dxa"/>
                  <w:vAlign w:val="center"/>
                </w:tcPr>
                <w:p w14:paraId="311E5AD0">
                  <w:pPr>
                    <w:jc w:val="center"/>
                    <w:rPr>
                      <w:color w:val="auto"/>
                      <w:sz w:val="18"/>
                      <w:szCs w:val="18"/>
                    </w:rPr>
                  </w:pPr>
                  <w:r>
                    <w:rPr>
                      <w:color w:val="auto"/>
                      <w:sz w:val="18"/>
                      <w:szCs w:val="18"/>
                    </w:rPr>
                    <w:t>类别</w:t>
                  </w:r>
                </w:p>
              </w:tc>
              <w:tc>
                <w:tcPr>
                  <w:tcW w:w="5194" w:type="dxa"/>
                  <w:vAlign w:val="center"/>
                </w:tcPr>
                <w:p w14:paraId="7A56B348">
                  <w:pPr>
                    <w:jc w:val="center"/>
                    <w:rPr>
                      <w:color w:val="auto"/>
                      <w:sz w:val="18"/>
                      <w:szCs w:val="18"/>
                    </w:rPr>
                  </w:pPr>
                  <w:r>
                    <w:rPr>
                      <w:color w:val="auto"/>
                      <w:sz w:val="18"/>
                      <w:szCs w:val="18"/>
                    </w:rPr>
                    <w:t>监测位置</w:t>
                  </w:r>
                </w:p>
              </w:tc>
            </w:tr>
            <w:tr w14:paraId="2A04AA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725" w:type="dxa"/>
                  <w:vAlign w:val="center"/>
                </w:tcPr>
                <w:p w14:paraId="53536B91">
                  <w:pPr>
                    <w:jc w:val="center"/>
                    <w:rPr>
                      <w:color w:val="auto"/>
                      <w:sz w:val="18"/>
                      <w:szCs w:val="18"/>
                    </w:rPr>
                  </w:pPr>
                  <w:r>
                    <w:rPr>
                      <w:rFonts w:hint="eastAsia"/>
                      <w:color w:val="auto"/>
                      <w:sz w:val="18"/>
                      <w:szCs w:val="18"/>
                    </w:rPr>
                    <w:t>0</w:t>
                  </w:r>
                </w:p>
              </w:tc>
              <w:tc>
                <w:tcPr>
                  <w:tcW w:w="5194" w:type="dxa"/>
                  <w:vAlign w:val="center"/>
                </w:tcPr>
                <w:p w14:paraId="307A7460">
                  <w:pPr>
                    <w:jc w:val="center"/>
                    <w:rPr>
                      <w:color w:val="auto"/>
                      <w:sz w:val="18"/>
                      <w:szCs w:val="18"/>
                    </w:rPr>
                  </w:pPr>
                  <w:r>
                    <w:rPr>
                      <w:rFonts w:hint="eastAsia"/>
                      <w:color w:val="auto"/>
                      <w:sz w:val="18"/>
                      <w:szCs w:val="18"/>
                    </w:rPr>
                    <w:t>无气味、无污染</w:t>
                  </w:r>
                </w:p>
              </w:tc>
            </w:tr>
            <w:tr w14:paraId="133459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725" w:type="dxa"/>
                  <w:vAlign w:val="center"/>
                </w:tcPr>
                <w:p w14:paraId="17EEF7AA">
                  <w:pPr>
                    <w:jc w:val="center"/>
                    <w:rPr>
                      <w:color w:val="auto"/>
                      <w:sz w:val="18"/>
                      <w:szCs w:val="18"/>
                    </w:rPr>
                  </w:pPr>
                  <w:r>
                    <w:rPr>
                      <w:rFonts w:hint="eastAsia"/>
                      <w:color w:val="auto"/>
                      <w:sz w:val="18"/>
                      <w:szCs w:val="18"/>
                    </w:rPr>
                    <w:t>1</w:t>
                  </w:r>
                </w:p>
              </w:tc>
              <w:tc>
                <w:tcPr>
                  <w:tcW w:w="5194" w:type="dxa"/>
                  <w:vAlign w:val="center"/>
                </w:tcPr>
                <w:p w14:paraId="485A63F0">
                  <w:pPr>
                    <w:jc w:val="center"/>
                    <w:rPr>
                      <w:color w:val="auto"/>
                      <w:sz w:val="18"/>
                      <w:szCs w:val="18"/>
                    </w:rPr>
                  </w:pPr>
                  <w:r>
                    <w:rPr>
                      <w:rFonts w:hint="eastAsia"/>
                      <w:color w:val="auto"/>
                      <w:sz w:val="18"/>
                      <w:szCs w:val="18"/>
                    </w:rPr>
                    <w:t>轻微感觉到有气味、低度污染</w:t>
                  </w:r>
                </w:p>
              </w:tc>
            </w:tr>
            <w:tr w14:paraId="0F0D33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725" w:type="dxa"/>
                  <w:vAlign w:val="center"/>
                </w:tcPr>
                <w:p w14:paraId="1D60D75A">
                  <w:pPr>
                    <w:jc w:val="center"/>
                    <w:rPr>
                      <w:color w:val="auto"/>
                      <w:sz w:val="18"/>
                      <w:szCs w:val="18"/>
                    </w:rPr>
                  </w:pPr>
                  <w:r>
                    <w:rPr>
                      <w:rFonts w:hint="eastAsia"/>
                      <w:color w:val="auto"/>
                      <w:sz w:val="18"/>
                      <w:szCs w:val="18"/>
                    </w:rPr>
                    <w:t>2</w:t>
                  </w:r>
                </w:p>
              </w:tc>
              <w:tc>
                <w:tcPr>
                  <w:tcW w:w="5194" w:type="dxa"/>
                  <w:vAlign w:val="center"/>
                </w:tcPr>
                <w:p w14:paraId="5DD92A97">
                  <w:pPr>
                    <w:jc w:val="center"/>
                    <w:rPr>
                      <w:color w:val="auto"/>
                      <w:sz w:val="18"/>
                      <w:szCs w:val="18"/>
                    </w:rPr>
                  </w:pPr>
                  <w:r>
                    <w:rPr>
                      <w:rFonts w:hint="eastAsia"/>
                      <w:color w:val="auto"/>
                      <w:sz w:val="18"/>
                      <w:szCs w:val="18"/>
                    </w:rPr>
                    <w:t>明显感到有气味、重污染</w:t>
                  </w:r>
                </w:p>
              </w:tc>
            </w:tr>
            <w:tr w14:paraId="06D06F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725" w:type="dxa"/>
                  <w:vAlign w:val="center"/>
                </w:tcPr>
                <w:p w14:paraId="07C67D7F">
                  <w:pPr>
                    <w:jc w:val="center"/>
                    <w:rPr>
                      <w:color w:val="auto"/>
                      <w:sz w:val="18"/>
                      <w:szCs w:val="18"/>
                    </w:rPr>
                  </w:pPr>
                  <w:r>
                    <w:rPr>
                      <w:rFonts w:hint="eastAsia"/>
                      <w:color w:val="auto"/>
                      <w:sz w:val="18"/>
                      <w:szCs w:val="18"/>
                    </w:rPr>
                    <w:t>4</w:t>
                  </w:r>
                </w:p>
              </w:tc>
              <w:tc>
                <w:tcPr>
                  <w:tcW w:w="5194" w:type="dxa"/>
                  <w:vAlign w:val="center"/>
                </w:tcPr>
                <w:p w14:paraId="0C5DFC25">
                  <w:pPr>
                    <w:jc w:val="center"/>
                    <w:rPr>
                      <w:color w:val="auto"/>
                      <w:sz w:val="18"/>
                      <w:szCs w:val="18"/>
                    </w:rPr>
                  </w:pPr>
                  <w:r>
                    <w:rPr>
                      <w:rFonts w:hint="eastAsia"/>
                      <w:color w:val="auto"/>
                      <w:sz w:val="18"/>
                      <w:szCs w:val="18"/>
                    </w:rPr>
                    <w:t>无法忍受的强臭味、严重</w:t>
                  </w:r>
                </w:p>
              </w:tc>
            </w:tr>
          </w:tbl>
          <w:p w14:paraId="295431DE">
            <w:pPr>
              <w:spacing w:line="500" w:lineRule="exact"/>
              <w:ind w:firstLine="422" w:firstLineChars="200"/>
              <w:jc w:val="center"/>
              <w:rPr>
                <w:rFonts w:hint="eastAsia"/>
                <w:b/>
                <w:bCs/>
                <w:color w:val="auto"/>
              </w:rPr>
            </w:pPr>
            <w:r>
              <w:rPr>
                <w:rFonts w:hint="eastAsia"/>
                <w:b/>
                <w:bCs/>
                <w:color w:val="auto"/>
              </w:rPr>
              <w:t>表4-</w:t>
            </w:r>
            <w:r>
              <w:rPr>
                <w:rFonts w:hint="eastAsia"/>
                <w:b/>
                <w:bCs/>
                <w:color w:val="auto"/>
                <w:lang w:val="en-US" w:eastAsia="zh-CN"/>
              </w:rPr>
              <w:t>5</w:t>
            </w:r>
            <w:r>
              <w:rPr>
                <w:rFonts w:hint="eastAsia"/>
                <w:b/>
                <w:bCs/>
                <w:color w:val="auto"/>
              </w:rPr>
              <w:t xml:space="preserve"> 恶臭影响范围及程度</w:t>
            </w:r>
          </w:p>
          <w:tbl>
            <w:tblPr>
              <w:tblStyle w:val="16"/>
              <w:tblW w:w="7920"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2430"/>
              <w:gridCol w:w="1746"/>
              <w:gridCol w:w="1746"/>
            </w:tblGrid>
            <w:tr w14:paraId="7389A1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98" w:type="dxa"/>
                  <w:noWrap w:val="0"/>
                  <w:vAlign w:val="center"/>
                </w:tcPr>
                <w:p w14:paraId="3E6F2AD0">
                  <w:pPr>
                    <w:jc w:val="center"/>
                    <w:rPr>
                      <w:rFonts w:hint="eastAsia"/>
                      <w:b/>
                      <w:bCs/>
                      <w:color w:val="auto"/>
                      <w:sz w:val="18"/>
                      <w:szCs w:val="18"/>
                    </w:rPr>
                  </w:pPr>
                  <w:r>
                    <w:rPr>
                      <w:rFonts w:hint="eastAsia"/>
                      <w:b/>
                      <w:bCs/>
                      <w:color w:val="auto"/>
                      <w:sz w:val="18"/>
                      <w:szCs w:val="18"/>
                    </w:rPr>
                    <w:t>范围（m）</w:t>
                  </w:r>
                </w:p>
              </w:tc>
              <w:tc>
                <w:tcPr>
                  <w:tcW w:w="2430" w:type="dxa"/>
                  <w:noWrap w:val="0"/>
                  <w:vAlign w:val="center"/>
                </w:tcPr>
                <w:p w14:paraId="103C0C41">
                  <w:pPr>
                    <w:jc w:val="center"/>
                    <w:rPr>
                      <w:b/>
                      <w:bCs/>
                      <w:color w:val="auto"/>
                      <w:sz w:val="18"/>
                      <w:szCs w:val="18"/>
                    </w:rPr>
                  </w:pPr>
                  <w:r>
                    <w:rPr>
                      <w:rFonts w:hint="eastAsia"/>
                      <w:b/>
                      <w:bCs/>
                      <w:color w:val="auto"/>
                      <w:sz w:val="18"/>
                      <w:szCs w:val="18"/>
                    </w:rPr>
                    <w:t>0-15</w:t>
                  </w:r>
                </w:p>
              </w:tc>
              <w:tc>
                <w:tcPr>
                  <w:tcW w:w="1746" w:type="dxa"/>
                  <w:noWrap w:val="0"/>
                  <w:vAlign w:val="center"/>
                </w:tcPr>
                <w:p w14:paraId="40AD5E33">
                  <w:pPr>
                    <w:jc w:val="center"/>
                    <w:rPr>
                      <w:b/>
                      <w:bCs/>
                      <w:color w:val="auto"/>
                      <w:sz w:val="18"/>
                      <w:szCs w:val="18"/>
                    </w:rPr>
                  </w:pPr>
                  <w:r>
                    <w:rPr>
                      <w:rFonts w:hint="eastAsia"/>
                      <w:b/>
                      <w:bCs/>
                      <w:color w:val="auto"/>
                      <w:sz w:val="18"/>
                      <w:szCs w:val="18"/>
                    </w:rPr>
                    <w:t>15-30</w:t>
                  </w:r>
                </w:p>
              </w:tc>
              <w:tc>
                <w:tcPr>
                  <w:tcW w:w="1746" w:type="dxa"/>
                  <w:noWrap w:val="0"/>
                  <w:vAlign w:val="center"/>
                </w:tcPr>
                <w:p w14:paraId="3A4F6414">
                  <w:pPr>
                    <w:jc w:val="center"/>
                    <w:rPr>
                      <w:b/>
                      <w:bCs/>
                      <w:color w:val="auto"/>
                      <w:sz w:val="18"/>
                      <w:szCs w:val="18"/>
                    </w:rPr>
                  </w:pPr>
                  <w:r>
                    <w:rPr>
                      <w:rFonts w:hint="eastAsia"/>
                      <w:b/>
                      <w:bCs/>
                      <w:color w:val="auto"/>
                      <w:sz w:val="18"/>
                      <w:szCs w:val="18"/>
                    </w:rPr>
                    <w:t>30-100</w:t>
                  </w:r>
                </w:p>
              </w:tc>
            </w:tr>
            <w:tr w14:paraId="7B85EE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998" w:type="dxa"/>
                  <w:noWrap w:val="0"/>
                  <w:vAlign w:val="center"/>
                </w:tcPr>
                <w:p w14:paraId="6DE14483">
                  <w:pPr>
                    <w:jc w:val="center"/>
                    <w:rPr>
                      <w:rFonts w:hint="eastAsia"/>
                      <w:color w:val="auto"/>
                      <w:sz w:val="18"/>
                      <w:szCs w:val="18"/>
                    </w:rPr>
                  </w:pPr>
                  <w:r>
                    <w:rPr>
                      <w:rFonts w:hint="eastAsia"/>
                      <w:color w:val="auto"/>
                      <w:sz w:val="18"/>
                      <w:szCs w:val="18"/>
                    </w:rPr>
                    <w:t>强度</w:t>
                  </w:r>
                </w:p>
              </w:tc>
              <w:tc>
                <w:tcPr>
                  <w:tcW w:w="2430" w:type="dxa"/>
                  <w:noWrap w:val="0"/>
                  <w:vAlign w:val="center"/>
                </w:tcPr>
                <w:p w14:paraId="582F683E">
                  <w:pPr>
                    <w:jc w:val="center"/>
                    <w:rPr>
                      <w:rFonts w:hint="eastAsia"/>
                      <w:color w:val="auto"/>
                      <w:sz w:val="18"/>
                      <w:szCs w:val="18"/>
                    </w:rPr>
                  </w:pPr>
                  <w:r>
                    <w:rPr>
                      <w:rFonts w:hint="eastAsia"/>
                      <w:color w:val="auto"/>
                      <w:sz w:val="18"/>
                      <w:szCs w:val="18"/>
                    </w:rPr>
                    <w:t>1</w:t>
                  </w:r>
                </w:p>
              </w:tc>
              <w:tc>
                <w:tcPr>
                  <w:tcW w:w="1746" w:type="dxa"/>
                  <w:noWrap w:val="0"/>
                  <w:vAlign w:val="center"/>
                </w:tcPr>
                <w:p w14:paraId="623398F3">
                  <w:pPr>
                    <w:jc w:val="center"/>
                    <w:rPr>
                      <w:rFonts w:hint="eastAsia"/>
                      <w:color w:val="auto"/>
                      <w:sz w:val="18"/>
                      <w:szCs w:val="18"/>
                    </w:rPr>
                  </w:pPr>
                  <w:r>
                    <w:rPr>
                      <w:rFonts w:hint="eastAsia"/>
                      <w:color w:val="auto"/>
                      <w:sz w:val="18"/>
                      <w:szCs w:val="18"/>
                    </w:rPr>
                    <w:t>0</w:t>
                  </w:r>
                </w:p>
              </w:tc>
              <w:tc>
                <w:tcPr>
                  <w:tcW w:w="1746" w:type="dxa"/>
                  <w:noWrap w:val="0"/>
                  <w:vAlign w:val="center"/>
                </w:tcPr>
                <w:p w14:paraId="20442459">
                  <w:pPr>
                    <w:jc w:val="center"/>
                    <w:rPr>
                      <w:color w:val="auto"/>
                      <w:sz w:val="18"/>
                      <w:szCs w:val="18"/>
                    </w:rPr>
                  </w:pPr>
                  <w:r>
                    <w:rPr>
                      <w:rFonts w:hint="eastAsia"/>
                      <w:color w:val="auto"/>
                      <w:sz w:val="18"/>
                      <w:szCs w:val="18"/>
                    </w:rPr>
                    <w:t>0</w:t>
                  </w:r>
                </w:p>
              </w:tc>
            </w:tr>
          </w:tbl>
          <w:p w14:paraId="54A3C365">
            <w:pPr>
              <w:spacing w:line="500" w:lineRule="exact"/>
              <w:ind w:firstLine="420" w:firstLineChars="200"/>
              <w:rPr>
                <w:color w:val="auto"/>
              </w:rPr>
            </w:pPr>
            <w:r>
              <w:rPr>
                <w:color w:val="auto"/>
              </w:rPr>
              <w:t>恶臭随距离的增加影响减小，</w:t>
            </w:r>
            <w:r>
              <w:rPr>
                <w:rFonts w:hint="eastAsia"/>
                <w:color w:val="auto"/>
                <w:lang w:val="en-US" w:eastAsia="zh-CN"/>
              </w:rPr>
              <w:t>项目产生的废气经收集处理，未捕集的无组织废气很少，厂界臭气强度介于1-2之间，项目厂界距离最近</w:t>
            </w:r>
            <w:r>
              <w:rPr>
                <w:rFonts w:hint="eastAsia"/>
                <w:color w:val="auto"/>
                <w:lang w:eastAsia="zh-CN"/>
              </w:rPr>
              <w:t>敏感点为周边散户</w:t>
            </w:r>
            <w:r>
              <w:rPr>
                <w:rFonts w:hint="eastAsia"/>
                <w:color w:val="auto"/>
                <w:lang w:val="en-US" w:eastAsia="zh-CN"/>
              </w:rPr>
              <w:t>，臭气强度介于0-1之间，即轻微感觉到有气味，低度污染，主要为生产过程中设施未捕集的废气影响，</w:t>
            </w:r>
            <w:r>
              <w:rPr>
                <w:color w:val="auto"/>
              </w:rPr>
              <w:t>为了减少恶臭对周围环境的影响，同时也为了防止车间内有毒恶臭</w:t>
            </w:r>
            <w:r>
              <w:rPr>
                <w:rFonts w:hint="eastAsia"/>
                <w:color w:val="auto"/>
                <w:lang w:eastAsia="zh-CN"/>
              </w:rPr>
              <w:t>气体</w:t>
            </w:r>
            <w:r>
              <w:rPr>
                <w:color w:val="auto"/>
              </w:rPr>
              <w:t>积聚过多对操作工人的健康带来危害，建设项目通过合理布局、成熟技术工艺、规范管理、建设绿</w:t>
            </w:r>
            <w:r>
              <w:rPr>
                <w:rFonts w:hint="eastAsia"/>
                <w:color w:val="auto"/>
                <w:lang w:eastAsia="zh-CN"/>
              </w:rPr>
              <w:t>化</w:t>
            </w:r>
            <w:r>
              <w:rPr>
                <w:color w:val="auto"/>
              </w:rPr>
              <w:t>等措施，使厂界和周围保护目标恶臭影响降至最低，在此基础上，各</w:t>
            </w:r>
            <w:r>
              <w:rPr>
                <w:rFonts w:hint="eastAsia"/>
                <w:color w:val="auto"/>
                <w:lang w:eastAsia="zh-CN"/>
              </w:rPr>
              <w:t>类</w:t>
            </w:r>
            <w:r>
              <w:rPr>
                <w:color w:val="auto"/>
              </w:rPr>
              <w:t>臭气源都能得到及时的处理。对此，提出以下避免和减缓措施：</w:t>
            </w:r>
          </w:p>
          <w:p w14:paraId="336E195D">
            <w:pPr>
              <w:spacing w:line="500" w:lineRule="exact"/>
              <w:ind w:firstLine="420" w:firstLineChars="200"/>
              <w:rPr>
                <w:rFonts w:hint="eastAsia"/>
                <w:color w:val="auto"/>
              </w:rPr>
            </w:pPr>
            <w:r>
              <w:rPr>
                <w:rFonts w:hint="eastAsia"/>
                <w:color w:val="auto"/>
              </w:rPr>
              <w:t>A</w:t>
            </w:r>
            <w:r>
              <w:rPr>
                <w:rFonts w:hint="eastAsia"/>
                <w:color w:val="auto"/>
                <w:lang w:eastAsia="zh-CN"/>
              </w:rPr>
              <w:t>.</w:t>
            </w:r>
            <w:r>
              <w:rPr>
                <w:rFonts w:hint="eastAsia"/>
                <w:color w:val="auto"/>
              </w:rPr>
              <w:t>项目生产车间需完善换气设施，加强车间空气流通。</w:t>
            </w:r>
          </w:p>
          <w:p w14:paraId="6AC1D172">
            <w:pPr>
              <w:spacing w:line="500" w:lineRule="exact"/>
              <w:ind w:firstLine="420" w:firstLineChars="200"/>
              <w:rPr>
                <w:rFonts w:hint="eastAsia"/>
                <w:color w:val="auto"/>
              </w:rPr>
            </w:pPr>
            <w:r>
              <w:rPr>
                <w:rFonts w:hint="eastAsia"/>
                <w:color w:val="auto"/>
              </w:rPr>
              <w:t>B</w:t>
            </w:r>
            <w:r>
              <w:rPr>
                <w:rFonts w:hint="eastAsia"/>
                <w:color w:val="auto"/>
                <w:lang w:eastAsia="zh-CN"/>
              </w:rPr>
              <w:t>.</w:t>
            </w:r>
            <w:r>
              <w:rPr>
                <w:rFonts w:hint="eastAsia"/>
                <w:color w:val="auto"/>
              </w:rPr>
              <w:t>选用环保型的空气清新剂对车间空气进行</w:t>
            </w:r>
            <w:r>
              <w:rPr>
                <w:rFonts w:hint="eastAsia"/>
                <w:color w:val="auto"/>
                <w:lang w:eastAsia="zh-CN"/>
              </w:rPr>
              <w:t>净</w:t>
            </w:r>
            <w:r>
              <w:rPr>
                <w:rFonts w:hint="eastAsia"/>
                <w:color w:val="auto"/>
              </w:rPr>
              <w:t>化，改善职工的工作环境；</w:t>
            </w:r>
          </w:p>
          <w:p w14:paraId="51CE33AC">
            <w:pPr>
              <w:spacing w:line="500" w:lineRule="exact"/>
              <w:ind w:firstLine="420" w:firstLineChars="200"/>
              <w:rPr>
                <w:rFonts w:hint="eastAsia"/>
                <w:color w:val="auto"/>
              </w:rPr>
            </w:pPr>
            <w:r>
              <w:rPr>
                <w:rFonts w:hint="eastAsia"/>
                <w:color w:val="auto"/>
              </w:rPr>
              <w:t>C</w:t>
            </w:r>
            <w:r>
              <w:rPr>
                <w:rFonts w:hint="eastAsia"/>
                <w:color w:val="auto"/>
                <w:lang w:eastAsia="zh-CN"/>
              </w:rPr>
              <w:t>.</w:t>
            </w:r>
            <w:r>
              <w:rPr>
                <w:rFonts w:hint="eastAsia"/>
                <w:color w:val="auto"/>
              </w:rPr>
              <w:t>车间工作人员</w:t>
            </w:r>
            <w:r>
              <w:rPr>
                <w:rFonts w:hint="eastAsia"/>
                <w:color w:val="auto"/>
                <w:lang w:eastAsia="zh-CN"/>
              </w:rPr>
              <w:t>佩</w:t>
            </w:r>
            <w:r>
              <w:rPr>
                <w:rFonts w:hint="eastAsia"/>
                <w:color w:val="auto"/>
              </w:rPr>
              <w:t>戴口罩等劳动保护用品；</w:t>
            </w:r>
          </w:p>
          <w:p w14:paraId="611B9D23">
            <w:pPr>
              <w:spacing w:line="500" w:lineRule="exact"/>
              <w:ind w:firstLine="420" w:firstLineChars="200"/>
              <w:rPr>
                <w:rFonts w:hint="eastAsia"/>
                <w:color w:val="auto"/>
              </w:rPr>
            </w:pPr>
            <w:r>
              <w:rPr>
                <w:rFonts w:hint="eastAsia"/>
                <w:color w:val="auto"/>
              </w:rPr>
              <w:t>D</w:t>
            </w:r>
            <w:r>
              <w:rPr>
                <w:rFonts w:hint="eastAsia"/>
                <w:color w:val="auto"/>
                <w:lang w:eastAsia="zh-CN"/>
              </w:rPr>
              <w:t>.</w:t>
            </w:r>
            <w:r>
              <w:rPr>
                <w:rFonts w:hint="eastAsia"/>
                <w:color w:val="auto"/>
              </w:rPr>
              <w:t>加强车间周围绿化，种植花草树木，生态屏障，吸附部分臭味，</w:t>
            </w:r>
          </w:p>
          <w:p w14:paraId="4D2FCB6E">
            <w:pPr>
              <w:spacing w:line="500" w:lineRule="exact"/>
              <w:ind w:firstLine="420" w:firstLineChars="200"/>
              <w:rPr>
                <w:color w:val="auto"/>
              </w:rPr>
            </w:pPr>
            <w:r>
              <w:rPr>
                <w:rFonts w:hint="eastAsia"/>
                <w:color w:val="auto"/>
              </w:rPr>
              <w:t>在采取上述措施的前提下，大气环境影响程度较小，不会对敏感点产生明显影响，但仍应加强污染控制管理，减少不正常排放情况的发生，异味污染是可以得到控制的。</w:t>
            </w:r>
          </w:p>
          <w:p w14:paraId="4B04DB03">
            <w:pPr>
              <w:widowControl/>
              <w:spacing w:line="500" w:lineRule="exact"/>
              <w:ind w:firstLine="422" w:firstLineChars="200"/>
              <w:jc w:val="left"/>
              <w:rPr>
                <w:b/>
                <w:bCs/>
                <w:color w:val="auto"/>
              </w:rPr>
            </w:pPr>
            <w:r>
              <w:rPr>
                <w:b/>
                <w:bCs/>
                <w:color w:val="auto"/>
              </w:rPr>
              <w:t xml:space="preserve">2、非正常排放污染源工况 </w:t>
            </w:r>
          </w:p>
          <w:p w14:paraId="5A6B89A8">
            <w:pPr>
              <w:widowControl/>
              <w:spacing w:line="500" w:lineRule="exact"/>
              <w:ind w:firstLine="420" w:firstLineChars="200"/>
              <w:jc w:val="left"/>
              <w:rPr>
                <w:color w:val="auto"/>
              </w:rPr>
            </w:pPr>
            <w:r>
              <w:rPr>
                <w:color w:val="auto"/>
              </w:rPr>
              <w:t>本项目非正常工况主要是生产运行阶段的开、停车、检修、操作不正常或设备故障、事故性排放等，废气处理系统和排风机均设有保安电源，各种状态下均能保证正常运行。本工程排风系统均设有安全保护电源，设备每年检修一次，基本上能保证无故障运行。据建设单位提供经验数据，非正常工况出现频次不超过2次/年。日常运行中，若出现故障，检修人员可立即</w:t>
            </w:r>
            <w:r>
              <w:rPr>
                <w:rFonts w:hint="eastAsia"/>
                <w:color w:val="auto"/>
                <w:lang w:eastAsia="zh-CN"/>
              </w:rPr>
              <w:t>赶到</w:t>
            </w:r>
            <w:r>
              <w:rPr>
                <w:color w:val="auto"/>
              </w:rPr>
              <w:t>现场进行维修，一般操作在10分钟内基本上可以完成，预计最长不会超过30分钟。企业在加强管理的情况下可避免非正常工况污染物排放的影响。非正常工况有组织废气产生及排放情况见下表。</w:t>
            </w:r>
          </w:p>
          <w:p w14:paraId="41722536">
            <w:pPr>
              <w:spacing w:line="500" w:lineRule="exact"/>
              <w:jc w:val="center"/>
              <w:rPr>
                <w:b/>
                <w:bCs/>
                <w:color w:val="auto"/>
              </w:rPr>
            </w:pPr>
            <w:r>
              <w:rPr>
                <w:b/>
                <w:bCs/>
                <w:color w:val="auto"/>
              </w:rPr>
              <w:t>表 4-</w:t>
            </w:r>
            <w:r>
              <w:rPr>
                <w:rFonts w:hint="eastAsia"/>
                <w:b/>
                <w:bCs/>
                <w:color w:val="auto"/>
                <w:lang w:val="en-US" w:eastAsia="zh-CN"/>
              </w:rPr>
              <w:t>6</w:t>
            </w:r>
            <w:r>
              <w:rPr>
                <w:b/>
                <w:bCs/>
                <w:color w:val="auto"/>
              </w:rPr>
              <w:t xml:space="preserve"> 废气非正常排放情况</w:t>
            </w:r>
          </w:p>
          <w:tbl>
            <w:tblPr>
              <w:tblStyle w:val="16"/>
              <w:tblW w:w="797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55"/>
              <w:gridCol w:w="471"/>
              <w:gridCol w:w="579"/>
              <w:gridCol w:w="685"/>
              <w:gridCol w:w="846"/>
              <w:gridCol w:w="784"/>
              <w:gridCol w:w="679"/>
              <w:gridCol w:w="719"/>
              <w:gridCol w:w="705"/>
              <w:gridCol w:w="1218"/>
            </w:tblGrid>
            <w:tr w14:paraId="3C8874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633" w:type="dxa"/>
                  <w:vAlign w:val="center"/>
                </w:tcPr>
                <w:p w14:paraId="2D35A09F">
                  <w:pPr>
                    <w:jc w:val="center"/>
                    <w:rPr>
                      <w:color w:val="auto"/>
                      <w:sz w:val="18"/>
                      <w:szCs w:val="18"/>
                    </w:rPr>
                  </w:pPr>
                  <w:r>
                    <w:rPr>
                      <w:color w:val="auto"/>
                      <w:sz w:val="18"/>
                      <w:szCs w:val="18"/>
                    </w:rPr>
                    <w:t>排气筒编号</w:t>
                  </w:r>
                </w:p>
              </w:tc>
              <w:tc>
                <w:tcPr>
                  <w:tcW w:w="655" w:type="dxa"/>
                  <w:vAlign w:val="center"/>
                </w:tcPr>
                <w:p w14:paraId="63109864">
                  <w:pPr>
                    <w:jc w:val="center"/>
                    <w:rPr>
                      <w:color w:val="auto"/>
                      <w:sz w:val="18"/>
                      <w:szCs w:val="18"/>
                    </w:rPr>
                  </w:pPr>
                  <w:r>
                    <w:rPr>
                      <w:color w:val="auto"/>
                      <w:sz w:val="18"/>
                      <w:szCs w:val="18"/>
                    </w:rPr>
                    <w:t>风量m</w:t>
                  </w:r>
                  <w:r>
                    <w:rPr>
                      <w:color w:val="auto"/>
                      <w:sz w:val="18"/>
                      <w:szCs w:val="18"/>
                      <w:vertAlign w:val="superscript"/>
                    </w:rPr>
                    <w:t>3</w:t>
                  </w:r>
                  <w:r>
                    <w:rPr>
                      <w:color w:val="auto"/>
                      <w:sz w:val="18"/>
                      <w:szCs w:val="18"/>
                    </w:rPr>
                    <w:t>/h</w:t>
                  </w:r>
                </w:p>
              </w:tc>
              <w:tc>
                <w:tcPr>
                  <w:tcW w:w="471" w:type="dxa"/>
                  <w:vAlign w:val="center"/>
                </w:tcPr>
                <w:p w14:paraId="2684E016">
                  <w:pPr>
                    <w:jc w:val="center"/>
                    <w:rPr>
                      <w:color w:val="auto"/>
                      <w:sz w:val="18"/>
                      <w:szCs w:val="18"/>
                    </w:rPr>
                  </w:pPr>
                  <w:r>
                    <w:rPr>
                      <w:color w:val="auto"/>
                      <w:sz w:val="18"/>
                      <w:szCs w:val="18"/>
                    </w:rPr>
                    <w:t>工序</w:t>
                  </w:r>
                </w:p>
              </w:tc>
              <w:tc>
                <w:tcPr>
                  <w:tcW w:w="579" w:type="dxa"/>
                  <w:vAlign w:val="center"/>
                </w:tcPr>
                <w:p w14:paraId="6E83BAD9">
                  <w:pPr>
                    <w:jc w:val="center"/>
                    <w:rPr>
                      <w:color w:val="auto"/>
                      <w:sz w:val="18"/>
                      <w:szCs w:val="18"/>
                    </w:rPr>
                  </w:pPr>
                  <w:r>
                    <w:rPr>
                      <w:color w:val="auto"/>
                      <w:sz w:val="18"/>
                      <w:szCs w:val="18"/>
                    </w:rPr>
                    <w:t>污染物</w:t>
                  </w:r>
                </w:p>
              </w:tc>
              <w:tc>
                <w:tcPr>
                  <w:tcW w:w="685" w:type="dxa"/>
                  <w:vAlign w:val="center"/>
                </w:tcPr>
                <w:p w14:paraId="2AC01749">
                  <w:pPr>
                    <w:jc w:val="center"/>
                    <w:rPr>
                      <w:color w:val="auto"/>
                      <w:sz w:val="18"/>
                      <w:szCs w:val="18"/>
                    </w:rPr>
                  </w:pPr>
                  <w:r>
                    <w:rPr>
                      <w:color w:val="auto"/>
                      <w:sz w:val="18"/>
                      <w:szCs w:val="18"/>
                    </w:rPr>
                    <w:t>非正常排放原因</w:t>
                  </w:r>
                </w:p>
              </w:tc>
              <w:tc>
                <w:tcPr>
                  <w:tcW w:w="846" w:type="dxa"/>
                  <w:vAlign w:val="center"/>
                </w:tcPr>
                <w:p w14:paraId="728786A0">
                  <w:pPr>
                    <w:jc w:val="center"/>
                    <w:rPr>
                      <w:color w:val="auto"/>
                      <w:sz w:val="18"/>
                      <w:szCs w:val="18"/>
                    </w:rPr>
                  </w:pPr>
                  <w:r>
                    <w:rPr>
                      <w:color w:val="auto"/>
                      <w:sz w:val="18"/>
                      <w:szCs w:val="18"/>
                    </w:rPr>
                    <w:t>非正常排放浓度mg/m</w:t>
                  </w:r>
                  <w:r>
                    <w:rPr>
                      <w:color w:val="auto"/>
                      <w:sz w:val="18"/>
                      <w:szCs w:val="18"/>
                      <w:vertAlign w:val="superscript"/>
                    </w:rPr>
                    <w:t>3</w:t>
                  </w:r>
                </w:p>
              </w:tc>
              <w:tc>
                <w:tcPr>
                  <w:tcW w:w="784" w:type="dxa"/>
                  <w:vAlign w:val="center"/>
                </w:tcPr>
                <w:p w14:paraId="4E7BDEB5">
                  <w:pPr>
                    <w:jc w:val="center"/>
                    <w:rPr>
                      <w:color w:val="auto"/>
                      <w:sz w:val="18"/>
                      <w:szCs w:val="18"/>
                    </w:rPr>
                  </w:pPr>
                  <w:r>
                    <w:rPr>
                      <w:color w:val="auto"/>
                      <w:sz w:val="18"/>
                      <w:szCs w:val="18"/>
                    </w:rPr>
                    <w:t>非正常排放速率kg/h</w:t>
                  </w:r>
                </w:p>
              </w:tc>
              <w:tc>
                <w:tcPr>
                  <w:tcW w:w="679" w:type="dxa"/>
                  <w:vAlign w:val="center"/>
                </w:tcPr>
                <w:p w14:paraId="22E86FE5">
                  <w:pPr>
                    <w:jc w:val="center"/>
                    <w:rPr>
                      <w:color w:val="auto"/>
                      <w:sz w:val="18"/>
                      <w:szCs w:val="18"/>
                    </w:rPr>
                  </w:pPr>
                  <w:r>
                    <w:rPr>
                      <w:color w:val="auto"/>
                      <w:sz w:val="18"/>
                      <w:szCs w:val="18"/>
                    </w:rPr>
                    <w:t>排放量t/a</w:t>
                  </w:r>
                </w:p>
              </w:tc>
              <w:tc>
                <w:tcPr>
                  <w:tcW w:w="719" w:type="dxa"/>
                  <w:vAlign w:val="center"/>
                </w:tcPr>
                <w:p w14:paraId="2CA5EBCF">
                  <w:pPr>
                    <w:jc w:val="center"/>
                    <w:rPr>
                      <w:color w:val="auto"/>
                      <w:sz w:val="18"/>
                      <w:szCs w:val="18"/>
                    </w:rPr>
                  </w:pPr>
                  <w:r>
                    <w:rPr>
                      <w:color w:val="auto"/>
                      <w:sz w:val="18"/>
                      <w:szCs w:val="18"/>
                    </w:rPr>
                    <w:t>单次持续时间h</w:t>
                  </w:r>
                </w:p>
              </w:tc>
              <w:tc>
                <w:tcPr>
                  <w:tcW w:w="705" w:type="dxa"/>
                  <w:vAlign w:val="center"/>
                </w:tcPr>
                <w:p w14:paraId="08BF9118">
                  <w:pPr>
                    <w:jc w:val="center"/>
                    <w:rPr>
                      <w:color w:val="auto"/>
                      <w:sz w:val="18"/>
                      <w:szCs w:val="18"/>
                    </w:rPr>
                  </w:pPr>
                  <w:r>
                    <w:rPr>
                      <w:color w:val="auto"/>
                      <w:sz w:val="18"/>
                      <w:szCs w:val="18"/>
                    </w:rPr>
                    <w:t>年发生频次（次）</w:t>
                  </w:r>
                </w:p>
              </w:tc>
              <w:tc>
                <w:tcPr>
                  <w:tcW w:w="1218" w:type="dxa"/>
                  <w:vAlign w:val="center"/>
                </w:tcPr>
                <w:p w14:paraId="5DE4C0F2">
                  <w:pPr>
                    <w:jc w:val="center"/>
                    <w:rPr>
                      <w:color w:val="auto"/>
                      <w:sz w:val="18"/>
                      <w:szCs w:val="18"/>
                    </w:rPr>
                  </w:pPr>
                  <w:r>
                    <w:rPr>
                      <w:color w:val="auto"/>
                      <w:sz w:val="18"/>
                      <w:szCs w:val="18"/>
                    </w:rPr>
                    <w:t>应对措施</w:t>
                  </w:r>
                </w:p>
              </w:tc>
            </w:tr>
            <w:tr w14:paraId="6CFF2E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633" w:type="dxa"/>
                  <w:vAlign w:val="center"/>
                </w:tcPr>
                <w:p w14:paraId="46A9CE53">
                  <w:pPr>
                    <w:jc w:val="center"/>
                    <w:rPr>
                      <w:rFonts w:hint="eastAsia" w:eastAsia="宋体"/>
                      <w:color w:val="auto"/>
                      <w:sz w:val="18"/>
                      <w:szCs w:val="18"/>
                      <w:lang w:eastAsia="zh-CN"/>
                    </w:rPr>
                  </w:pPr>
                  <w:r>
                    <w:rPr>
                      <w:color w:val="auto"/>
                      <w:sz w:val="18"/>
                      <w:szCs w:val="18"/>
                    </w:rPr>
                    <w:t>DA00</w:t>
                  </w:r>
                  <w:r>
                    <w:rPr>
                      <w:rFonts w:hint="eastAsia"/>
                      <w:color w:val="auto"/>
                      <w:sz w:val="18"/>
                      <w:szCs w:val="18"/>
                      <w:lang w:val="en-US" w:eastAsia="zh-CN"/>
                    </w:rPr>
                    <w:t>1</w:t>
                  </w:r>
                </w:p>
              </w:tc>
              <w:tc>
                <w:tcPr>
                  <w:tcW w:w="655" w:type="dxa"/>
                  <w:vAlign w:val="center"/>
                </w:tcPr>
                <w:p w14:paraId="179102E5">
                  <w:pPr>
                    <w:jc w:val="center"/>
                    <w:rPr>
                      <w:rFonts w:hint="default" w:eastAsia="宋体"/>
                      <w:color w:val="auto"/>
                      <w:sz w:val="18"/>
                      <w:szCs w:val="18"/>
                      <w:lang w:val="en-US" w:eastAsia="zh-CN"/>
                    </w:rPr>
                  </w:pPr>
                  <w:r>
                    <w:rPr>
                      <w:rFonts w:hint="eastAsia"/>
                      <w:color w:val="auto"/>
                      <w:sz w:val="18"/>
                      <w:szCs w:val="18"/>
                      <w:lang w:val="en-US" w:eastAsia="zh-CN"/>
                    </w:rPr>
                    <w:t>8000</w:t>
                  </w:r>
                </w:p>
              </w:tc>
              <w:tc>
                <w:tcPr>
                  <w:tcW w:w="471" w:type="dxa"/>
                  <w:vAlign w:val="center"/>
                </w:tcPr>
                <w:p w14:paraId="6116E207">
                  <w:pPr>
                    <w:jc w:val="center"/>
                    <w:rPr>
                      <w:rFonts w:hint="default" w:eastAsia="宋体"/>
                      <w:color w:val="auto"/>
                      <w:sz w:val="18"/>
                      <w:szCs w:val="18"/>
                      <w:lang w:val="en-US" w:eastAsia="zh-CN"/>
                    </w:rPr>
                  </w:pPr>
                  <w:r>
                    <w:rPr>
                      <w:rFonts w:hint="eastAsia"/>
                      <w:color w:val="auto"/>
                      <w:sz w:val="18"/>
                      <w:szCs w:val="18"/>
                      <w:lang w:val="en-US" w:eastAsia="zh-CN"/>
                    </w:rPr>
                    <w:t>配料、投料、粉碎</w:t>
                  </w:r>
                </w:p>
              </w:tc>
              <w:tc>
                <w:tcPr>
                  <w:tcW w:w="579" w:type="dxa"/>
                  <w:vAlign w:val="center"/>
                </w:tcPr>
                <w:p w14:paraId="6D8CD1F2">
                  <w:pPr>
                    <w:jc w:val="center"/>
                    <w:rPr>
                      <w:rFonts w:hint="default" w:eastAsia="宋体"/>
                      <w:color w:val="auto"/>
                      <w:sz w:val="18"/>
                      <w:szCs w:val="18"/>
                      <w:lang w:val="en-US" w:eastAsia="zh-CN"/>
                    </w:rPr>
                  </w:pPr>
                  <w:r>
                    <w:rPr>
                      <w:rFonts w:hint="eastAsia"/>
                      <w:color w:val="auto"/>
                      <w:sz w:val="18"/>
                      <w:szCs w:val="18"/>
                      <w:lang w:val="en-US" w:eastAsia="zh-CN"/>
                    </w:rPr>
                    <w:t>颗粒物</w:t>
                  </w:r>
                </w:p>
              </w:tc>
              <w:tc>
                <w:tcPr>
                  <w:tcW w:w="685" w:type="dxa"/>
                  <w:vMerge w:val="restart"/>
                  <w:vAlign w:val="center"/>
                </w:tcPr>
                <w:p w14:paraId="47E181A8">
                  <w:pPr>
                    <w:jc w:val="center"/>
                    <w:rPr>
                      <w:color w:val="auto"/>
                      <w:sz w:val="18"/>
                      <w:szCs w:val="18"/>
                    </w:rPr>
                  </w:pPr>
                  <w:r>
                    <w:rPr>
                      <w:color w:val="auto"/>
                      <w:sz w:val="18"/>
                      <w:szCs w:val="18"/>
                    </w:rPr>
                    <w:t>废气处理设备故障</w:t>
                  </w:r>
                </w:p>
              </w:tc>
              <w:tc>
                <w:tcPr>
                  <w:tcW w:w="846" w:type="dxa"/>
                  <w:vAlign w:val="center"/>
                </w:tcPr>
                <w:p w14:paraId="22DF7DC1">
                  <w:pPr>
                    <w:jc w:val="center"/>
                    <w:textAlignment w:val="center"/>
                    <w:rPr>
                      <w:rFonts w:hint="default"/>
                      <w:color w:val="auto"/>
                      <w:sz w:val="18"/>
                      <w:szCs w:val="18"/>
                      <w:lang w:val="en-US" w:eastAsia="zh-CN"/>
                    </w:rPr>
                  </w:pPr>
                  <w:r>
                    <w:rPr>
                      <w:rFonts w:hint="eastAsia"/>
                      <w:color w:val="auto"/>
                      <w:sz w:val="18"/>
                      <w:szCs w:val="18"/>
                      <w:lang w:val="en-US" w:eastAsia="zh-CN"/>
                    </w:rPr>
                    <w:t>562.5</w:t>
                  </w:r>
                </w:p>
              </w:tc>
              <w:tc>
                <w:tcPr>
                  <w:tcW w:w="784" w:type="dxa"/>
                  <w:vAlign w:val="center"/>
                </w:tcPr>
                <w:p w14:paraId="6939656B">
                  <w:pPr>
                    <w:jc w:val="center"/>
                    <w:textAlignment w:val="center"/>
                    <w:rPr>
                      <w:rFonts w:hint="default" w:eastAsia="宋体"/>
                      <w:color w:val="auto"/>
                      <w:sz w:val="18"/>
                      <w:szCs w:val="18"/>
                      <w:lang w:val="en-US" w:eastAsia="zh-CN"/>
                    </w:rPr>
                  </w:pPr>
                  <w:r>
                    <w:rPr>
                      <w:rFonts w:hint="eastAsia"/>
                      <w:color w:val="auto"/>
                      <w:sz w:val="18"/>
                      <w:szCs w:val="18"/>
                      <w:lang w:val="en-US" w:eastAsia="zh-CN"/>
                    </w:rPr>
                    <w:t>4.5</w:t>
                  </w:r>
                </w:p>
              </w:tc>
              <w:tc>
                <w:tcPr>
                  <w:tcW w:w="679" w:type="dxa"/>
                  <w:vAlign w:val="center"/>
                </w:tcPr>
                <w:p w14:paraId="4085A68C">
                  <w:pPr>
                    <w:jc w:val="center"/>
                    <w:textAlignment w:val="center"/>
                    <w:rPr>
                      <w:rFonts w:hint="default" w:eastAsia="宋体"/>
                      <w:color w:val="auto"/>
                      <w:sz w:val="18"/>
                      <w:szCs w:val="18"/>
                      <w:lang w:val="en-US" w:eastAsia="zh-CN"/>
                    </w:rPr>
                  </w:pPr>
                  <w:r>
                    <w:rPr>
                      <w:rFonts w:hint="eastAsia"/>
                      <w:color w:val="auto"/>
                      <w:sz w:val="18"/>
                      <w:szCs w:val="18"/>
                      <w:lang w:val="en-US" w:eastAsia="zh-CN"/>
                    </w:rPr>
                    <w:t>5.4</w:t>
                  </w:r>
                </w:p>
              </w:tc>
              <w:tc>
                <w:tcPr>
                  <w:tcW w:w="719" w:type="dxa"/>
                  <w:vMerge w:val="restart"/>
                  <w:vAlign w:val="center"/>
                </w:tcPr>
                <w:p w14:paraId="4D883DF6">
                  <w:pPr>
                    <w:jc w:val="center"/>
                    <w:rPr>
                      <w:color w:val="auto"/>
                      <w:sz w:val="18"/>
                      <w:szCs w:val="18"/>
                    </w:rPr>
                  </w:pPr>
                  <w:r>
                    <w:rPr>
                      <w:color w:val="auto"/>
                      <w:sz w:val="18"/>
                      <w:szCs w:val="18"/>
                    </w:rPr>
                    <w:t>0.5</w:t>
                  </w:r>
                </w:p>
              </w:tc>
              <w:tc>
                <w:tcPr>
                  <w:tcW w:w="705" w:type="dxa"/>
                  <w:vMerge w:val="restart"/>
                  <w:vAlign w:val="center"/>
                </w:tcPr>
                <w:p w14:paraId="0DF1D8FA">
                  <w:pPr>
                    <w:jc w:val="center"/>
                    <w:rPr>
                      <w:color w:val="auto"/>
                      <w:sz w:val="18"/>
                      <w:szCs w:val="18"/>
                    </w:rPr>
                  </w:pPr>
                  <w:r>
                    <w:rPr>
                      <w:color w:val="auto"/>
                      <w:sz w:val="18"/>
                      <w:szCs w:val="18"/>
                    </w:rPr>
                    <w:t>2</w:t>
                  </w:r>
                </w:p>
              </w:tc>
              <w:tc>
                <w:tcPr>
                  <w:tcW w:w="1218" w:type="dxa"/>
                  <w:vMerge w:val="restart"/>
                  <w:vAlign w:val="center"/>
                </w:tcPr>
                <w:p w14:paraId="1C0367A3">
                  <w:pPr>
                    <w:rPr>
                      <w:rFonts w:hint="eastAsia" w:eastAsia="宋体"/>
                      <w:color w:val="auto"/>
                      <w:sz w:val="18"/>
                      <w:szCs w:val="18"/>
                      <w:lang w:eastAsia="zh-CN"/>
                    </w:rPr>
                  </w:pPr>
                  <w:r>
                    <w:rPr>
                      <w:color w:val="auto"/>
                      <w:sz w:val="18"/>
                      <w:szCs w:val="18"/>
                    </w:rPr>
                    <w:t>若环保设施故障</w:t>
                  </w:r>
                  <w:r>
                    <w:rPr>
                      <w:rFonts w:hint="eastAsia"/>
                      <w:color w:val="auto"/>
                      <w:sz w:val="18"/>
                      <w:szCs w:val="18"/>
                      <w:lang w:eastAsia="zh-CN"/>
                    </w:rPr>
                    <w:t>、</w:t>
                  </w:r>
                  <w:r>
                    <w:rPr>
                      <w:color w:val="auto"/>
                      <w:sz w:val="18"/>
                      <w:szCs w:val="18"/>
                    </w:rPr>
                    <w:t>应立即停止所在生产线的生产，安排专业人员进行维修，维修后安排人员检测环保设施是否正常处理，若能达标排放，则恢复生产</w:t>
                  </w:r>
                  <w:r>
                    <w:rPr>
                      <w:rFonts w:hint="eastAsia"/>
                      <w:color w:val="auto"/>
                      <w:sz w:val="18"/>
                      <w:szCs w:val="18"/>
                      <w:lang w:eastAsia="zh-CN"/>
                    </w:rPr>
                    <w:t>若活性炭吸附效率下降</w:t>
                  </w:r>
                  <w:r>
                    <w:rPr>
                      <w:color w:val="auto"/>
                      <w:sz w:val="18"/>
                      <w:szCs w:val="18"/>
                    </w:rPr>
                    <w:t>，</w:t>
                  </w:r>
                  <w:r>
                    <w:rPr>
                      <w:rFonts w:hint="eastAsia"/>
                      <w:color w:val="auto"/>
                      <w:sz w:val="18"/>
                      <w:szCs w:val="18"/>
                      <w:lang w:eastAsia="zh-CN"/>
                    </w:rPr>
                    <w:t>则立即更换活性炭</w:t>
                  </w:r>
                </w:p>
              </w:tc>
            </w:tr>
            <w:tr w14:paraId="7EC403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633" w:type="dxa"/>
                  <w:vAlign w:val="center"/>
                </w:tcPr>
                <w:p w14:paraId="7530811C">
                  <w:pPr>
                    <w:jc w:val="center"/>
                    <w:rPr>
                      <w:color w:val="auto"/>
                      <w:sz w:val="18"/>
                      <w:szCs w:val="18"/>
                    </w:rPr>
                  </w:pPr>
                  <w:r>
                    <w:rPr>
                      <w:color w:val="auto"/>
                      <w:sz w:val="18"/>
                      <w:szCs w:val="18"/>
                    </w:rPr>
                    <w:t>DA00</w:t>
                  </w:r>
                  <w:r>
                    <w:rPr>
                      <w:rFonts w:hint="eastAsia"/>
                      <w:color w:val="auto"/>
                      <w:sz w:val="18"/>
                      <w:szCs w:val="18"/>
                      <w:lang w:val="en-US" w:eastAsia="zh-CN"/>
                    </w:rPr>
                    <w:t>2</w:t>
                  </w:r>
                </w:p>
              </w:tc>
              <w:tc>
                <w:tcPr>
                  <w:tcW w:w="655" w:type="dxa"/>
                  <w:vAlign w:val="center"/>
                </w:tcPr>
                <w:p w14:paraId="778AEB10">
                  <w:pPr>
                    <w:jc w:val="center"/>
                    <w:rPr>
                      <w:color w:val="auto"/>
                      <w:sz w:val="18"/>
                      <w:szCs w:val="18"/>
                    </w:rPr>
                  </w:pPr>
                  <w:r>
                    <w:rPr>
                      <w:rFonts w:hint="eastAsia"/>
                      <w:color w:val="auto"/>
                      <w:sz w:val="18"/>
                      <w:szCs w:val="18"/>
                      <w:lang w:val="en-US" w:eastAsia="zh-CN"/>
                    </w:rPr>
                    <w:t>7000</w:t>
                  </w:r>
                </w:p>
              </w:tc>
              <w:tc>
                <w:tcPr>
                  <w:tcW w:w="471" w:type="dxa"/>
                  <w:vAlign w:val="center"/>
                </w:tcPr>
                <w:p w14:paraId="5D2AE230">
                  <w:pPr>
                    <w:jc w:val="center"/>
                    <w:textAlignment w:val="center"/>
                    <w:rPr>
                      <w:rFonts w:hint="eastAsia" w:eastAsia="宋体"/>
                      <w:color w:val="auto"/>
                      <w:sz w:val="18"/>
                      <w:szCs w:val="18"/>
                      <w:lang w:eastAsia="zh-CN"/>
                    </w:rPr>
                  </w:pPr>
                  <w:r>
                    <w:rPr>
                      <w:rFonts w:hint="eastAsia"/>
                      <w:color w:val="auto"/>
                      <w:sz w:val="18"/>
                      <w:szCs w:val="18"/>
                      <w:lang w:eastAsia="zh-CN"/>
                    </w:rPr>
                    <w:t>挤出</w:t>
                  </w:r>
                </w:p>
              </w:tc>
              <w:tc>
                <w:tcPr>
                  <w:tcW w:w="579" w:type="dxa"/>
                  <w:vAlign w:val="center"/>
                </w:tcPr>
                <w:p w14:paraId="32C1848D">
                  <w:pPr>
                    <w:jc w:val="center"/>
                    <w:textAlignment w:val="center"/>
                    <w:rPr>
                      <w:color w:val="auto"/>
                      <w:sz w:val="18"/>
                      <w:szCs w:val="18"/>
                    </w:rPr>
                  </w:pPr>
                  <w:r>
                    <w:rPr>
                      <w:rFonts w:hint="eastAsia"/>
                      <w:color w:val="auto"/>
                      <w:sz w:val="18"/>
                      <w:szCs w:val="18"/>
                    </w:rPr>
                    <w:t>非甲烷总烃</w:t>
                  </w:r>
                </w:p>
              </w:tc>
              <w:tc>
                <w:tcPr>
                  <w:tcW w:w="685" w:type="dxa"/>
                  <w:vMerge w:val="continue"/>
                  <w:vAlign w:val="center"/>
                </w:tcPr>
                <w:p w14:paraId="798EBB95">
                  <w:pPr>
                    <w:jc w:val="center"/>
                    <w:textAlignment w:val="center"/>
                    <w:rPr>
                      <w:color w:val="auto"/>
                      <w:sz w:val="18"/>
                      <w:szCs w:val="18"/>
                    </w:rPr>
                  </w:pPr>
                </w:p>
              </w:tc>
              <w:tc>
                <w:tcPr>
                  <w:tcW w:w="846" w:type="dxa"/>
                  <w:vAlign w:val="center"/>
                </w:tcPr>
                <w:p w14:paraId="115EE9CC">
                  <w:pPr>
                    <w:jc w:val="center"/>
                    <w:textAlignment w:val="center"/>
                    <w:rPr>
                      <w:rFonts w:hint="default" w:eastAsia="宋体"/>
                      <w:color w:val="auto"/>
                      <w:sz w:val="18"/>
                      <w:szCs w:val="18"/>
                      <w:lang w:val="en-US" w:eastAsia="zh-CN"/>
                    </w:rPr>
                  </w:pPr>
                  <w:r>
                    <w:rPr>
                      <w:rFonts w:hint="eastAsia"/>
                      <w:color w:val="auto"/>
                      <w:sz w:val="18"/>
                      <w:szCs w:val="18"/>
                      <w:lang w:val="en-US" w:eastAsia="zh-CN"/>
                    </w:rPr>
                    <w:t>97.14</w:t>
                  </w:r>
                </w:p>
              </w:tc>
              <w:tc>
                <w:tcPr>
                  <w:tcW w:w="784" w:type="dxa"/>
                  <w:vAlign w:val="center"/>
                </w:tcPr>
                <w:p w14:paraId="761CE4D7">
                  <w:pPr>
                    <w:jc w:val="center"/>
                    <w:textAlignment w:val="center"/>
                    <w:rPr>
                      <w:rFonts w:hint="default" w:eastAsia="宋体"/>
                      <w:color w:val="auto"/>
                      <w:sz w:val="18"/>
                      <w:szCs w:val="18"/>
                      <w:lang w:val="en-US" w:eastAsia="zh-CN"/>
                    </w:rPr>
                  </w:pPr>
                  <w:r>
                    <w:rPr>
                      <w:rFonts w:hint="eastAsia"/>
                      <w:color w:val="auto"/>
                      <w:sz w:val="18"/>
                      <w:szCs w:val="18"/>
                      <w:lang w:val="en-US" w:eastAsia="zh-CN"/>
                    </w:rPr>
                    <w:t>0.68</w:t>
                  </w:r>
                </w:p>
              </w:tc>
              <w:tc>
                <w:tcPr>
                  <w:tcW w:w="679" w:type="dxa"/>
                  <w:vAlign w:val="center"/>
                </w:tcPr>
                <w:p w14:paraId="3AE1CB82">
                  <w:pPr>
                    <w:jc w:val="center"/>
                    <w:textAlignment w:val="center"/>
                    <w:rPr>
                      <w:rFonts w:hint="default" w:eastAsia="宋体"/>
                      <w:color w:val="auto"/>
                      <w:sz w:val="18"/>
                      <w:szCs w:val="18"/>
                      <w:lang w:val="en-US" w:eastAsia="zh-CN"/>
                    </w:rPr>
                  </w:pPr>
                  <w:r>
                    <w:rPr>
                      <w:rFonts w:hint="eastAsia"/>
                      <w:color w:val="auto"/>
                      <w:sz w:val="18"/>
                      <w:szCs w:val="18"/>
                      <w:lang w:val="en-US" w:eastAsia="zh-CN"/>
                    </w:rPr>
                    <w:t>1.35</w:t>
                  </w:r>
                </w:p>
              </w:tc>
              <w:tc>
                <w:tcPr>
                  <w:tcW w:w="719" w:type="dxa"/>
                  <w:vMerge w:val="continue"/>
                  <w:vAlign w:val="center"/>
                </w:tcPr>
                <w:p w14:paraId="208BE9A1">
                  <w:pPr>
                    <w:jc w:val="center"/>
                    <w:textAlignment w:val="center"/>
                    <w:rPr>
                      <w:color w:val="auto"/>
                      <w:sz w:val="18"/>
                      <w:szCs w:val="18"/>
                    </w:rPr>
                  </w:pPr>
                </w:p>
              </w:tc>
              <w:tc>
                <w:tcPr>
                  <w:tcW w:w="705" w:type="dxa"/>
                  <w:vMerge w:val="continue"/>
                  <w:vAlign w:val="center"/>
                </w:tcPr>
                <w:p w14:paraId="268678AF">
                  <w:pPr>
                    <w:jc w:val="center"/>
                    <w:textAlignment w:val="center"/>
                    <w:rPr>
                      <w:color w:val="auto"/>
                      <w:sz w:val="18"/>
                      <w:szCs w:val="18"/>
                    </w:rPr>
                  </w:pPr>
                </w:p>
              </w:tc>
              <w:tc>
                <w:tcPr>
                  <w:tcW w:w="1218" w:type="dxa"/>
                  <w:vMerge w:val="continue"/>
                  <w:vAlign w:val="center"/>
                </w:tcPr>
                <w:p w14:paraId="78569439">
                  <w:pPr>
                    <w:jc w:val="center"/>
                    <w:textAlignment w:val="center"/>
                    <w:rPr>
                      <w:color w:val="auto"/>
                      <w:sz w:val="18"/>
                      <w:szCs w:val="18"/>
                    </w:rPr>
                  </w:pPr>
                </w:p>
              </w:tc>
            </w:tr>
          </w:tbl>
          <w:p w14:paraId="0D6748A8">
            <w:pPr>
              <w:spacing w:line="500" w:lineRule="exact"/>
              <w:ind w:firstLine="420" w:firstLineChars="200"/>
              <w:rPr>
                <w:color w:val="auto"/>
              </w:rPr>
            </w:pPr>
            <w:r>
              <w:rPr>
                <w:color w:val="auto"/>
              </w:rPr>
              <w:t>非正常工况下，</w:t>
            </w:r>
            <w:r>
              <w:rPr>
                <w:rFonts w:hint="eastAsia"/>
                <w:color w:val="auto"/>
              </w:rPr>
              <w:t>废气</w:t>
            </w:r>
            <w:r>
              <w:rPr>
                <w:color w:val="auto"/>
              </w:rPr>
              <w:t>的排放量增大。因此，生产中应加强管理，严格遵守操作规程，及时清理和更换部件，防止非正常工况发生。本项目拟采取以下处理措施进行处理：</w:t>
            </w:r>
          </w:p>
          <w:p w14:paraId="5C08781C">
            <w:pPr>
              <w:adjustRightInd w:val="0"/>
              <w:spacing w:line="500" w:lineRule="exact"/>
              <w:ind w:firstLine="420" w:firstLineChars="200"/>
              <w:rPr>
                <w:color w:val="auto"/>
                <w:szCs w:val="21"/>
              </w:rPr>
            </w:pPr>
            <w:r>
              <w:rPr>
                <w:color w:val="auto"/>
                <w:szCs w:val="21"/>
              </w:rPr>
              <w:t>①提高设备自动控制水平，生产线尽量采用自动装置；并加强废气处理装置的管理，防止废气处理装置出现故障造成非正常排放的情况。</w:t>
            </w:r>
          </w:p>
          <w:p w14:paraId="5C9CBA81">
            <w:pPr>
              <w:pStyle w:val="2"/>
              <w:adjustRightInd w:val="0"/>
              <w:spacing w:after="0" w:line="500" w:lineRule="exact"/>
              <w:ind w:firstLine="420" w:firstLineChars="200"/>
              <w:rPr>
                <w:rFonts w:ascii="Times New Roman" w:hAnsi="Times New Roman"/>
                <w:color w:val="auto"/>
                <w:sz w:val="21"/>
                <w:szCs w:val="21"/>
              </w:rPr>
            </w:pPr>
            <w:r>
              <w:rPr>
                <w:rFonts w:ascii="Times New Roman" w:hAnsi="Times New Roman"/>
                <w:color w:val="auto"/>
                <w:sz w:val="21"/>
                <w:szCs w:val="21"/>
              </w:rPr>
              <w:t>②加强生产的监督和管理，对可能出现的非正常排放情况制定预案或应急措施，出现非正常排放时及时妥善处理；</w:t>
            </w:r>
          </w:p>
          <w:p w14:paraId="304F8EB5">
            <w:pPr>
              <w:pStyle w:val="2"/>
              <w:adjustRightInd w:val="0"/>
              <w:spacing w:after="0" w:line="500" w:lineRule="exact"/>
              <w:ind w:firstLine="420" w:firstLineChars="200"/>
              <w:rPr>
                <w:rFonts w:ascii="Times New Roman" w:hAnsi="Times New Roman"/>
                <w:color w:val="auto"/>
                <w:sz w:val="21"/>
                <w:szCs w:val="21"/>
              </w:rPr>
            </w:pPr>
            <w:r>
              <w:rPr>
                <w:rFonts w:ascii="Times New Roman" w:hAnsi="Times New Roman"/>
                <w:color w:val="auto"/>
                <w:sz w:val="21"/>
                <w:szCs w:val="21"/>
              </w:rPr>
              <w:t>③开启过程中，应先运行废气处理装置，后运行生产装置；停止过程中，应先停止生产装置，后停止废气处理装置，在确保废气有效处理后再停止废气处理装置。</w:t>
            </w:r>
          </w:p>
          <w:p w14:paraId="6F5854EE">
            <w:pPr>
              <w:pStyle w:val="2"/>
              <w:adjustRightInd w:val="0"/>
              <w:spacing w:after="0" w:line="500" w:lineRule="exact"/>
              <w:ind w:firstLine="420" w:firstLineChars="200"/>
              <w:rPr>
                <w:rFonts w:ascii="Times New Roman" w:hAnsi="Times New Roman"/>
                <w:color w:val="auto"/>
                <w:sz w:val="21"/>
                <w:szCs w:val="21"/>
              </w:rPr>
            </w:pPr>
            <w:r>
              <w:rPr>
                <w:rFonts w:ascii="Times New Roman" w:hAnsi="Times New Roman"/>
                <w:color w:val="auto"/>
                <w:sz w:val="21"/>
                <w:szCs w:val="21"/>
              </w:rPr>
              <w:t>④检修过程中，应与停车的操作规程一致，先停止生产装置，后停止废气处理装置，确保废气通过送至废气处理装置处理后通过排气筒排放。</w:t>
            </w:r>
          </w:p>
          <w:p w14:paraId="0EAABE83">
            <w:pPr>
              <w:pStyle w:val="2"/>
              <w:adjustRightInd w:val="0"/>
              <w:spacing w:after="0" w:line="500" w:lineRule="exact"/>
              <w:ind w:firstLine="420" w:firstLineChars="200"/>
              <w:rPr>
                <w:rFonts w:ascii="Times New Roman" w:hAnsi="Times New Roman"/>
                <w:color w:val="auto"/>
                <w:sz w:val="21"/>
                <w:szCs w:val="21"/>
              </w:rPr>
            </w:pPr>
            <w:r>
              <w:rPr>
                <w:rFonts w:ascii="Times New Roman" w:hAnsi="Times New Roman"/>
                <w:color w:val="auto"/>
                <w:sz w:val="21"/>
                <w:szCs w:val="21"/>
              </w:rPr>
              <w:t>⑤废气处理装置应保证正常运行，确保废气的有效处理和正常达标排放。</w:t>
            </w:r>
          </w:p>
          <w:p w14:paraId="212076FC">
            <w:pPr>
              <w:pStyle w:val="2"/>
              <w:adjustRightInd w:val="0"/>
              <w:spacing w:after="0" w:line="500" w:lineRule="exact"/>
              <w:ind w:firstLine="420" w:firstLineChars="200"/>
              <w:rPr>
                <w:rFonts w:ascii="Times New Roman" w:hAnsi="Times New Roman"/>
                <w:color w:val="auto"/>
              </w:rPr>
            </w:pPr>
            <w:r>
              <w:rPr>
                <w:rFonts w:ascii="Times New Roman" w:hAnsi="Times New Roman"/>
                <w:color w:val="auto"/>
                <w:sz w:val="21"/>
                <w:szCs w:val="21"/>
              </w:rPr>
              <w:t>⑥加强车间无组织和非正常废气的收集和处理措施，减少车间无组织排放，降低非正常排放的概率，减少对周围环境的污染。</w:t>
            </w:r>
          </w:p>
          <w:p w14:paraId="0F872B8D">
            <w:pPr>
              <w:spacing w:line="500" w:lineRule="exact"/>
              <w:ind w:firstLine="422" w:firstLineChars="200"/>
              <w:rPr>
                <w:b/>
                <w:bCs/>
                <w:color w:val="auto"/>
              </w:rPr>
            </w:pPr>
            <w:r>
              <w:rPr>
                <w:rFonts w:hint="eastAsia"/>
                <w:b/>
                <w:bCs/>
                <w:color w:val="auto"/>
              </w:rPr>
              <w:t>4</w:t>
            </w:r>
            <w:r>
              <w:rPr>
                <w:b/>
                <w:bCs/>
                <w:color w:val="auto"/>
              </w:rPr>
              <w:t>、大气污染源监测计划</w:t>
            </w:r>
          </w:p>
          <w:p w14:paraId="66032656">
            <w:pPr>
              <w:spacing w:line="500" w:lineRule="exact"/>
              <w:ind w:firstLine="420" w:firstLineChars="200"/>
              <w:rPr>
                <w:color w:val="auto"/>
              </w:rPr>
            </w:pPr>
            <w:r>
              <w:rPr>
                <w:color w:val="auto"/>
              </w:rPr>
              <w:t>建设单位应按照根据《排污单位自行监测技术指南 总则》（HJ 819-2017）与《排污单位自行监测技术指南</w:t>
            </w:r>
            <w:r>
              <w:rPr>
                <w:rFonts w:hint="eastAsia"/>
                <w:color w:val="auto"/>
                <w:lang w:eastAsia="zh-CN"/>
              </w:rPr>
              <w:t>－</w:t>
            </w:r>
            <w:r>
              <w:rPr>
                <w:rFonts w:hint="eastAsia"/>
                <w:color w:val="auto"/>
              </w:rPr>
              <w:t>橡胶和塑料制品</w:t>
            </w:r>
            <w:r>
              <w:rPr>
                <w:color w:val="auto"/>
              </w:rPr>
              <w:t xml:space="preserve">》（HJ </w:t>
            </w:r>
            <w:r>
              <w:rPr>
                <w:rFonts w:hint="eastAsia"/>
                <w:color w:val="auto"/>
              </w:rPr>
              <w:t>1207-2021</w:t>
            </w:r>
            <w:r>
              <w:rPr>
                <w:color w:val="auto"/>
              </w:rPr>
              <w:t>）相关要求，开展大气污染源监测，大气污染源监测计划如下。</w:t>
            </w:r>
          </w:p>
          <w:p w14:paraId="031E3173">
            <w:pPr>
              <w:spacing w:line="360" w:lineRule="auto"/>
              <w:jc w:val="center"/>
              <w:rPr>
                <w:b/>
                <w:bCs/>
                <w:color w:val="auto"/>
              </w:rPr>
            </w:pPr>
            <w:r>
              <w:rPr>
                <w:b/>
                <w:bCs/>
                <w:color w:val="auto"/>
              </w:rPr>
              <w:t>表 4-</w:t>
            </w:r>
            <w:r>
              <w:rPr>
                <w:rFonts w:hint="eastAsia"/>
                <w:b/>
                <w:bCs/>
                <w:color w:val="auto"/>
                <w:lang w:val="en-US" w:eastAsia="zh-CN"/>
              </w:rPr>
              <w:t>7</w:t>
            </w:r>
            <w:r>
              <w:rPr>
                <w:b/>
                <w:bCs/>
                <w:color w:val="auto"/>
              </w:rPr>
              <w:t xml:space="preserve"> 大气污染源监测计划</w:t>
            </w:r>
          </w:p>
          <w:tbl>
            <w:tblPr>
              <w:tblStyle w:val="16"/>
              <w:tblW w:w="795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228"/>
              <w:gridCol w:w="1305"/>
              <w:gridCol w:w="1290"/>
              <w:gridCol w:w="1080"/>
              <w:gridCol w:w="2252"/>
            </w:tblGrid>
            <w:tr w14:paraId="34C212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133BC2C">
                  <w:pPr>
                    <w:jc w:val="center"/>
                    <w:rPr>
                      <w:color w:val="auto"/>
                      <w:sz w:val="18"/>
                      <w:szCs w:val="18"/>
                    </w:rPr>
                  </w:pPr>
                  <w:r>
                    <w:rPr>
                      <w:color w:val="auto"/>
                      <w:sz w:val="18"/>
                      <w:szCs w:val="18"/>
                    </w:rPr>
                    <w:t>类别</w:t>
                  </w:r>
                </w:p>
              </w:tc>
              <w:tc>
                <w:tcPr>
                  <w:tcW w:w="1228" w:type="dxa"/>
                  <w:vAlign w:val="center"/>
                </w:tcPr>
                <w:p w14:paraId="3CED17E4">
                  <w:pPr>
                    <w:jc w:val="center"/>
                    <w:rPr>
                      <w:color w:val="auto"/>
                      <w:sz w:val="18"/>
                      <w:szCs w:val="18"/>
                    </w:rPr>
                  </w:pPr>
                  <w:r>
                    <w:rPr>
                      <w:color w:val="auto"/>
                      <w:sz w:val="18"/>
                      <w:szCs w:val="18"/>
                    </w:rPr>
                    <w:t>监测位置</w:t>
                  </w:r>
                </w:p>
              </w:tc>
              <w:tc>
                <w:tcPr>
                  <w:tcW w:w="1305" w:type="dxa"/>
                  <w:vAlign w:val="center"/>
                </w:tcPr>
                <w:p w14:paraId="345FB052">
                  <w:pPr>
                    <w:jc w:val="center"/>
                    <w:rPr>
                      <w:color w:val="auto"/>
                      <w:sz w:val="18"/>
                      <w:szCs w:val="18"/>
                    </w:rPr>
                  </w:pPr>
                  <w:r>
                    <w:rPr>
                      <w:color w:val="auto"/>
                      <w:sz w:val="18"/>
                      <w:szCs w:val="18"/>
                    </w:rPr>
                    <w:t>排气筒位置</w:t>
                  </w:r>
                </w:p>
              </w:tc>
              <w:tc>
                <w:tcPr>
                  <w:tcW w:w="1290" w:type="dxa"/>
                  <w:vAlign w:val="center"/>
                </w:tcPr>
                <w:p w14:paraId="304F00A7">
                  <w:pPr>
                    <w:jc w:val="center"/>
                    <w:rPr>
                      <w:color w:val="auto"/>
                      <w:sz w:val="18"/>
                      <w:szCs w:val="18"/>
                    </w:rPr>
                  </w:pPr>
                  <w:r>
                    <w:rPr>
                      <w:color w:val="auto"/>
                      <w:sz w:val="18"/>
                      <w:szCs w:val="18"/>
                    </w:rPr>
                    <w:t>监测项目</w:t>
                  </w:r>
                </w:p>
              </w:tc>
              <w:tc>
                <w:tcPr>
                  <w:tcW w:w="1080" w:type="dxa"/>
                  <w:vAlign w:val="center"/>
                </w:tcPr>
                <w:p w14:paraId="06148599">
                  <w:pPr>
                    <w:jc w:val="center"/>
                    <w:rPr>
                      <w:color w:val="auto"/>
                      <w:sz w:val="18"/>
                      <w:szCs w:val="18"/>
                    </w:rPr>
                  </w:pPr>
                  <w:r>
                    <w:rPr>
                      <w:color w:val="auto"/>
                      <w:sz w:val="18"/>
                      <w:szCs w:val="18"/>
                    </w:rPr>
                    <w:t>监测频次</w:t>
                  </w:r>
                </w:p>
              </w:tc>
              <w:tc>
                <w:tcPr>
                  <w:tcW w:w="2252" w:type="dxa"/>
                  <w:vAlign w:val="center"/>
                </w:tcPr>
                <w:p w14:paraId="43D6646F">
                  <w:pPr>
                    <w:jc w:val="center"/>
                    <w:rPr>
                      <w:color w:val="auto"/>
                      <w:sz w:val="18"/>
                      <w:szCs w:val="18"/>
                    </w:rPr>
                  </w:pPr>
                  <w:r>
                    <w:rPr>
                      <w:color w:val="auto"/>
                      <w:sz w:val="18"/>
                      <w:szCs w:val="18"/>
                    </w:rPr>
                    <w:t>执行排放标准</w:t>
                  </w:r>
                </w:p>
              </w:tc>
            </w:tr>
            <w:tr w14:paraId="18BDB9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03" w:type="dxa"/>
                  <w:vMerge w:val="restart"/>
                  <w:vAlign w:val="center"/>
                </w:tcPr>
                <w:p w14:paraId="530716C3">
                  <w:pPr>
                    <w:jc w:val="center"/>
                    <w:rPr>
                      <w:color w:val="auto"/>
                      <w:sz w:val="18"/>
                      <w:szCs w:val="18"/>
                    </w:rPr>
                  </w:pPr>
                  <w:r>
                    <w:rPr>
                      <w:color w:val="auto"/>
                      <w:sz w:val="18"/>
                      <w:szCs w:val="18"/>
                    </w:rPr>
                    <w:t>废气</w:t>
                  </w:r>
                </w:p>
              </w:tc>
              <w:tc>
                <w:tcPr>
                  <w:tcW w:w="1228" w:type="dxa"/>
                  <w:vAlign w:val="center"/>
                </w:tcPr>
                <w:p w14:paraId="5DD7BFD8">
                  <w:pPr>
                    <w:jc w:val="center"/>
                    <w:rPr>
                      <w:color w:val="auto"/>
                      <w:sz w:val="18"/>
                      <w:szCs w:val="18"/>
                    </w:rPr>
                  </w:pPr>
                  <w:r>
                    <w:rPr>
                      <w:color w:val="auto"/>
                      <w:sz w:val="18"/>
                      <w:szCs w:val="18"/>
                    </w:rPr>
                    <w:t>DA001</w:t>
                  </w:r>
                </w:p>
              </w:tc>
              <w:tc>
                <w:tcPr>
                  <w:tcW w:w="1305" w:type="dxa"/>
                  <w:vAlign w:val="center"/>
                </w:tcPr>
                <w:p w14:paraId="5B0FCABA">
                  <w:pPr>
                    <w:jc w:val="center"/>
                    <w:rPr>
                      <w:rFonts w:hint="eastAsia" w:eastAsia="宋体"/>
                      <w:color w:val="auto"/>
                      <w:sz w:val="18"/>
                      <w:szCs w:val="18"/>
                      <w:lang w:eastAsia="zh-CN"/>
                    </w:rPr>
                  </w:pPr>
                  <w:r>
                    <w:rPr>
                      <w:rFonts w:hint="eastAsia"/>
                      <w:color w:val="auto"/>
                      <w:sz w:val="18"/>
                      <w:szCs w:val="18"/>
                      <w:lang w:eastAsia="zh-CN"/>
                    </w:rPr>
                    <w:t>生产车间</w:t>
                  </w:r>
                </w:p>
              </w:tc>
              <w:tc>
                <w:tcPr>
                  <w:tcW w:w="1290" w:type="dxa"/>
                  <w:vAlign w:val="center"/>
                </w:tcPr>
                <w:p w14:paraId="316F51E5">
                  <w:pPr>
                    <w:jc w:val="center"/>
                    <w:rPr>
                      <w:rFonts w:hint="eastAsia" w:eastAsia="宋体"/>
                      <w:color w:val="auto"/>
                      <w:sz w:val="18"/>
                      <w:szCs w:val="18"/>
                      <w:lang w:val="en-US" w:eastAsia="zh-CN"/>
                    </w:rPr>
                  </w:pPr>
                  <w:r>
                    <w:rPr>
                      <w:rFonts w:hint="eastAsia"/>
                      <w:color w:val="auto"/>
                      <w:sz w:val="18"/>
                      <w:szCs w:val="18"/>
                      <w:lang w:eastAsia="zh-CN"/>
                    </w:rPr>
                    <w:t>颗粒物</w:t>
                  </w:r>
                </w:p>
              </w:tc>
              <w:tc>
                <w:tcPr>
                  <w:tcW w:w="1080" w:type="dxa"/>
                  <w:vAlign w:val="center"/>
                </w:tcPr>
                <w:p w14:paraId="768012CF">
                  <w:pPr>
                    <w:jc w:val="center"/>
                    <w:rPr>
                      <w:rFonts w:hint="default" w:eastAsia="宋体"/>
                      <w:color w:val="auto"/>
                      <w:sz w:val="18"/>
                      <w:szCs w:val="18"/>
                      <w:lang w:val="en-US" w:eastAsia="zh-CN"/>
                    </w:rPr>
                  </w:pPr>
                  <w:r>
                    <w:rPr>
                      <w:rFonts w:hint="eastAsia"/>
                      <w:color w:val="auto"/>
                      <w:sz w:val="18"/>
                      <w:szCs w:val="18"/>
                      <w:lang w:eastAsia="zh-CN"/>
                    </w:rPr>
                    <w:t>年</w:t>
                  </w:r>
                  <w:r>
                    <w:rPr>
                      <w:rFonts w:hint="eastAsia"/>
                      <w:color w:val="auto"/>
                      <w:sz w:val="18"/>
                      <w:szCs w:val="18"/>
                      <w:lang w:val="en-US" w:eastAsia="zh-CN"/>
                    </w:rPr>
                    <w:t>/次</w:t>
                  </w:r>
                </w:p>
              </w:tc>
              <w:tc>
                <w:tcPr>
                  <w:tcW w:w="2252" w:type="dxa"/>
                  <w:vMerge w:val="restart"/>
                  <w:vAlign w:val="center"/>
                </w:tcPr>
                <w:p w14:paraId="3D78A2BA">
                  <w:pPr>
                    <w:jc w:val="center"/>
                    <w:rPr>
                      <w:rFonts w:hint="eastAsia"/>
                      <w:color w:val="auto"/>
                      <w:sz w:val="18"/>
                      <w:szCs w:val="18"/>
                    </w:rPr>
                  </w:pPr>
                  <w:r>
                    <w:rPr>
                      <w:rFonts w:hint="eastAsia"/>
                      <w:color w:val="auto"/>
                      <w:sz w:val="18"/>
                      <w:szCs w:val="18"/>
                    </w:rPr>
                    <w:t>《合成树脂工业污染物排放标准》（GB31572-2015）</w:t>
                  </w:r>
                  <w:r>
                    <w:rPr>
                      <w:rFonts w:hint="eastAsia"/>
                      <w:color w:val="auto"/>
                      <w:sz w:val="18"/>
                      <w:szCs w:val="18"/>
                      <w:lang w:eastAsia="zh-CN"/>
                    </w:rPr>
                    <w:t>及其修改单</w:t>
                  </w:r>
                </w:p>
                <w:p w14:paraId="042801BA">
                  <w:pPr>
                    <w:jc w:val="center"/>
                    <w:rPr>
                      <w:rFonts w:hint="eastAsia"/>
                      <w:color w:val="auto"/>
                      <w:sz w:val="18"/>
                      <w:szCs w:val="18"/>
                    </w:rPr>
                  </w:pPr>
                  <w:r>
                    <w:rPr>
                      <w:rFonts w:hint="eastAsia"/>
                      <w:color w:val="auto"/>
                      <w:sz w:val="18"/>
                      <w:szCs w:val="18"/>
                    </w:rPr>
                    <w:t>中表5的大气污染物特别排放限值</w:t>
                  </w:r>
                  <w:r>
                    <w:rPr>
                      <w:rFonts w:hint="eastAsia"/>
                      <w:color w:val="auto"/>
                      <w:sz w:val="18"/>
                      <w:szCs w:val="18"/>
                      <w:lang w:eastAsia="zh-CN"/>
                    </w:rPr>
                    <w:t>；</w:t>
                  </w:r>
                </w:p>
                <w:p w14:paraId="45F78EBB">
                  <w:pPr>
                    <w:jc w:val="center"/>
                    <w:rPr>
                      <w:rFonts w:hint="eastAsia" w:eastAsia="宋体"/>
                      <w:color w:val="auto"/>
                      <w:sz w:val="18"/>
                      <w:szCs w:val="18"/>
                      <w:lang w:eastAsia="zh-CN"/>
                    </w:rPr>
                  </w:pPr>
                  <w:r>
                    <w:rPr>
                      <w:color w:val="auto"/>
                      <w:sz w:val="18"/>
                      <w:szCs w:val="18"/>
                    </w:rPr>
                    <w:t>江苏省《大气污染物综合排放标准》（DB32/4041-2021）</w:t>
                  </w:r>
                </w:p>
              </w:tc>
            </w:tr>
            <w:tr w14:paraId="6D9AF2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03" w:type="dxa"/>
                  <w:vMerge w:val="continue"/>
                  <w:vAlign w:val="center"/>
                </w:tcPr>
                <w:p w14:paraId="053EB460">
                  <w:pPr>
                    <w:jc w:val="center"/>
                    <w:rPr>
                      <w:color w:val="auto"/>
                      <w:sz w:val="18"/>
                      <w:szCs w:val="18"/>
                    </w:rPr>
                  </w:pPr>
                </w:p>
              </w:tc>
              <w:tc>
                <w:tcPr>
                  <w:tcW w:w="1228" w:type="dxa"/>
                  <w:vAlign w:val="center"/>
                </w:tcPr>
                <w:p w14:paraId="6C5D1DBF">
                  <w:pPr>
                    <w:jc w:val="center"/>
                    <w:rPr>
                      <w:rFonts w:hint="default" w:eastAsia="宋体"/>
                      <w:color w:val="auto"/>
                      <w:sz w:val="18"/>
                      <w:szCs w:val="18"/>
                      <w:lang w:val="en-US" w:eastAsia="zh-CN"/>
                    </w:rPr>
                  </w:pPr>
                  <w:r>
                    <w:rPr>
                      <w:rFonts w:hint="eastAsia"/>
                      <w:color w:val="auto"/>
                      <w:sz w:val="18"/>
                      <w:szCs w:val="18"/>
                      <w:lang w:val="en-US" w:eastAsia="zh-CN"/>
                    </w:rPr>
                    <w:t>DA002</w:t>
                  </w:r>
                </w:p>
              </w:tc>
              <w:tc>
                <w:tcPr>
                  <w:tcW w:w="1305" w:type="dxa"/>
                  <w:vAlign w:val="center"/>
                </w:tcPr>
                <w:p w14:paraId="08603F52">
                  <w:pPr>
                    <w:jc w:val="center"/>
                    <w:rPr>
                      <w:color w:val="auto"/>
                      <w:sz w:val="18"/>
                      <w:szCs w:val="18"/>
                    </w:rPr>
                  </w:pPr>
                  <w:r>
                    <w:rPr>
                      <w:color w:val="auto"/>
                      <w:sz w:val="18"/>
                      <w:szCs w:val="18"/>
                    </w:rPr>
                    <w:t>生产车间</w:t>
                  </w:r>
                </w:p>
              </w:tc>
              <w:tc>
                <w:tcPr>
                  <w:tcW w:w="1290" w:type="dxa"/>
                  <w:vAlign w:val="center"/>
                </w:tcPr>
                <w:p w14:paraId="7E1247D6">
                  <w:pPr>
                    <w:jc w:val="center"/>
                    <w:rPr>
                      <w:rFonts w:hint="eastAsia" w:eastAsia="宋体"/>
                      <w:color w:val="auto"/>
                      <w:sz w:val="18"/>
                      <w:szCs w:val="18"/>
                      <w:lang w:eastAsia="zh-CN"/>
                    </w:rPr>
                  </w:pPr>
                  <w:r>
                    <w:rPr>
                      <w:rFonts w:hint="eastAsia"/>
                      <w:color w:val="auto"/>
                      <w:sz w:val="18"/>
                      <w:szCs w:val="18"/>
                    </w:rPr>
                    <w:t>非</w:t>
                  </w:r>
                  <w:r>
                    <w:rPr>
                      <w:rFonts w:hint="eastAsia" w:ascii="Times New Roman" w:hAnsi="Times New Roman" w:cs="Times New Roman"/>
                      <w:color w:val="auto"/>
                      <w:sz w:val="18"/>
                      <w:szCs w:val="18"/>
                    </w:rPr>
                    <w:t>甲</w:t>
                  </w:r>
                  <w:r>
                    <w:rPr>
                      <w:rFonts w:hint="eastAsia"/>
                      <w:color w:val="auto"/>
                      <w:sz w:val="18"/>
                      <w:szCs w:val="18"/>
                    </w:rPr>
                    <w:t>烷总烃</w:t>
                  </w:r>
                </w:p>
              </w:tc>
              <w:tc>
                <w:tcPr>
                  <w:tcW w:w="1080" w:type="dxa"/>
                  <w:vAlign w:val="center"/>
                </w:tcPr>
                <w:p w14:paraId="0B8D52F7">
                  <w:pPr>
                    <w:jc w:val="center"/>
                    <w:rPr>
                      <w:color w:val="auto"/>
                      <w:sz w:val="18"/>
                      <w:szCs w:val="18"/>
                    </w:rPr>
                  </w:pPr>
                  <w:r>
                    <w:rPr>
                      <w:rFonts w:hint="eastAsia"/>
                      <w:color w:val="auto"/>
                      <w:sz w:val="18"/>
                      <w:szCs w:val="18"/>
                    </w:rPr>
                    <w:t>年/次</w:t>
                  </w:r>
                </w:p>
              </w:tc>
              <w:tc>
                <w:tcPr>
                  <w:tcW w:w="2252" w:type="dxa"/>
                  <w:vMerge w:val="continue"/>
                  <w:tcBorders/>
                  <w:vAlign w:val="center"/>
                </w:tcPr>
                <w:p w14:paraId="015ED2B3">
                  <w:pPr>
                    <w:jc w:val="center"/>
                    <w:rPr>
                      <w:rFonts w:hint="eastAsia" w:eastAsia="宋体"/>
                      <w:color w:val="auto"/>
                      <w:sz w:val="18"/>
                      <w:szCs w:val="18"/>
                      <w:lang w:eastAsia="zh-CN"/>
                    </w:rPr>
                  </w:pPr>
                </w:p>
              </w:tc>
            </w:tr>
            <w:tr w14:paraId="3CBF4D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03" w:type="dxa"/>
                  <w:vMerge w:val="continue"/>
                  <w:vAlign w:val="center"/>
                </w:tcPr>
                <w:p w14:paraId="12A2F25D">
                  <w:pPr>
                    <w:jc w:val="center"/>
                    <w:rPr>
                      <w:color w:val="auto"/>
                      <w:sz w:val="18"/>
                      <w:szCs w:val="18"/>
                    </w:rPr>
                  </w:pPr>
                </w:p>
              </w:tc>
              <w:tc>
                <w:tcPr>
                  <w:tcW w:w="1228" w:type="dxa"/>
                  <w:vAlign w:val="center"/>
                </w:tcPr>
                <w:p w14:paraId="3B4008DB">
                  <w:pPr>
                    <w:jc w:val="center"/>
                    <w:rPr>
                      <w:rFonts w:hint="eastAsia"/>
                      <w:color w:val="auto"/>
                      <w:sz w:val="18"/>
                      <w:szCs w:val="18"/>
                      <w:lang w:val="en-US" w:eastAsia="zh-CN"/>
                    </w:rPr>
                  </w:pPr>
                  <w:r>
                    <w:rPr>
                      <w:color w:val="auto"/>
                      <w:sz w:val="18"/>
                      <w:szCs w:val="18"/>
                    </w:rPr>
                    <w:t>无组织排放（厂区内）</w:t>
                  </w:r>
                </w:p>
              </w:tc>
              <w:tc>
                <w:tcPr>
                  <w:tcW w:w="1305" w:type="dxa"/>
                  <w:vAlign w:val="center"/>
                </w:tcPr>
                <w:p w14:paraId="225E7512">
                  <w:pPr>
                    <w:jc w:val="center"/>
                    <w:rPr>
                      <w:color w:val="auto"/>
                      <w:sz w:val="18"/>
                      <w:szCs w:val="18"/>
                    </w:rPr>
                  </w:pPr>
                  <w:r>
                    <w:rPr>
                      <w:color w:val="auto"/>
                      <w:sz w:val="18"/>
                      <w:szCs w:val="18"/>
                    </w:rPr>
                    <w:t>厂区内</w:t>
                  </w:r>
                </w:p>
              </w:tc>
              <w:tc>
                <w:tcPr>
                  <w:tcW w:w="1290" w:type="dxa"/>
                  <w:vAlign w:val="center"/>
                </w:tcPr>
                <w:p w14:paraId="0DB6DE7C">
                  <w:pPr>
                    <w:jc w:val="center"/>
                    <w:rPr>
                      <w:rFonts w:hint="eastAsia"/>
                      <w:color w:val="auto"/>
                      <w:sz w:val="18"/>
                      <w:szCs w:val="18"/>
                    </w:rPr>
                  </w:pPr>
                  <w:r>
                    <w:rPr>
                      <w:color w:val="auto"/>
                      <w:sz w:val="18"/>
                      <w:szCs w:val="18"/>
                    </w:rPr>
                    <w:t>非甲烷总烃</w:t>
                  </w:r>
                </w:p>
              </w:tc>
              <w:tc>
                <w:tcPr>
                  <w:tcW w:w="1080" w:type="dxa"/>
                  <w:vAlign w:val="center"/>
                </w:tcPr>
                <w:p w14:paraId="36E1F05D">
                  <w:pPr>
                    <w:jc w:val="center"/>
                    <w:rPr>
                      <w:rFonts w:hint="eastAsia"/>
                      <w:color w:val="auto"/>
                      <w:sz w:val="18"/>
                      <w:szCs w:val="18"/>
                    </w:rPr>
                  </w:pPr>
                  <w:r>
                    <w:rPr>
                      <w:rFonts w:hint="eastAsia"/>
                      <w:color w:val="auto"/>
                      <w:sz w:val="18"/>
                      <w:szCs w:val="18"/>
                    </w:rPr>
                    <w:t>年/次</w:t>
                  </w:r>
                </w:p>
              </w:tc>
              <w:tc>
                <w:tcPr>
                  <w:tcW w:w="2252" w:type="dxa"/>
                  <w:vMerge w:val="continue"/>
                  <w:tcBorders/>
                  <w:vAlign w:val="center"/>
                </w:tcPr>
                <w:p w14:paraId="676874CC">
                  <w:pPr>
                    <w:jc w:val="center"/>
                    <w:rPr>
                      <w:rFonts w:hint="eastAsia" w:eastAsia="宋体"/>
                      <w:color w:val="auto"/>
                      <w:sz w:val="18"/>
                      <w:szCs w:val="18"/>
                      <w:lang w:eastAsia="zh-CN"/>
                    </w:rPr>
                  </w:pPr>
                </w:p>
              </w:tc>
            </w:tr>
            <w:tr w14:paraId="6C5BAD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3" w:type="dxa"/>
                  <w:vMerge w:val="continue"/>
                  <w:vAlign w:val="center"/>
                </w:tcPr>
                <w:p w14:paraId="2ED35BF5">
                  <w:pPr>
                    <w:jc w:val="center"/>
                    <w:rPr>
                      <w:color w:val="auto"/>
                      <w:sz w:val="18"/>
                      <w:szCs w:val="18"/>
                    </w:rPr>
                  </w:pPr>
                </w:p>
              </w:tc>
              <w:tc>
                <w:tcPr>
                  <w:tcW w:w="1228" w:type="dxa"/>
                  <w:vMerge w:val="restart"/>
                  <w:vAlign w:val="center"/>
                </w:tcPr>
                <w:p w14:paraId="7A992F53">
                  <w:pPr>
                    <w:jc w:val="center"/>
                    <w:rPr>
                      <w:rFonts w:hint="eastAsia" w:eastAsia="宋体"/>
                      <w:color w:val="auto"/>
                      <w:sz w:val="18"/>
                      <w:szCs w:val="18"/>
                      <w:lang w:eastAsia="zh-CN"/>
                    </w:rPr>
                  </w:pPr>
                  <w:r>
                    <w:rPr>
                      <w:rFonts w:hint="eastAsia"/>
                      <w:color w:val="auto"/>
                      <w:sz w:val="18"/>
                      <w:szCs w:val="18"/>
                      <w:lang w:eastAsia="zh-CN"/>
                    </w:rPr>
                    <w:t>无组织排放（厂界）</w:t>
                  </w:r>
                </w:p>
              </w:tc>
              <w:tc>
                <w:tcPr>
                  <w:tcW w:w="1305" w:type="dxa"/>
                  <w:vMerge w:val="restart"/>
                  <w:vAlign w:val="center"/>
                </w:tcPr>
                <w:p w14:paraId="7BA8A479">
                  <w:pPr>
                    <w:jc w:val="center"/>
                    <w:rPr>
                      <w:rFonts w:hint="eastAsia" w:eastAsia="宋体"/>
                      <w:color w:val="auto"/>
                      <w:sz w:val="18"/>
                      <w:szCs w:val="18"/>
                      <w:lang w:eastAsia="zh-CN"/>
                    </w:rPr>
                  </w:pPr>
                  <w:r>
                    <w:rPr>
                      <w:rFonts w:hint="eastAsia"/>
                      <w:color w:val="auto"/>
                      <w:sz w:val="18"/>
                      <w:szCs w:val="18"/>
                      <w:lang w:eastAsia="zh-CN"/>
                    </w:rPr>
                    <w:t>厂界</w:t>
                  </w:r>
                </w:p>
              </w:tc>
              <w:tc>
                <w:tcPr>
                  <w:tcW w:w="1290" w:type="dxa"/>
                  <w:vAlign w:val="center"/>
                </w:tcPr>
                <w:p w14:paraId="162EFEF3">
                  <w:pPr>
                    <w:jc w:val="center"/>
                    <w:rPr>
                      <w:rFonts w:hint="eastAsia" w:eastAsia="宋体"/>
                      <w:color w:val="auto"/>
                      <w:sz w:val="18"/>
                      <w:szCs w:val="18"/>
                      <w:lang w:eastAsia="zh-CN"/>
                    </w:rPr>
                  </w:pPr>
                  <w:r>
                    <w:rPr>
                      <w:rFonts w:hint="eastAsia"/>
                      <w:color w:val="auto"/>
                      <w:sz w:val="18"/>
                      <w:szCs w:val="18"/>
                      <w:lang w:eastAsia="zh-CN"/>
                    </w:rPr>
                    <w:t>非甲烷总烃</w:t>
                  </w:r>
                </w:p>
              </w:tc>
              <w:tc>
                <w:tcPr>
                  <w:tcW w:w="1080" w:type="dxa"/>
                  <w:vAlign w:val="center"/>
                </w:tcPr>
                <w:p w14:paraId="13FFCBDC">
                  <w:pPr>
                    <w:jc w:val="center"/>
                    <w:rPr>
                      <w:color w:val="auto"/>
                      <w:sz w:val="18"/>
                      <w:szCs w:val="18"/>
                    </w:rPr>
                  </w:pPr>
                  <w:r>
                    <w:rPr>
                      <w:rFonts w:hint="eastAsia"/>
                      <w:color w:val="auto"/>
                      <w:sz w:val="18"/>
                      <w:szCs w:val="18"/>
                    </w:rPr>
                    <w:t>年/次</w:t>
                  </w:r>
                </w:p>
              </w:tc>
              <w:tc>
                <w:tcPr>
                  <w:tcW w:w="2252" w:type="dxa"/>
                  <w:vAlign w:val="center"/>
                </w:tcPr>
                <w:p w14:paraId="7AA16037">
                  <w:pPr>
                    <w:jc w:val="center"/>
                    <w:rPr>
                      <w:rFonts w:hint="eastAsia"/>
                      <w:color w:val="auto"/>
                      <w:sz w:val="18"/>
                      <w:szCs w:val="18"/>
                    </w:rPr>
                  </w:pPr>
                  <w:r>
                    <w:rPr>
                      <w:rFonts w:hint="eastAsia"/>
                      <w:color w:val="auto"/>
                      <w:sz w:val="18"/>
                      <w:szCs w:val="18"/>
                    </w:rPr>
                    <w:t>《合成树脂工业污染物排</w:t>
                  </w:r>
                </w:p>
                <w:p w14:paraId="78BC04AB">
                  <w:pPr>
                    <w:jc w:val="center"/>
                    <w:rPr>
                      <w:color w:val="auto"/>
                      <w:sz w:val="18"/>
                      <w:szCs w:val="18"/>
                    </w:rPr>
                  </w:pPr>
                  <w:r>
                    <w:rPr>
                      <w:rFonts w:hint="eastAsia"/>
                      <w:color w:val="auto"/>
                      <w:sz w:val="18"/>
                      <w:szCs w:val="18"/>
                    </w:rPr>
                    <w:t>放标准》（GB31572-2015）</w:t>
                  </w:r>
                  <w:r>
                    <w:rPr>
                      <w:rFonts w:hint="eastAsia"/>
                      <w:color w:val="auto"/>
                      <w:sz w:val="18"/>
                      <w:szCs w:val="18"/>
                      <w:lang w:eastAsia="zh-CN"/>
                    </w:rPr>
                    <w:t>及其修改单</w:t>
                  </w:r>
                  <w:r>
                    <w:rPr>
                      <w:rFonts w:hint="eastAsia"/>
                      <w:color w:val="auto"/>
                      <w:sz w:val="18"/>
                      <w:szCs w:val="18"/>
                    </w:rPr>
                    <w:t>中表9 规定的限值</w:t>
                  </w:r>
                </w:p>
              </w:tc>
            </w:tr>
            <w:tr w14:paraId="09C71E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3" w:type="dxa"/>
                  <w:vMerge w:val="continue"/>
                  <w:vAlign w:val="center"/>
                </w:tcPr>
                <w:p w14:paraId="5DF06E1D">
                  <w:pPr>
                    <w:jc w:val="center"/>
                    <w:rPr>
                      <w:color w:val="auto"/>
                      <w:sz w:val="18"/>
                      <w:szCs w:val="18"/>
                    </w:rPr>
                  </w:pPr>
                </w:p>
              </w:tc>
              <w:tc>
                <w:tcPr>
                  <w:tcW w:w="1228" w:type="dxa"/>
                  <w:vMerge w:val="continue"/>
                  <w:vAlign w:val="center"/>
                </w:tcPr>
                <w:p w14:paraId="7C00E835">
                  <w:pPr>
                    <w:jc w:val="center"/>
                    <w:rPr>
                      <w:color w:val="auto"/>
                      <w:sz w:val="18"/>
                      <w:szCs w:val="18"/>
                    </w:rPr>
                  </w:pPr>
                </w:p>
              </w:tc>
              <w:tc>
                <w:tcPr>
                  <w:tcW w:w="1305" w:type="dxa"/>
                  <w:vMerge w:val="continue"/>
                  <w:vAlign w:val="center"/>
                </w:tcPr>
                <w:p w14:paraId="4DE149CF">
                  <w:pPr>
                    <w:jc w:val="center"/>
                    <w:rPr>
                      <w:rFonts w:hint="eastAsia" w:eastAsia="宋体"/>
                      <w:color w:val="auto"/>
                      <w:sz w:val="18"/>
                      <w:szCs w:val="18"/>
                      <w:lang w:eastAsia="zh-CN"/>
                    </w:rPr>
                  </w:pPr>
                </w:p>
              </w:tc>
              <w:tc>
                <w:tcPr>
                  <w:tcW w:w="1290" w:type="dxa"/>
                  <w:vAlign w:val="center"/>
                </w:tcPr>
                <w:p w14:paraId="617D2C0D">
                  <w:pPr>
                    <w:jc w:val="center"/>
                    <w:rPr>
                      <w:rFonts w:hint="default" w:eastAsia="宋体"/>
                      <w:color w:val="auto"/>
                      <w:sz w:val="18"/>
                      <w:szCs w:val="18"/>
                      <w:lang w:val="en-US" w:eastAsia="zh-CN"/>
                    </w:rPr>
                  </w:pPr>
                  <w:r>
                    <w:rPr>
                      <w:rFonts w:hint="eastAsia"/>
                      <w:color w:val="auto"/>
                      <w:sz w:val="18"/>
                      <w:szCs w:val="18"/>
                      <w:lang w:val="en-US" w:eastAsia="zh-CN"/>
                    </w:rPr>
                    <w:t>颗粒物</w:t>
                  </w:r>
                </w:p>
              </w:tc>
              <w:tc>
                <w:tcPr>
                  <w:tcW w:w="1080" w:type="dxa"/>
                  <w:vAlign w:val="center"/>
                </w:tcPr>
                <w:p w14:paraId="4EE45700">
                  <w:pPr>
                    <w:jc w:val="center"/>
                    <w:rPr>
                      <w:rFonts w:hint="eastAsia"/>
                      <w:color w:val="auto"/>
                      <w:sz w:val="18"/>
                      <w:szCs w:val="18"/>
                    </w:rPr>
                  </w:pPr>
                  <w:r>
                    <w:rPr>
                      <w:rFonts w:hint="eastAsia"/>
                      <w:color w:val="auto"/>
                      <w:sz w:val="18"/>
                      <w:szCs w:val="18"/>
                    </w:rPr>
                    <w:t>年/次</w:t>
                  </w:r>
                </w:p>
              </w:tc>
              <w:tc>
                <w:tcPr>
                  <w:tcW w:w="2252" w:type="dxa"/>
                  <w:vAlign w:val="center"/>
                </w:tcPr>
                <w:p w14:paraId="6B20CA4B">
                  <w:pPr>
                    <w:jc w:val="center"/>
                    <w:rPr>
                      <w:color w:val="auto"/>
                      <w:sz w:val="18"/>
                      <w:szCs w:val="18"/>
                    </w:rPr>
                  </w:pPr>
                  <w:r>
                    <w:rPr>
                      <w:rFonts w:hint="eastAsia"/>
                      <w:color w:val="auto"/>
                      <w:sz w:val="18"/>
                      <w:szCs w:val="18"/>
                    </w:rPr>
                    <w:t>《恶臭污染物排放标准》（GB14554-93）中的厂界标准值</w:t>
                  </w:r>
                </w:p>
              </w:tc>
            </w:tr>
          </w:tbl>
          <w:p w14:paraId="324C97B9">
            <w:pPr>
              <w:spacing w:line="500" w:lineRule="exact"/>
              <w:ind w:firstLine="422" w:firstLineChars="200"/>
              <w:rPr>
                <w:b/>
                <w:bCs/>
                <w:color w:val="auto"/>
              </w:rPr>
            </w:pPr>
            <w:r>
              <w:rPr>
                <w:rFonts w:hint="eastAsia"/>
                <w:b/>
                <w:bCs/>
                <w:color w:val="auto"/>
              </w:rPr>
              <w:t>5</w:t>
            </w:r>
            <w:r>
              <w:rPr>
                <w:b/>
                <w:bCs/>
                <w:color w:val="auto"/>
              </w:rPr>
              <w:t>、废气污染治理设施可行性分析</w:t>
            </w:r>
          </w:p>
          <w:p w14:paraId="541F5C7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rPr>
            </w:pPr>
            <w:r>
              <w:rPr>
                <w:color w:val="auto"/>
              </w:rPr>
              <w:t>（1）废气收集效果可行性分析</w:t>
            </w:r>
          </w:p>
          <w:p w14:paraId="3C9F8170">
            <w:pPr>
              <w:spacing w:line="500" w:lineRule="exact"/>
              <w:ind w:firstLine="420" w:firstLineChars="200"/>
            </w:pPr>
            <w:r>
              <w:rPr>
                <w:color w:val="auto"/>
              </w:rPr>
              <w:t>①</w:t>
            </w:r>
            <w:r>
              <w:rPr>
                <w:rFonts w:hint="eastAsia"/>
                <w:color w:val="auto"/>
                <w:lang w:eastAsia="zh-CN"/>
              </w:rPr>
              <w:t>收集措施：项目配料、投料工序产生的颗粒物采用集气罩收集，经布袋除尘器处理后，通过一根</w:t>
            </w:r>
            <w:r>
              <w:rPr>
                <w:rFonts w:hint="eastAsia"/>
                <w:color w:val="auto"/>
                <w:lang w:val="en-US" w:eastAsia="zh-CN"/>
              </w:rPr>
              <w:t>15m高排气筒DA001外排；挤出工序产生的</w:t>
            </w:r>
            <w:r>
              <w:rPr>
                <w:rFonts w:hint="eastAsia"/>
                <w:color w:val="auto"/>
                <w:lang w:eastAsia="zh-CN"/>
              </w:rPr>
              <w:t>非甲烷总烃采用集气罩收集，经水喷淋</w:t>
            </w:r>
            <w:r>
              <w:rPr>
                <w:rFonts w:hint="eastAsia"/>
                <w:color w:val="auto"/>
                <w:lang w:val="en-US" w:eastAsia="zh-CN"/>
              </w:rPr>
              <w:t>+除雾除湿设施+二级活性炭吸附装置处理后，通过一根15高排气筒DA002外排。</w:t>
            </w:r>
            <w:r>
              <w:t>本项目集气罩设计应符合以下原则：</w:t>
            </w:r>
          </w:p>
          <w:p w14:paraId="07B65C05">
            <w:pPr>
              <w:spacing w:line="500" w:lineRule="exact"/>
              <w:ind w:firstLine="420" w:firstLineChars="200"/>
            </w:pPr>
            <w:r>
              <w:t>A、集气罩应能将有害物源放散的有害物质予以捕集，使工作场所有害物质浓度达到相应卫生标准要求的前提下，提高捕集效率，以较小的能耗捕集有害物；</w:t>
            </w:r>
          </w:p>
          <w:p w14:paraId="78A8DFE5">
            <w:pPr>
              <w:spacing w:line="500" w:lineRule="exact"/>
              <w:ind w:firstLine="420" w:firstLineChars="200"/>
            </w:pPr>
            <w:r>
              <w:t>B、集气罩的罩口外气流组织宜有利于有害气流直接进入罩内，且排气线路不应通过作业人员的呼吸带；</w:t>
            </w:r>
          </w:p>
          <w:p w14:paraId="499AE25B">
            <w:pPr>
              <w:spacing w:line="500" w:lineRule="exact"/>
              <w:ind w:firstLine="420" w:firstLineChars="200"/>
            </w:pPr>
            <w:r>
              <w:t>C、集气罩应避免布置在存在干扰气流处，集气罩的设置应方便作业人员操作和设备维修；</w:t>
            </w:r>
          </w:p>
          <w:p w14:paraId="50FE6F3F">
            <w:pPr>
              <w:spacing w:line="500" w:lineRule="exact"/>
              <w:ind w:firstLine="420" w:firstLineChars="200"/>
            </w:pPr>
            <w:r>
              <w:t>D、集气罩的罩口尺寸应按吸入气流流场特性来确定，其罩口与罩子连接管面积之比不应超过16：1，罩子的扩张角度宜小于60°，不应大于90°，当罩口的平面尺寸较大而又缺少容纳适宜扩张角所需的垂直高度时，可以将其分成几个独立的小排风罩；</w:t>
            </w:r>
          </w:p>
          <w:p w14:paraId="2B4AADC8">
            <w:pPr>
              <w:spacing w:line="500" w:lineRule="exact"/>
              <w:ind w:firstLine="420" w:firstLineChars="200"/>
            </w:pPr>
            <w:r>
              <w:t>E、为提高捕集率和控制效果，集气罩可加法兰边。</w:t>
            </w:r>
          </w:p>
          <w:p w14:paraId="7813A1E3">
            <w:pPr>
              <w:widowControl/>
              <w:jc w:val="center"/>
              <w:rPr>
                <w:b/>
                <w:bCs/>
                <w:color w:val="auto"/>
                <w:kern w:val="0"/>
                <w:szCs w:val="21"/>
                <w:lang w:bidi="ar"/>
              </w:rPr>
            </w:pPr>
            <w:r>
              <w:drawing>
                <wp:inline distT="0" distB="0" distL="114300" distR="114300">
                  <wp:extent cx="5019040" cy="1460500"/>
                  <wp:effectExtent l="0" t="0" r="0" b="0"/>
                  <wp:docPr id="5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7"/>
                          <pic:cNvPicPr>
                            <a:picLocks noChangeAspect="1"/>
                          </pic:cNvPicPr>
                        </pic:nvPicPr>
                        <pic:blipFill>
                          <a:blip r:embed="rId8"/>
                          <a:srcRect b="31466"/>
                          <a:stretch>
                            <a:fillRect/>
                          </a:stretch>
                        </pic:blipFill>
                        <pic:spPr>
                          <a:xfrm>
                            <a:off x="0" y="0"/>
                            <a:ext cx="5019040" cy="1460500"/>
                          </a:xfrm>
                          <a:prstGeom prst="rect">
                            <a:avLst/>
                          </a:prstGeom>
                          <a:noFill/>
                          <a:ln>
                            <a:noFill/>
                          </a:ln>
                        </pic:spPr>
                      </pic:pic>
                    </a:graphicData>
                  </a:graphic>
                </wp:inline>
              </w:drawing>
            </w:r>
          </w:p>
          <w:p w14:paraId="305362E4">
            <w:pPr>
              <w:widowControl/>
              <w:jc w:val="center"/>
              <w:rPr>
                <w:b/>
                <w:bCs/>
                <w:color w:val="auto"/>
              </w:rPr>
            </w:pPr>
            <w:r>
              <w:rPr>
                <w:b/>
                <w:bCs/>
                <w:color w:val="auto"/>
                <w:kern w:val="0"/>
                <w:szCs w:val="21"/>
                <w:lang w:bidi="ar"/>
              </w:rPr>
              <w:t>图 4-1 废气收集治理流向图</w:t>
            </w:r>
          </w:p>
          <w:p w14:paraId="6D930BA4">
            <w:pPr>
              <w:widowControl/>
              <w:spacing w:line="500" w:lineRule="exact"/>
              <w:ind w:firstLine="420" w:firstLineChars="200"/>
              <w:jc w:val="left"/>
              <w:rPr>
                <w:color w:val="auto"/>
                <w:szCs w:val="21"/>
              </w:rPr>
            </w:pPr>
            <w:r>
              <w:rPr>
                <w:color w:val="auto"/>
                <w:kern w:val="0"/>
                <w:szCs w:val="21"/>
                <w:lang w:bidi="ar"/>
              </w:rPr>
              <w:t xml:space="preserve">（2）废气处理技术可行性分析 </w:t>
            </w:r>
          </w:p>
          <w:p w14:paraId="37576511">
            <w:pPr>
              <w:widowControl/>
              <w:spacing w:line="500" w:lineRule="exact"/>
              <w:ind w:firstLine="420" w:firstLineChars="200"/>
              <w:jc w:val="left"/>
              <w:rPr>
                <w:bCs/>
                <w:szCs w:val="21"/>
              </w:rPr>
            </w:pPr>
            <w:r>
              <w:rPr>
                <w:rFonts w:hint="eastAsia" w:cs="Times New Roman"/>
                <w:bCs/>
                <w:color w:val="auto"/>
                <w:szCs w:val="21"/>
                <w:lang w:eastAsia="zh-CN"/>
              </w:rPr>
              <w:t>布袋除尘：</w:t>
            </w:r>
            <w:r>
              <w:rPr>
                <w:szCs w:val="21"/>
              </w:rPr>
              <w:t>布袋除尘器是一种干式滤尘装置。它适用于捕集细小、干燥的粉尘。滤袋采用纺织的滤布或非</w:t>
            </w:r>
            <w:r>
              <w:rPr>
                <w:bCs/>
                <w:szCs w:val="21"/>
              </w:rPr>
              <w:t>纺织的毡制成，利用纤维织物的过滤作用对含尘气体进行过滤，当含尘气体进入袋式除尘器内时，颗粒大、比重大的粉尘，由于重力的作用沉降下来，落入灰斗，含有较细小粉尘的气体在通过滤料时，粉尘被阻留，使气体得到净化。具有除尘效率高（一般在9</w:t>
            </w:r>
            <w:r>
              <w:rPr>
                <w:rFonts w:hint="eastAsia"/>
                <w:bCs/>
                <w:szCs w:val="21"/>
              </w:rPr>
              <w:t>8</w:t>
            </w:r>
            <w:r>
              <w:rPr>
                <w:bCs/>
                <w:szCs w:val="21"/>
              </w:rPr>
              <w:t>%以上，除尘器出口气体含尘浓度在数十mg/m</w:t>
            </w:r>
            <w:r>
              <w:rPr>
                <w:bCs/>
                <w:szCs w:val="21"/>
                <w:vertAlign w:val="superscript"/>
              </w:rPr>
              <w:t>3</w:t>
            </w:r>
            <w:r>
              <w:rPr>
                <w:bCs/>
                <w:szCs w:val="21"/>
              </w:rPr>
              <w:t>之内，对亚微米粒径的细尘有较高的分级效率），处理风量的范围广，结构简单，维护操作方便，对粉尘的特性不敏感，不受粉尘及电阻的影响等优点。</w:t>
            </w:r>
          </w:p>
          <w:p w14:paraId="44A6FE48">
            <w:pPr>
              <w:widowControl/>
              <w:spacing w:line="500" w:lineRule="exact"/>
              <w:ind w:firstLine="420" w:firstLineChars="200"/>
              <w:jc w:val="left"/>
              <w:rPr>
                <w:rFonts w:hint="eastAsia" w:ascii="Times New Roman" w:hAnsi="Times New Roman" w:eastAsia="宋体" w:cs="Times New Roman"/>
                <w:bCs/>
                <w:color w:val="auto"/>
                <w:szCs w:val="21"/>
                <w:lang w:eastAsia="zh-CN"/>
              </w:rPr>
            </w:pPr>
            <w:r>
              <w:rPr>
                <w:rFonts w:hint="eastAsia" w:ascii="Times New Roman" w:hAnsi="Times New Roman" w:eastAsia="宋体" w:cs="Times New Roman"/>
                <w:szCs w:val="21"/>
                <w:lang w:val="en-US" w:eastAsia="zh-CN"/>
              </w:rPr>
              <w:t>根据《排污许可证申请与核发技术规范 橡胶和塑料制品工业》（</w:t>
            </w:r>
            <w:r>
              <w:rPr>
                <w:rFonts w:hint="default" w:ascii="Times New Roman" w:hAnsi="Times New Roman" w:eastAsia="宋体" w:cs="Times New Roman"/>
                <w:szCs w:val="21"/>
                <w:lang w:val="en-US" w:eastAsia="zh-CN"/>
              </w:rPr>
              <w:t>HJ 1122-2020</w:t>
            </w:r>
            <w:r>
              <w:rPr>
                <w:rFonts w:hint="eastAsia" w:ascii="Times New Roman" w:hAnsi="Times New Roman" w:eastAsia="宋体" w:cs="Times New Roman"/>
                <w:szCs w:val="21"/>
                <w:lang w:val="en-US" w:eastAsia="zh-CN"/>
              </w:rPr>
              <w:t>）表</w:t>
            </w:r>
            <w:r>
              <w:rPr>
                <w:rFonts w:hint="default" w:ascii="Times New Roman" w:hAnsi="Times New Roman" w:eastAsia="宋体" w:cs="Times New Roman"/>
                <w:szCs w:val="21"/>
                <w:lang w:val="en-US" w:eastAsia="zh-CN"/>
              </w:rPr>
              <w:t>A.2</w:t>
            </w:r>
            <w:r>
              <w:rPr>
                <w:rFonts w:hint="eastAsia" w:ascii="Times New Roman" w:hAnsi="Times New Roman" w:eastAsia="宋体" w:cs="Times New Roman"/>
                <w:szCs w:val="21"/>
                <w:lang w:val="en-US" w:eastAsia="zh-CN"/>
              </w:rPr>
              <w:t xml:space="preserve">，针对塑料板、管、型材制造过程产生的颗粒物污染防治，袋式除尘属于可行技术，故本项目针对配料及投料粉尘建设的废气处理设施是可行的。 </w:t>
            </w:r>
          </w:p>
          <w:p w14:paraId="543AEBBC">
            <w:pPr>
              <w:adjustRightInd w:val="0"/>
              <w:snapToGrid w:val="0"/>
              <w:spacing w:line="500" w:lineRule="exact"/>
              <w:ind w:firstLine="420" w:firstLineChars="200"/>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水喷淋：废气经管道进入废气净化塔的底部锥斗，废气</w:t>
            </w:r>
            <w:r>
              <w:rPr>
                <w:rFonts w:hint="eastAsia" w:cs="Times New Roman"/>
                <w:bCs/>
                <w:color w:val="auto"/>
                <w:szCs w:val="21"/>
                <w:lang w:val="en-US" w:eastAsia="zh-CN"/>
              </w:rPr>
              <w:t>2</w:t>
            </w:r>
            <w:r>
              <w:rPr>
                <w:rFonts w:hint="default" w:ascii="Times New Roman" w:hAnsi="Times New Roman" w:eastAsia="宋体" w:cs="Times New Roman"/>
                <w:bCs/>
                <w:color w:val="auto"/>
                <w:szCs w:val="21"/>
              </w:rPr>
              <w:t>受水浴的冲洗，经水浴后，有一部分废气随气体运动，与冲击水雾并与循环喷淋水相结合在主体内进一步充分混合作用，此时废气便被水捕集，水径离心或过滤脱离，因重力经塔壁流入循环池，净化气体外排。</w:t>
            </w:r>
          </w:p>
          <w:p w14:paraId="63244194">
            <w:pPr>
              <w:adjustRightInd w:val="0"/>
              <w:snapToGrid w:val="0"/>
              <w:spacing w:line="500" w:lineRule="exact"/>
              <w:ind w:firstLine="420" w:firstLineChars="200"/>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废气在喷淋塔内净化效率取决于气液接触面积、接触时间、气液比等因素。采用水喷淋法时，为增加气液接触面积，气体从塔体下方进气口沿切向进入净化塔，在通风机的动力作用下，迅速充满进气段空间，在喷淋段中吸收液从均布的喷嘴高速喷出，形成无数细小雾滴与气体充分混合、接触，继而被水吸收，通过控制空塔流速与接触时间保证这一过程的充分与稳定。</w:t>
            </w:r>
          </w:p>
          <w:p w14:paraId="347431F9">
            <w:pPr>
              <w:adjustRightInd w:val="0"/>
              <w:snapToGrid w:val="0"/>
              <w:spacing w:line="500" w:lineRule="exact"/>
              <w:ind w:firstLine="420" w:firstLineChars="200"/>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喷淋塔主要设计参数表4-</w:t>
            </w:r>
            <w:r>
              <w:rPr>
                <w:rFonts w:hint="eastAsia" w:cs="Times New Roman"/>
                <w:bCs/>
                <w:color w:val="auto"/>
                <w:szCs w:val="21"/>
                <w:highlight w:val="none"/>
                <w:lang w:val="en-US" w:eastAsia="zh-CN"/>
              </w:rPr>
              <w:t>8</w:t>
            </w:r>
            <w:r>
              <w:rPr>
                <w:rFonts w:hint="default" w:ascii="Times New Roman" w:hAnsi="Times New Roman" w:eastAsia="宋体" w:cs="Times New Roman"/>
                <w:bCs/>
                <w:color w:val="auto"/>
                <w:szCs w:val="21"/>
                <w:highlight w:val="none"/>
              </w:rPr>
              <w:t>。</w:t>
            </w:r>
          </w:p>
          <w:p w14:paraId="7A966801">
            <w:pPr>
              <w:adjustRightInd w:val="0"/>
              <w:snapToGrid w:val="0"/>
              <w:spacing w:line="500" w:lineRule="exact"/>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表4-</w:t>
            </w:r>
            <w:r>
              <w:rPr>
                <w:rFonts w:hint="eastAsia" w:cs="Times New Roman"/>
                <w:b/>
                <w:color w:val="auto"/>
                <w:szCs w:val="21"/>
                <w:highlight w:val="none"/>
                <w:lang w:val="en-US" w:eastAsia="zh-CN"/>
              </w:rPr>
              <w:t>8</w:t>
            </w:r>
            <w:r>
              <w:rPr>
                <w:rFonts w:hint="default" w:ascii="Times New Roman" w:hAnsi="Times New Roman" w:eastAsia="宋体" w:cs="Times New Roman"/>
                <w:b/>
                <w:color w:val="auto"/>
                <w:szCs w:val="21"/>
                <w:highlight w:val="none"/>
              </w:rPr>
              <w:t xml:space="preserve"> 喷淋塔主要设计参数一览表</w:t>
            </w:r>
          </w:p>
          <w:tbl>
            <w:tblPr>
              <w:tblStyle w:val="16"/>
              <w:tblW w:w="76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255"/>
              <w:gridCol w:w="3143"/>
            </w:tblGrid>
            <w:tr w14:paraId="1E1035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260" w:type="dxa"/>
                  <w:vMerge w:val="restart"/>
                  <w:noWrap w:val="0"/>
                  <w:vAlign w:val="center"/>
                </w:tcPr>
                <w:p w14:paraId="520D962C">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序号</w:t>
                  </w:r>
                </w:p>
              </w:tc>
              <w:tc>
                <w:tcPr>
                  <w:tcW w:w="3255" w:type="dxa"/>
                  <w:vMerge w:val="restart"/>
                  <w:noWrap w:val="0"/>
                  <w:vAlign w:val="center"/>
                </w:tcPr>
                <w:p w14:paraId="0EEC7D4C">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143" w:type="dxa"/>
                  <w:noWrap w:val="0"/>
                  <w:vAlign w:val="center"/>
                </w:tcPr>
                <w:p w14:paraId="6BEC9E53">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设计参数</w:t>
                  </w:r>
                </w:p>
              </w:tc>
            </w:tr>
            <w:tr w14:paraId="45177C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260" w:type="dxa"/>
                  <w:vMerge w:val="continue"/>
                  <w:noWrap w:val="0"/>
                  <w:vAlign w:val="center"/>
                </w:tcPr>
                <w:p w14:paraId="5D3C34D6">
                  <w:pPr>
                    <w:jc w:val="center"/>
                    <w:rPr>
                      <w:rFonts w:hint="default" w:ascii="Times New Roman" w:hAnsi="Times New Roman" w:eastAsia="宋体" w:cs="Times New Roman"/>
                      <w:color w:val="auto"/>
                      <w:kern w:val="2"/>
                      <w:sz w:val="18"/>
                      <w:szCs w:val="18"/>
                      <w:highlight w:val="none"/>
                      <w:lang w:val="en-US" w:eastAsia="zh-CN" w:bidi="ar-SA"/>
                    </w:rPr>
                  </w:pPr>
                </w:p>
              </w:tc>
              <w:tc>
                <w:tcPr>
                  <w:tcW w:w="3255" w:type="dxa"/>
                  <w:vMerge w:val="continue"/>
                  <w:noWrap w:val="0"/>
                  <w:vAlign w:val="center"/>
                </w:tcPr>
                <w:p w14:paraId="6F1A632A">
                  <w:pPr>
                    <w:jc w:val="center"/>
                    <w:rPr>
                      <w:rFonts w:hint="default" w:ascii="Times New Roman" w:hAnsi="Times New Roman" w:eastAsia="宋体" w:cs="Times New Roman"/>
                      <w:color w:val="auto"/>
                      <w:sz w:val="18"/>
                      <w:szCs w:val="18"/>
                      <w:highlight w:val="none"/>
                    </w:rPr>
                  </w:pPr>
                </w:p>
              </w:tc>
              <w:tc>
                <w:tcPr>
                  <w:tcW w:w="3143" w:type="dxa"/>
                  <w:noWrap w:val="0"/>
                  <w:vAlign w:val="center"/>
                </w:tcPr>
                <w:p w14:paraId="36ABD1E9">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排气筒DA002水喷淋设施</w:t>
                  </w:r>
                </w:p>
              </w:tc>
            </w:tr>
            <w:tr w14:paraId="6859E9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260" w:type="dxa"/>
                  <w:noWrap w:val="0"/>
                  <w:vAlign w:val="center"/>
                </w:tcPr>
                <w:p w14:paraId="355A2BED">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1</w:t>
                  </w:r>
                </w:p>
              </w:tc>
              <w:tc>
                <w:tcPr>
                  <w:tcW w:w="3255" w:type="dxa"/>
                  <w:noWrap w:val="0"/>
                  <w:vAlign w:val="center"/>
                </w:tcPr>
                <w:p w14:paraId="48C4B1A0">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作业区空载风速</w:t>
                  </w:r>
                </w:p>
              </w:tc>
              <w:tc>
                <w:tcPr>
                  <w:tcW w:w="3143" w:type="dxa"/>
                  <w:noWrap w:val="0"/>
                  <w:vAlign w:val="center"/>
                </w:tcPr>
                <w:p w14:paraId="5DF50251">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≥0.25米/秒</w:t>
                  </w:r>
                </w:p>
              </w:tc>
            </w:tr>
            <w:tr w14:paraId="4973F1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260" w:type="dxa"/>
                  <w:noWrap w:val="0"/>
                  <w:vAlign w:val="center"/>
                </w:tcPr>
                <w:p w14:paraId="35A82C0E">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2</w:t>
                  </w:r>
                </w:p>
              </w:tc>
              <w:tc>
                <w:tcPr>
                  <w:tcW w:w="3255" w:type="dxa"/>
                  <w:noWrap w:val="0"/>
                  <w:vAlign w:val="center"/>
                </w:tcPr>
                <w:p w14:paraId="74D005B5">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装机最大用电功率</w:t>
                  </w:r>
                </w:p>
              </w:tc>
              <w:tc>
                <w:tcPr>
                  <w:tcW w:w="3143" w:type="dxa"/>
                  <w:noWrap w:val="0"/>
                  <w:vAlign w:val="center"/>
                </w:tcPr>
                <w:p w14:paraId="4BAE17C2">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5.5kw</w:t>
                  </w:r>
                </w:p>
              </w:tc>
            </w:tr>
            <w:tr w14:paraId="1550B7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260" w:type="dxa"/>
                  <w:noWrap w:val="0"/>
                  <w:vAlign w:val="center"/>
                </w:tcPr>
                <w:p w14:paraId="1B6C10C9">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3</w:t>
                  </w:r>
                </w:p>
              </w:tc>
              <w:tc>
                <w:tcPr>
                  <w:tcW w:w="3255" w:type="dxa"/>
                  <w:noWrap w:val="0"/>
                  <w:vAlign w:val="center"/>
                </w:tcPr>
                <w:p w14:paraId="3256A205">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管道内风速</w:t>
                  </w:r>
                </w:p>
              </w:tc>
              <w:tc>
                <w:tcPr>
                  <w:tcW w:w="3143" w:type="dxa"/>
                  <w:noWrap w:val="0"/>
                  <w:vAlign w:val="center"/>
                </w:tcPr>
                <w:p w14:paraId="62ED6212">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20m/s</w:t>
                  </w:r>
                </w:p>
              </w:tc>
            </w:tr>
            <w:tr w14:paraId="231116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260" w:type="dxa"/>
                  <w:noWrap w:val="0"/>
                  <w:vAlign w:val="center"/>
                </w:tcPr>
                <w:p w14:paraId="235B7258">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4</w:t>
                  </w:r>
                </w:p>
              </w:tc>
              <w:tc>
                <w:tcPr>
                  <w:tcW w:w="3255" w:type="dxa"/>
                  <w:noWrap w:val="0"/>
                  <w:vAlign w:val="center"/>
                </w:tcPr>
                <w:p w14:paraId="75F5DD7B">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空塔气流极限速度</w:t>
                  </w:r>
                </w:p>
              </w:tc>
              <w:tc>
                <w:tcPr>
                  <w:tcW w:w="3143" w:type="dxa"/>
                  <w:noWrap w:val="0"/>
                  <w:vAlign w:val="center"/>
                </w:tcPr>
                <w:p w14:paraId="6B70682B">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3.0~6.0m/s</w:t>
                  </w:r>
                </w:p>
              </w:tc>
            </w:tr>
            <w:tr w14:paraId="069377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260" w:type="dxa"/>
                  <w:noWrap w:val="0"/>
                  <w:vAlign w:val="center"/>
                </w:tcPr>
                <w:p w14:paraId="2C6AA48C">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5</w:t>
                  </w:r>
                </w:p>
              </w:tc>
              <w:tc>
                <w:tcPr>
                  <w:tcW w:w="3255" w:type="dxa"/>
                  <w:noWrap w:val="0"/>
                  <w:vAlign w:val="center"/>
                </w:tcPr>
                <w:p w14:paraId="3CD01124">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液气比</w:t>
                  </w:r>
                </w:p>
              </w:tc>
              <w:tc>
                <w:tcPr>
                  <w:tcW w:w="3143" w:type="dxa"/>
                  <w:noWrap w:val="0"/>
                  <w:vAlign w:val="center"/>
                </w:tcPr>
                <w:p w14:paraId="11B3B681">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0.1~0.2L/m</w:t>
                  </w:r>
                  <w:r>
                    <w:rPr>
                      <w:rFonts w:hint="default" w:ascii="Times New Roman" w:hAnsi="Times New Roman" w:eastAsia="宋体" w:cs="Times New Roman"/>
                      <w:color w:val="auto"/>
                      <w:sz w:val="18"/>
                      <w:szCs w:val="18"/>
                      <w:highlight w:val="none"/>
                      <w:vertAlign w:val="superscript"/>
                    </w:rPr>
                    <w:t>3</w:t>
                  </w:r>
                </w:p>
              </w:tc>
            </w:tr>
          </w:tbl>
          <w:p w14:paraId="3F9966F0">
            <w:pPr>
              <w:adjustRightInd w:val="0"/>
              <w:snapToGrid w:val="0"/>
              <w:spacing w:line="500" w:lineRule="exact"/>
              <w:ind w:firstLine="420" w:firstLineChars="200"/>
              <w:rPr>
                <w:rFonts w:hint="eastAsia" w:ascii="Times New Roman" w:hAnsi="Times New Roman" w:eastAsia="宋体" w:cs="Times New Roman"/>
                <w:bCs/>
                <w:color w:val="auto"/>
                <w:szCs w:val="21"/>
                <w:lang w:eastAsia="zh-CN"/>
              </w:rPr>
            </w:pPr>
            <w:r>
              <w:rPr>
                <w:rFonts w:hint="eastAsia" w:ascii="Times New Roman" w:hAnsi="Times New Roman" w:eastAsia="宋体" w:cs="Times New Roman"/>
                <w:bCs/>
                <w:color w:val="auto"/>
                <w:szCs w:val="21"/>
                <w:lang w:eastAsia="zh-CN"/>
              </w:rPr>
              <w:t>除雾除湿设施：主要是通过将高速进入塔内的气体与液体喷淋相撞，以达到除雾效果的一种设备。其中，除雾层是喷淋塔中最重要的组成部分。主要通过压缩空气和水的喷射：喷头将压缩空气和水分开，并将其喷射到空气中，使水分和空气分开，形成湿空气。空气过滤和湿度降低：通过使用空气过滤器，可以过滤掉污染物和杂质，并解决潮湿和高湿度问题，将潮湿的空气转化为干燥的空气。通过散热器，可以将空气中的水分降低，从而有效去除雾气。</w:t>
            </w:r>
          </w:p>
          <w:p w14:paraId="1D6214FE">
            <w:pPr>
              <w:widowControl/>
              <w:spacing w:line="500" w:lineRule="exact"/>
              <w:ind w:firstLine="420" w:firstLineChars="200"/>
              <w:jc w:val="left"/>
              <w:rPr>
                <w:color w:val="auto"/>
                <w:kern w:val="0"/>
                <w:szCs w:val="21"/>
                <w:lang w:bidi="ar"/>
              </w:rPr>
            </w:pPr>
            <w:r>
              <w:rPr>
                <w:color w:val="auto"/>
                <w:kern w:val="0"/>
                <w:szCs w:val="21"/>
                <w:lang w:bidi="ar"/>
              </w:rPr>
              <w:t>活性炭吸附装置</w:t>
            </w:r>
            <w:r>
              <w:rPr>
                <w:rFonts w:hint="eastAsia"/>
                <w:color w:val="auto"/>
                <w:kern w:val="0"/>
                <w:szCs w:val="21"/>
                <w:lang w:bidi="ar"/>
              </w:rPr>
              <w:t>：</w:t>
            </w:r>
            <w:r>
              <w:rPr>
                <w:color w:val="auto"/>
                <w:kern w:val="0"/>
                <w:szCs w:val="21"/>
                <w:lang w:bidi="ar"/>
              </w:rPr>
              <w:t>本项目使用的</w:t>
            </w:r>
            <w:r>
              <w:rPr>
                <w:rFonts w:hint="eastAsia"/>
                <w:color w:val="auto"/>
                <w:kern w:val="0"/>
                <w:szCs w:val="21"/>
                <w:lang w:eastAsia="zh-CN" w:bidi="ar"/>
              </w:rPr>
              <w:t>颗粒</w:t>
            </w:r>
            <w:r>
              <w:rPr>
                <w:color w:val="auto"/>
                <w:kern w:val="0"/>
                <w:szCs w:val="21"/>
                <w:lang w:bidi="ar"/>
              </w:rPr>
              <w:t>状活性炭是一种高效的吸附材料，利用活性炭的微孔对溶剂分子或分子团吸附，当工业废气通过吸附介质时，其中的有机溶剂被</w:t>
            </w:r>
            <w:r>
              <w:rPr>
                <w:rFonts w:hint="eastAsia"/>
                <w:color w:val="auto"/>
                <w:kern w:val="0"/>
                <w:szCs w:val="21"/>
                <w:lang w:bidi="ar"/>
              </w:rPr>
              <w:t>“</w:t>
            </w:r>
            <w:r>
              <w:rPr>
                <w:color w:val="auto"/>
                <w:kern w:val="0"/>
                <w:szCs w:val="21"/>
                <w:lang w:bidi="ar"/>
              </w:rPr>
              <w:t>阻留</w:t>
            </w:r>
            <w:r>
              <w:rPr>
                <w:rFonts w:hint="eastAsia"/>
                <w:color w:val="auto"/>
                <w:kern w:val="0"/>
                <w:szCs w:val="21"/>
                <w:lang w:bidi="ar"/>
              </w:rPr>
              <w:t>”</w:t>
            </w:r>
            <w:r>
              <w:rPr>
                <w:color w:val="auto"/>
                <w:kern w:val="0"/>
                <w:szCs w:val="21"/>
                <w:lang w:bidi="ar"/>
              </w:rPr>
              <w:t>下来，从而使有机废气得到净化处理。根据《大气中VOCs的污染现状及治理技术研究进展》（环境科学与管理，2012年第37卷第6期）中数据，本次评价按二级活性炭对挥发性有机物去除效率为90%。本项目使用的</w:t>
            </w:r>
            <w:r>
              <w:rPr>
                <w:rFonts w:hint="eastAsia"/>
                <w:color w:val="auto"/>
                <w:kern w:val="0"/>
                <w:szCs w:val="21"/>
                <w:lang w:eastAsia="zh-CN" w:bidi="ar"/>
              </w:rPr>
              <w:t>颗粒</w:t>
            </w:r>
            <w:r>
              <w:rPr>
                <w:color w:val="auto"/>
                <w:kern w:val="0"/>
                <w:szCs w:val="21"/>
                <w:lang w:bidi="ar"/>
              </w:rPr>
              <w:t>状活性炭装置主要由稳压箱、活性炭吸附装置组成。活性炭吸附箱的具体参数见表4-</w:t>
            </w:r>
            <w:r>
              <w:rPr>
                <w:rFonts w:hint="eastAsia"/>
                <w:color w:val="auto"/>
                <w:kern w:val="0"/>
                <w:szCs w:val="21"/>
                <w:lang w:val="en-US" w:eastAsia="zh-CN" w:bidi="ar"/>
              </w:rPr>
              <w:t>9</w:t>
            </w:r>
            <w:r>
              <w:rPr>
                <w:color w:val="auto"/>
                <w:kern w:val="0"/>
                <w:szCs w:val="21"/>
                <w:lang w:bidi="ar"/>
              </w:rPr>
              <w:t>。</w:t>
            </w:r>
          </w:p>
          <w:p w14:paraId="1E413967">
            <w:pPr>
              <w:spacing w:line="360" w:lineRule="auto"/>
              <w:jc w:val="center"/>
              <w:rPr>
                <w:b/>
                <w:bCs/>
                <w:color w:val="auto"/>
              </w:rPr>
            </w:pPr>
            <w:r>
              <w:rPr>
                <w:b/>
                <w:bCs/>
                <w:color w:val="auto"/>
              </w:rPr>
              <w:t>表4-</w:t>
            </w:r>
            <w:r>
              <w:rPr>
                <w:rFonts w:hint="eastAsia"/>
                <w:b/>
                <w:bCs/>
                <w:color w:val="auto"/>
                <w:lang w:val="en-US" w:eastAsia="zh-CN"/>
              </w:rPr>
              <w:t>9</w:t>
            </w:r>
            <w:r>
              <w:rPr>
                <w:b/>
                <w:bCs/>
                <w:color w:val="auto"/>
              </w:rPr>
              <w:t xml:space="preserve"> 二级活性炭吸附箱技术参数一览表</w:t>
            </w:r>
          </w:p>
          <w:tbl>
            <w:tblPr>
              <w:tblStyle w:val="16"/>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3561"/>
              <w:gridCol w:w="3043"/>
            </w:tblGrid>
            <w:tr w14:paraId="372DC0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335" w:type="dxa"/>
                  <w:vAlign w:val="center"/>
                </w:tcPr>
                <w:p w14:paraId="5E6EDAA9">
                  <w:pPr>
                    <w:jc w:val="center"/>
                    <w:rPr>
                      <w:color w:val="auto"/>
                      <w:sz w:val="18"/>
                      <w:szCs w:val="18"/>
                    </w:rPr>
                  </w:pPr>
                  <w:r>
                    <w:rPr>
                      <w:color w:val="auto"/>
                      <w:sz w:val="18"/>
                      <w:szCs w:val="18"/>
                    </w:rPr>
                    <w:t>序号</w:t>
                  </w:r>
                </w:p>
              </w:tc>
              <w:tc>
                <w:tcPr>
                  <w:tcW w:w="3561" w:type="dxa"/>
                  <w:vAlign w:val="center"/>
                </w:tcPr>
                <w:p w14:paraId="75CC57AF">
                  <w:pPr>
                    <w:jc w:val="center"/>
                    <w:rPr>
                      <w:color w:val="auto"/>
                      <w:sz w:val="18"/>
                      <w:szCs w:val="18"/>
                    </w:rPr>
                  </w:pPr>
                  <w:r>
                    <w:rPr>
                      <w:color w:val="auto"/>
                      <w:sz w:val="18"/>
                      <w:szCs w:val="18"/>
                    </w:rPr>
                    <w:t>项目</w:t>
                  </w:r>
                </w:p>
              </w:tc>
              <w:tc>
                <w:tcPr>
                  <w:tcW w:w="3043" w:type="dxa"/>
                  <w:vAlign w:val="center"/>
                </w:tcPr>
                <w:p w14:paraId="0E3C7164">
                  <w:pPr>
                    <w:jc w:val="center"/>
                    <w:rPr>
                      <w:color w:val="auto"/>
                      <w:sz w:val="18"/>
                      <w:szCs w:val="18"/>
                    </w:rPr>
                  </w:pPr>
                  <w:r>
                    <w:rPr>
                      <w:color w:val="auto"/>
                      <w:sz w:val="18"/>
                      <w:szCs w:val="18"/>
                    </w:rPr>
                    <w:t>技术指标</w:t>
                  </w:r>
                </w:p>
              </w:tc>
            </w:tr>
            <w:tr w14:paraId="5AE2B9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7F762067">
                  <w:pPr>
                    <w:jc w:val="center"/>
                    <w:rPr>
                      <w:color w:val="auto"/>
                      <w:sz w:val="18"/>
                      <w:szCs w:val="18"/>
                    </w:rPr>
                  </w:pPr>
                  <w:r>
                    <w:rPr>
                      <w:color w:val="auto"/>
                      <w:sz w:val="18"/>
                      <w:szCs w:val="18"/>
                    </w:rPr>
                    <w:t>1</w:t>
                  </w:r>
                </w:p>
              </w:tc>
              <w:tc>
                <w:tcPr>
                  <w:tcW w:w="3561" w:type="dxa"/>
                  <w:vAlign w:val="center"/>
                </w:tcPr>
                <w:p w14:paraId="4BD4B90E">
                  <w:pPr>
                    <w:jc w:val="center"/>
                    <w:rPr>
                      <w:color w:val="auto"/>
                      <w:sz w:val="18"/>
                      <w:szCs w:val="18"/>
                    </w:rPr>
                  </w:pPr>
                  <w:r>
                    <w:rPr>
                      <w:color w:val="auto"/>
                      <w:sz w:val="18"/>
                      <w:szCs w:val="18"/>
                    </w:rPr>
                    <w:t>配套风机风量</w:t>
                  </w:r>
                </w:p>
              </w:tc>
              <w:tc>
                <w:tcPr>
                  <w:tcW w:w="3043" w:type="dxa"/>
                  <w:vAlign w:val="center"/>
                </w:tcPr>
                <w:p w14:paraId="0A719E52">
                  <w:pPr>
                    <w:jc w:val="center"/>
                    <w:rPr>
                      <w:color w:val="auto"/>
                      <w:sz w:val="18"/>
                      <w:szCs w:val="18"/>
                    </w:rPr>
                  </w:pPr>
                  <w:r>
                    <w:rPr>
                      <w:rFonts w:hint="eastAsia"/>
                      <w:color w:val="auto"/>
                      <w:sz w:val="18"/>
                      <w:szCs w:val="18"/>
                      <w:lang w:val="en-US" w:eastAsia="zh-CN"/>
                    </w:rPr>
                    <w:t>7000</w:t>
                  </w:r>
                  <w:r>
                    <w:rPr>
                      <w:color w:val="auto"/>
                    </w:rPr>
                    <w:t>m</w:t>
                  </w:r>
                  <w:r>
                    <w:rPr>
                      <w:color w:val="auto"/>
                      <w:vertAlign w:val="superscript"/>
                    </w:rPr>
                    <w:t>3</w:t>
                  </w:r>
                  <w:r>
                    <w:rPr>
                      <w:color w:val="auto"/>
                    </w:rPr>
                    <w:t>/h</w:t>
                  </w:r>
                </w:p>
              </w:tc>
            </w:tr>
            <w:tr w14:paraId="5CA377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05E1A1FA">
                  <w:pPr>
                    <w:jc w:val="center"/>
                    <w:rPr>
                      <w:color w:val="auto"/>
                      <w:sz w:val="18"/>
                      <w:szCs w:val="18"/>
                    </w:rPr>
                  </w:pPr>
                  <w:r>
                    <w:rPr>
                      <w:color w:val="auto"/>
                      <w:sz w:val="18"/>
                      <w:szCs w:val="18"/>
                    </w:rPr>
                    <w:t>2</w:t>
                  </w:r>
                </w:p>
              </w:tc>
              <w:tc>
                <w:tcPr>
                  <w:tcW w:w="3561" w:type="dxa"/>
                  <w:vAlign w:val="center"/>
                </w:tcPr>
                <w:p w14:paraId="15B48715">
                  <w:pPr>
                    <w:jc w:val="center"/>
                    <w:rPr>
                      <w:color w:val="auto"/>
                      <w:sz w:val="18"/>
                      <w:szCs w:val="18"/>
                    </w:rPr>
                  </w:pPr>
                  <w:r>
                    <w:rPr>
                      <w:color w:val="auto"/>
                      <w:sz w:val="18"/>
                      <w:szCs w:val="18"/>
                    </w:rPr>
                    <w:t>工序</w:t>
                  </w:r>
                </w:p>
              </w:tc>
              <w:tc>
                <w:tcPr>
                  <w:tcW w:w="3043" w:type="dxa"/>
                  <w:vAlign w:val="center"/>
                </w:tcPr>
                <w:p w14:paraId="04765117">
                  <w:pPr>
                    <w:jc w:val="center"/>
                    <w:rPr>
                      <w:rFonts w:hint="eastAsia" w:eastAsia="宋体"/>
                      <w:color w:val="auto"/>
                      <w:sz w:val="18"/>
                      <w:szCs w:val="18"/>
                      <w:lang w:eastAsia="zh-CN"/>
                    </w:rPr>
                  </w:pPr>
                  <w:r>
                    <w:rPr>
                      <w:rFonts w:hint="eastAsia"/>
                      <w:color w:val="auto"/>
                      <w:sz w:val="18"/>
                      <w:szCs w:val="18"/>
                      <w:lang w:eastAsia="zh-CN"/>
                    </w:rPr>
                    <w:t>挤出</w:t>
                  </w:r>
                </w:p>
              </w:tc>
            </w:tr>
            <w:tr w14:paraId="40FC7B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35" w:type="dxa"/>
                  <w:vAlign w:val="center"/>
                </w:tcPr>
                <w:p w14:paraId="2D271F18">
                  <w:pPr>
                    <w:jc w:val="center"/>
                    <w:rPr>
                      <w:color w:val="auto"/>
                      <w:sz w:val="18"/>
                      <w:szCs w:val="18"/>
                    </w:rPr>
                  </w:pPr>
                  <w:r>
                    <w:rPr>
                      <w:color w:val="auto"/>
                      <w:sz w:val="18"/>
                      <w:szCs w:val="18"/>
                    </w:rPr>
                    <w:t>3</w:t>
                  </w:r>
                </w:p>
              </w:tc>
              <w:tc>
                <w:tcPr>
                  <w:tcW w:w="3561" w:type="dxa"/>
                  <w:vAlign w:val="center"/>
                </w:tcPr>
                <w:p w14:paraId="5302FDF2">
                  <w:pPr>
                    <w:jc w:val="center"/>
                    <w:rPr>
                      <w:color w:val="auto"/>
                      <w:sz w:val="18"/>
                      <w:szCs w:val="18"/>
                    </w:rPr>
                  </w:pPr>
                  <w:r>
                    <w:rPr>
                      <w:color w:val="auto"/>
                      <w:sz w:val="18"/>
                      <w:szCs w:val="18"/>
                    </w:rPr>
                    <w:t>废气温度</w:t>
                  </w:r>
                </w:p>
              </w:tc>
              <w:tc>
                <w:tcPr>
                  <w:tcW w:w="3043" w:type="dxa"/>
                  <w:vAlign w:val="center"/>
                </w:tcPr>
                <w:p w14:paraId="704AB04C">
                  <w:pPr>
                    <w:jc w:val="center"/>
                    <w:rPr>
                      <w:color w:val="auto"/>
                      <w:sz w:val="18"/>
                      <w:szCs w:val="18"/>
                    </w:rPr>
                  </w:pPr>
                  <w:r>
                    <w:rPr>
                      <w:color w:val="auto"/>
                      <w:sz w:val="18"/>
                      <w:szCs w:val="18"/>
                    </w:rPr>
                    <w:t>≤40℃</w:t>
                  </w:r>
                </w:p>
              </w:tc>
            </w:tr>
            <w:tr w14:paraId="0F0408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7B1C32DC">
                  <w:pPr>
                    <w:jc w:val="center"/>
                    <w:rPr>
                      <w:color w:val="auto"/>
                      <w:sz w:val="18"/>
                      <w:szCs w:val="18"/>
                    </w:rPr>
                  </w:pPr>
                  <w:r>
                    <w:rPr>
                      <w:color w:val="auto"/>
                      <w:sz w:val="18"/>
                      <w:szCs w:val="18"/>
                    </w:rPr>
                    <w:t>4</w:t>
                  </w:r>
                </w:p>
              </w:tc>
              <w:tc>
                <w:tcPr>
                  <w:tcW w:w="3561" w:type="dxa"/>
                  <w:vAlign w:val="center"/>
                </w:tcPr>
                <w:p w14:paraId="264C2338">
                  <w:pPr>
                    <w:jc w:val="center"/>
                    <w:rPr>
                      <w:color w:val="auto"/>
                      <w:sz w:val="18"/>
                      <w:szCs w:val="18"/>
                    </w:rPr>
                  </w:pPr>
                  <w:r>
                    <w:rPr>
                      <w:color w:val="auto"/>
                      <w:sz w:val="18"/>
                      <w:szCs w:val="18"/>
                    </w:rPr>
                    <w:t>废气湿度</w:t>
                  </w:r>
                </w:p>
              </w:tc>
              <w:tc>
                <w:tcPr>
                  <w:tcW w:w="3043" w:type="dxa"/>
                  <w:vAlign w:val="center"/>
                </w:tcPr>
                <w:p w14:paraId="62A43C5C">
                  <w:pPr>
                    <w:jc w:val="center"/>
                    <w:rPr>
                      <w:color w:val="auto"/>
                      <w:sz w:val="18"/>
                      <w:szCs w:val="18"/>
                    </w:rPr>
                  </w:pPr>
                  <w:r>
                    <w:rPr>
                      <w:color w:val="auto"/>
                      <w:sz w:val="18"/>
                      <w:szCs w:val="18"/>
                    </w:rPr>
                    <w:t>≤1%</w:t>
                  </w:r>
                </w:p>
              </w:tc>
            </w:tr>
            <w:tr w14:paraId="23797D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328243EF">
                  <w:pPr>
                    <w:jc w:val="center"/>
                    <w:rPr>
                      <w:color w:val="auto"/>
                      <w:sz w:val="18"/>
                      <w:szCs w:val="18"/>
                    </w:rPr>
                  </w:pPr>
                  <w:r>
                    <w:rPr>
                      <w:color w:val="auto"/>
                      <w:sz w:val="18"/>
                      <w:szCs w:val="18"/>
                    </w:rPr>
                    <w:t>5</w:t>
                  </w:r>
                </w:p>
              </w:tc>
              <w:tc>
                <w:tcPr>
                  <w:tcW w:w="3561" w:type="dxa"/>
                  <w:vAlign w:val="center"/>
                </w:tcPr>
                <w:p w14:paraId="420BEAC9">
                  <w:pPr>
                    <w:jc w:val="center"/>
                    <w:rPr>
                      <w:color w:val="auto"/>
                      <w:sz w:val="18"/>
                      <w:szCs w:val="18"/>
                    </w:rPr>
                  </w:pPr>
                  <w:r>
                    <w:rPr>
                      <w:color w:val="auto"/>
                      <w:sz w:val="18"/>
                      <w:szCs w:val="18"/>
                    </w:rPr>
                    <w:t>活性炭类型</w:t>
                  </w:r>
                </w:p>
              </w:tc>
              <w:tc>
                <w:tcPr>
                  <w:tcW w:w="3043" w:type="dxa"/>
                  <w:vAlign w:val="center"/>
                </w:tcPr>
                <w:p w14:paraId="217D4310">
                  <w:pPr>
                    <w:jc w:val="center"/>
                    <w:rPr>
                      <w:color w:val="auto"/>
                      <w:sz w:val="18"/>
                      <w:szCs w:val="18"/>
                    </w:rPr>
                  </w:pPr>
                  <w:r>
                    <w:rPr>
                      <w:rFonts w:hint="eastAsia"/>
                      <w:color w:val="auto"/>
                      <w:sz w:val="18"/>
                      <w:szCs w:val="18"/>
                      <w:lang w:eastAsia="zh-CN"/>
                    </w:rPr>
                    <w:t>颗粒</w:t>
                  </w:r>
                  <w:r>
                    <w:rPr>
                      <w:color w:val="auto"/>
                      <w:sz w:val="18"/>
                      <w:szCs w:val="18"/>
                    </w:rPr>
                    <w:t>状活性炭</w:t>
                  </w:r>
                </w:p>
              </w:tc>
            </w:tr>
            <w:tr w14:paraId="6416DB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5BFB94E8">
                  <w:pPr>
                    <w:jc w:val="center"/>
                    <w:rPr>
                      <w:color w:val="auto"/>
                      <w:sz w:val="18"/>
                      <w:szCs w:val="18"/>
                    </w:rPr>
                  </w:pPr>
                  <w:r>
                    <w:rPr>
                      <w:color w:val="auto"/>
                      <w:sz w:val="18"/>
                      <w:szCs w:val="18"/>
                    </w:rPr>
                    <w:t>6</w:t>
                  </w:r>
                </w:p>
              </w:tc>
              <w:tc>
                <w:tcPr>
                  <w:tcW w:w="3561" w:type="dxa"/>
                  <w:vAlign w:val="center"/>
                </w:tcPr>
                <w:p w14:paraId="512A522C">
                  <w:pPr>
                    <w:jc w:val="center"/>
                    <w:rPr>
                      <w:color w:val="auto"/>
                      <w:sz w:val="18"/>
                      <w:szCs w:val="18"/>
                    </w:rPr>
                  </w:pPr>
                  <w:r>
                    <w:rPr>
                      <w:color w:val="auto"/>
                      <w:sz w:val="18"/>
                      <w:szCs w:val="18"/>
                    </w:rPr>
                    <w:t>比表面积（m</w:t>
                  </w:r>
                  <w:r>
                    <w:rPr>
                      <w:color w:val="auto"/>
                      <w:sz w:val="18"/>
                      <w:szCs w:val="18"/>
                      <w:vertAlign w:val="superscript"/>
                    </w:rPr>
                    <w:t xml:space="preserve">2 </w:t>
                  </w:r>
                  <w:r>
                    <w:rPr>
                      <w:color w:val="auto"/>
                      <w:sz w:val="18"/>
                      <w:szCs w:val="18"/>
                    </w:rPr>
                    <w:t>/g）</w:t>
                  </w:r>
                </w:p>
              </w:tc>
              <w:tc>
                <w:tcPr>
                  <w:tcW w:w="3043" w:type="dxa"/>
                  <w:vAlign w:val="center"/>
                </w:tcPr>
                <w:p w14:paraId="3D3C35AF">
                  <w:pPr>
                    <w:jc w:val="center"/>
                    <w:rPr>
                      <w:color w:val="auto"/>
                      <w:sz w:val="18"/>
                      <w:szCs w:val="18"/>
                    </w:rPr>
                  </w:pPr>
                  <w:r>
                    <w:rPr>
                      <w:color w:val="auto"/>
                      <w:sz w:val="18"/>
                      <w:szCs w:val="18"/>
                    </w:rPr>
                    <w:t>900-1600</w:t>
                  </w:r>
                </w:p>
              </w:tc>
            </w:tr>
            <w:tr w14:paraId="1B6325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340C73FC">
                  <w:pPr>
                    <w:jc w:val="center"/>
                    <w:rPr>
                      <w:color w:val="auto"/>
                      <w:sz w:val="18"/>
                      <w:szCs w:val="18"/>
                    </w:rPr>
                  </w:pPr>
                  <w:r>
                    <w:rPr>
                      <w:color w:val="auto"/>
                      <w:sz w:val="18"/>
                      <w:szCs w:val="18"/>
                    </w:rPr>
                    <w:t>7</w:t>
                  </w:r>
                </w:p>
              </w:tc>
              <w:tc>
                <w:tcPr>
                  <w:tcW w:w="3561" w:type="dxa"/>
                  <w:vAlign w:val="center"/>
                </w:tcPr>
                <w:p w14:paraId="2DAFCDA7">
                  <w:pPr>
                    <w:jc w:val="center"/>
                    <w:rPr>
                      <w:color w:val="auto"/>
                      <w:sz w:val="18"/>
                      <w:szCs w:val="18"/>
                    </w:rPr>
                  </w:pPr>
                  <w:r>
                    <w:rPr>
                      <w:color w:val="auto"/>
                      <w:sz w:val="18"/>
                      <w:szCs w:val="18"/>
                    </w:rPr>
                    <w:t>总孔容积（cm</w:t>
                  </w:r>
                  <w:r>
                    <w:rPr>
                      <w:color w:val="auto"/>
                      <w:sz w:val="18"/>
                      <w:szCs w:val="18"/>
                      <w:vertAlign w:val="superscript"/>
                    </w:rPr>
                    <w:t>3</w:t>
                  </w:r>
                  <w:r>
                    <w:rPr>
                      <w:color w:val="auto"/>
                      <w:sz w:val="18"/>
                      <w:szCs w:val="18"/>
                    </w:rPr>
                    <w:t xml:space="preserve"> /g）</w:t>
                  </w:r>
                </w:p>
              </w:tc>
              <w:tc>
                <w:tcPr>
                  <w:tcW w:w="3043" w:type="dxa"/>
                  <w:vAlign w:val="center"/>
                </w:tcPr>
                <w:p w14:paraId="31566736">
                  <w:pPr>
                    <w:jc w:val="center"/>
                    <w:rPr>
                      <w:color w:val="auto"/>
                      <w:sz w:val="18"/>
                      <w:szCs w:val="18"/>
                    </w:rPr>
                  </w:pPr>
                  <w:r>
                    <w:rPr>
                      <w:color w:val="auto"/>
                      <w:sz w:val="18"/>
                      <w:szCs w:val="18"/>
                    </w:rPr>
                    <w:t>0.81</w:t>
                  </w:r>
                </w:p>
              </w:tc>
            </w:tr>
            <w:tr w14:paraId="1718F7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23E7E0FE">
                  <w:pPr>
                    <w:jc w:val="center"/>
                    <w:rPr>
                      <w:color w:val="auto"/>
                      <w:sz w:val="18"/>
                      <w:szCs w:val="18"/>
                    </w:rPr>
                  </w:pPr>
                  <w:r>
                    <w:rPr>
                      <w:color w:val="auto"/>
                      <w:sz w:val="18"/>
                      <w:szCs w:val="18"/>
                    </w:rPr>
                    <w:t>8</w:t>
                  </w:r>
                </w:p>
              </w:tc>
              <w:tc>
                <w:tcPr>
                  <w:tcW w:w="3561" w:type="dxa"/>
                  <w:vAlign w:val="center"/>
                </w:tcPr>
                <w:p w14:paraId="1B62A645">
                  <w:pPr>
                    <w:jc w:val="center"/>
                    <w:rPr>
                      <w:color w:val="auto"/>
                      <w:sz w:val="18"/>
                      <w:szCs w:val="18"/>
                    </w:rPr>
                  </w:pPr>
                  <w:r>
                    <w:rPr>
                      <w:color w:val="auto"/>
                      <w:sz w:val="18"/>
                      <w:szCs w:val="18"/>
                    </w:rPr>
                    <w:t>水分</w:t>
                  </w:r>
                </w:p>
              </w:tc>
              <w:tc>
                <w:tcPr>
                  <w:tcW w:w="3043" w:type="dxa"/>
                  <w:vAlign w:val="center"/>
                </w:tcPr>
                <w:p w14:paraId="1FE3D883">
                  <w:pPr>
                    <w:jc w:val="center"/>
                    <w:rPr>
                      <w:color w:val="auto"/>
                      <w:sz w:val="18"/>
                      <w:szCs w:val="18"/>
                    </w:rPr>
                  </w:pPr>
                  <w:r>
                    <w:rPr>
                      <w:color w:val="auto"/>
                      <w:sz w:val="18"/>
                      <w:szCs w:val="18"/>
                    </w:rPr>
                    <w:t>≤5%</w:t>
                  </w:r>
                </w:p>
              </w:tc>
            </w:tr>
            <w:tr w14:paraId="10C3BB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6D47FF32">
                  <w:pPr>
                    <w:jc w:val="center"/>
                    <w:rPr>
                      <w:color w:val="auto"/>
                      <w:sz w:val="18"/>
                      <w:szCs w:val="18"/>
                    </w:rPr>
                  </w:pPr>
                  <w:r>
                    <w:rPr>
                      <w:color w:val="auto"/>
                      <w:sz w:val="18"/>
                      <w:szCs w:val="18"/>
                    </w:rPr>
                    <w:t>9</w:t>
                  </w:r>
                </w:p>
              </w:tc>
              <w:tc>
                <w:tcPr>
                  <w:tcW w:w="3561" w:type="dxa"/>
                  <w:vAlign w:val="center"/>
                </w:tcPr>
                <w:p w14:paraId="13C965D4">
                  <w:pPr>
                    <w:jc w:val="center"/>
                    <w:rPr>
                      <w:color w:val="auto"/>
                      <w:sz w:val="18"/>
                      <w:szCs w:val="18"/>
                    </w:rPr>
                  </w:pPr>
                  <w:r>
                    <w:rPr>
                      <w:color w:val="auto"/>
                      <w:sz w:val="18"/>
                      <w:szCs w:val="18"/>
                    </w:rPr>
                    <w:t>单位体积重（kg/m</w:t>
                  </w:r>
                  <w:r>
                    <w:rPr>
                      <w:color w:val="auto"/>
                      <w:sz w:val="18"/>
                      <w:szCs w:val="18"/>
                      <w:vertAlign w:val="superscript"/>
                    </w:rPr>
                    <w:t>3</w:t>
                  </w:r>
                  <w:r>
                    <w:rPr>
                      <w:color w:val="auto"/>
                      <w:sz w:val="18"/>
                      <w:szCs w:val="18"/>
                    </w:rPr>
                    <w:t>）</w:t>
                  </w:r>
                </w:p>
              </w:tc>
              <w:tc>
                <w:tcPr>
                  <w:tcW w:w="3043" w:type="dxa"/>
                  <w:vAlign w:val="center"/>
                </w:tcPr>
                <w:p w14:paraId="08ADCEC5">
                  <w:pPr>
                    <w:jc w:val="center"/>
                    <w:rPr>
                      <w:color w:val="auto"/>
                      <w:sz w:val="18"/>
                      <w:szCs w:val="18"/>
                    </w:rPr>
                  </w:pPr>
                  <w:r>
                    <w:rPr>
                      <w:color w:val="auto"/>
                      <w:sz w:val="18"/>
                      <w:szCs w:val="18"/>
                    </w:rPr>
                    <w:t>500</w:t>
                  </w:r>
                </w:p>
              </w:tc>
            </w:tr>
            <w:tr w14:paraId="66D40B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3D897B29">
                  <w:pPr>
                    <w:jc w:val="center"/>
                    <w:rPr>
                      <w:color w:val="auto"/>
                      <w:sz w:val="18"/>
                      <w:szCs w:val="18"/>
                    </w:rPr>
                  </w:pPr>
                  <w:r>
                    <w:rPr>
                      <w:color w:val="auto"/>
                      <w:sz w:val="18"/>
                      <w:szCs w:val="18"/>
                    </w:rPr>
                    <w:t>10</w:t>
                  </w:r>
                </w:p>
              </w:tc>
              <w:tc>
                <w:tcPr>
                  <w:tcW w:w="3561" w:type="dxa"/>
                  <w:vAlign w:val="center"/>
                </w:tcPr>
                <w:p w14:paraId="2D19A82F">
                  <w:pPr>
                    <w:jc w:val="center"/>
                    <w:rPr>
                      <w:color w:val="auto"/>
                      <w:sz w:val="18"/>
                      <w:szCs w:val="18"/>
                    </w:rPr>
                  </w:pPr>
                  <w:r>
                    <w:rPr>
                      <w:color w:val="auto"/>
                      <w:sz w:val="18"/>
                      <w:szCs w:val="18"/>
                    </w:rPr>
                    <w:t>着火力</w:t>
                  </w:r>
                </w:p>
              </w:tc>
              <w:tc>
                <w:tcPr>
                  <w:tcW w:w="3043" w:type="dxa"/>
                  <w:vAlign w:val="center"/>
                </w:tcPr>
                <w:p w14:paraId="62A437AF">
                  <w:pPr>
                    <w:jc w:val="center"/>
                    <w:rPr>
                      <w:color w:val="auto"/>
                      <w:sz w:val="18"/>
                      <w:szCs w:val="18"/>
                    </w:rPr>
                  </w:pPr>
                  <w:r>
                    <w:rPr>
                      <w:rFonts w:hint="eastAsia" w:ascii="宋体" w:hAnsi="宋体" w:eastAsia="宋体" w:cs="宋体"/>
                      <w:color w:val="auto"/>
                      <w:sz w:val="18"/>
                      <w:szCs w:val="18"/>
                    </w:rPr>
                    <w:t>&gt;</w:t>
                  </w:r>
                  <w:r>
                    <w:rPr>
                      <w:color w:val="auto"/>
                      <w:sz w:val="18"/>
                      <w:szCs w:val="18"/>
                    </w:rPr>
                    <w:t>500</w:t>
                  </w:r>
                </w:p>
              </w:tc>
            </w:tr>
            <w:tr w14:paraId="373AE4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1176A841">
                  <w:pPr>
                    <w:jc w:val="center"/>
                    <w:rPr>
                      <w:color w:val="auto"/>
                      <w:sz w:val="18"/>
                      <w:szCs w:val="18"/>
                    </w:rPr>
                  </w:pPr>
                  <w:r>
                    <w:rPr>
                      <w:color w:val="auto"/>
                      <w:sz w:val="18"/>
                      <w:szCs w:val="18"/>
                    </w:rPr>
                    <w:t>11</w:t>
                  </w:r>
                </w:p>
              </w:tc>
              <w:tc>
                <w:tcPr>
                  <w:tcW w:w="3561" w:type="dxa"/>
                  <w:vAlign w:val="center"/>
                </w:tcPr>
                <w:p w14:paraId="3B2FDA2D">
                  <w:pPr>
                    <w:jc w:val="center"/>
                    <w:rPr>
                      <w:color w:val="auto"/>
                      <w:sz w:val="18"/>
                      <w:szCs w:val="18"/>
                    </w:rPr>
                  </w:pPr>
                  <w:r>
                    <w:rPr>
                      <w:color w:val="auto"/>
                      <w:sz w:val="18"/>
                      <w:szCs w:val="18"/>
                    </w:rPr>
                    <w:t>吸附阻力</w:t>
                  </w:r>
                </w:p>
              </w:tc>
              <w:tc>
                <w:tcPr>
                  <w:tcW w:w="3043" w:type="dxa"/>
                  <w:vAlign w:val="center"/>
                </w:tcPr>
                <w:p w14:paraId="355AD659">
                  <w:pPr>
                    <w:jc w:val="center"/>
                    <w:rPr>
                      <w:color w:val="auto"/>
                      <w:sz w:val="18"/>
                      <w:szCs w:val="18"/>
                    </w:rPr>
                  </w:pPr>
                  <w:r>
                    <w:rPr>
                      <w:color w:val="auto"/>
                      <w:sz w:val="18"/>
                      <w:szCs w:val="18"/>
                    </w:rPr>
                    <w:t>700</w:t>
                  </w:r>
                </w:p>
              </w:tc>
            </w:tr>
            <w:tr w14:paraId="5373EA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121590D9">
                  <w:pPr>
                    <w:jc w:val="center"/>
                    <w:rPr>
                      <w:color w:val="auto"/>
                      <w:sz w:val="18"/>
                      <w:szCs w:val="18"/>
                    </w:rPr>
                  </w:pPr>
                  <w:r>
                    <w:rPr>
                      <w:color w:val="auto"/>
                      <w:sz w:val="18"/>
                      <w:szCs w:val="18"/>
                    </w:rPr>
                    <w:t>12</w:t>
                  </w:r>
                </w:p>
              </w:tc>
              <w:tc>
                <w:tcPr>
                  <w:tcW w:w="3561" w:type="dxa"/>
                  <w:vAlign w:val="center"/>
                </w:tcPr>
                <w:p w14:paraId="39363B72">
                  <w:pPr>
                    <w:jc w:val="center"/>
                    <w:rPr>
                      <w:color w:val="auto"/>
                      <w:sz w:val="18"/>
                      <w:szCs w:val="18"/>
                    </w:rPr>
                  </w:pPr>
                  <w:r>
                    <w:rPr>
                      <w:color w:val="auto"/>
                      <w:sz w:val="18"/>
                      <w:szCs w:val="18"/>
                    </w:rPr>
                    <w:t>结构形式</w:t>
                  </w:r>
                </w:p>
              </w:tc>
              <w:tc>
                <w:tcPr>
                  <w:tcW w:w="3043" w:type="dxa"/>
                  <w:vAlign w:val="center"/>
                </w:tcPr>
                <w:p w14:paraId="47252D89">
                  <w:pPr>
                    <w:jc w:val="center"/>
                    <w:rPr>
                      <w:color w:val="auto"/>
                      <w:sz w:val="18"/>
                      <w:szCs w:val="18"/>
                    </w:rPr>
                  </w:pPr>
                  <w:r>
                    <w:rPr>
                      <w:color w:val="auto"/>
                      <w:sz w:val="18"/>
                      <w:szCs w:val="18"/>
                    </w:rPr>
                    <w:t>箱体式</w:t>
                  </w:r>
                </w:p>
              </w:tc>
            </w:tr>
            <w:tr w14:paraId="4FC5C4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62EB1FBB">
                  <w:pPr>
                    <w:jc w:val="center"/>
                    <w:rPr>
                      <w:color w:val="auto"/>
                      <w:sz w:val="18"/>
                      <w:szCs w:val="18"/>
                    </w:rPr>
                  </w:pPr>
                  <w:r>
                    <w:rPr>
                      <w:color w:val="auto"/>
                      <w:sz w:val="18"/>
                      <w:szCs w:val="18"/>
                    </w:rPr>
                    <w:t>13</w:t>
                  </w:r>
                </w:p>
              </w:tc>
              <w:tc>
                <w:tcPr>
                  <w:tcW w:w="3561" w:type="dxa"/>
                  <w:vAlign w:val="center"/>
                </w:tcPr>
                <w:p w14:paraId="4743BB27">
                  <w:pPr>
                    <w:jc w:val="center"/>
                    <w:rPr>
                      <w:color w:val="auto"/>
                      <w:sz w:val="18"/>
                      <w:szCs w:val="18"/>
                    </w:rPr>
                  </w:pPr>
                  <w:r>
                    <w:rPr>
                      <w:color w:val="auto"/>
                      <w:sz w:val="18"/>
                      <w:szCs w:val="18"/>
                    </w:rPr>
                    <w:t>碘值（mg/g）</w:t>
                  </w:r>
                </w:p>
              </w:tc>
              <w:tc>
                <w:tcPr>
                  <w:tcW w:w="3043" w:type="dxa"/>
                  <w:vAlign w:val="center"/>
                </w:tcPr>
                <w:p w14:paraId="540BBA0D">
                  <w:pPr>
                    <w:jc w:val="center"/>
                    <w:rPr>
                      <w:color w:val="auto"/>
                      <w:sz w:val="18"/>
                      <w:szCs w:val="18"/>
                    </w:rPr>
                  </w:pPr>
                  <w:r>
                    <w:rPr>
                      <w:color w:val="auto"/>
                      <w:sz w:val="18"/>
                      <w:szCs w:val="18"/>
                    </w:rPr>
                    <w:t>800</w:t>
                  </w:r>
                </w:p>
              </w:tc>
            </w:tr>
            <w:tr w14:paraId="629BB7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335" w:type="dxa"/>
                  <w:vAlign w:val="center"/>
                </w:tcPr>
                <w:p w14:paraId="699BFEDA">
                  <w:pPr>
                    <w:jc w:val="center"/>
                    <w:rPr>
                      <w:color w:val="auto"/>
                      <w:sz w:val="18"/>
                      <w:szCs w:val="18"/>
                    </w:rPr>
                  </w:pPr>
                  <w:r>
                    <w:rPr>
                      <w:color w:val="auto"/>
                      <w:sz w:val="18"/>
                      <w:szCs w:val="18"/>
                    </w:rPr>
                    <w:t>14</w:t>
                  </w:r>
                </w:p>
              </w:tc>
              <w:tc>
                <w:tcPr>
                  <w:tcW w:w="3561" w:type="dxa"/>
                  <w:vAlign w:val="center"/>
                </w:tcPr>
                <w:p w14:paraId="7FFEC1A9">
                  <w:pPr>
                    <w:jc w:val="center"/>
                    <w:rPr>
                      <w:color w:val="auto"/>
                      <w:sz w:val="18"/>
                      <w:szCs w:val="18"/>
                    </w:rPr>
                  </w:pPr>
                  <w:r>
                    <w:rPr>
                      <w:color w:val="auto"/>
                      <w:sz w:val="18"/>
                      <w:szCs w:val="18"/>
                    </w:rPr>
                    <w:t>活性炭密度</w:t>
                  </w:r>
                  <w:r>
                    <w:rPr>
                      <w:rFonts w:hint="eastAsia"/>
                      <w:color w:val="auto"/>
                      <w:sz w:val="18"/>
                      <w:szCs w:val="18"/>
                      <w:lang w:eastAsia="zh-CN"/>
                    </w:rPr>
                    <w:t>（</w:t>
                  </w:r>
                  <w:r>
                    <w:rPr>
                      <w:color w:val="auto"/>
                      <w:sz w:val="18"/>
                      <w:szCs w:val="18"/>
                    </w:rPr>
                    <w:t>g/cm</w:t>
                  </w:r>
                  <w:r>
                    <w:rPr>
                      <w:color w:val="auto"/>
                      <w:sz w:val="18"/>
                      <w:szCs w:val="18"/>
                      <w:vertAlign w:val="superscript"/>
                    </w:rPr>
                    <w:t>3</w:t>
                  </w:r>
                  <w:r>
                    <w:rPr>
                      <w:rFonts w:hint="eastAsia"/>
                      <w:color w:val="auto"/>
                      <w:sz w:val="18"/>
                      <w:szCs w:val="18"/>
                      <w:vertAlign w:val="baseline"/>
                      <w:lang w:eastAsia="zh-CN"/>
                    </w:rPr>
                    <w:t>）</w:t>
                  </w:r>
                </w:p>
              </w:tc>
              <w:tc>
                <w:tcPr>
                  <w:tcW w:w="3043" w:type="dxa"/>
                  <w:vAlign w:val="center"/>
                </w:tcPr>
                <w:p w14:paraId="778ED06E">
                  <w:pPr>
                    <w:jc w:val="center"/>
                    <w:rPr>
                      <w:color w:val="auto"/>
                      <w:sz w:val="18"/>
                      <w:szCs w:val="18"/>
                    </w:rPr>
                  </w:pPr>
                  <w:r>
                    <w:rPr>
                      <w:color w:val="auto"/>
                      <w:sz w:val="18"/>
                      <w:szCs w:val="18"/>
                    </w:rPr>
                    <w:t>0.4</w:t>
                  </w:r>
                </w:p>
              </w:tc>
            </w:tr>
            <w:tr w14:paraId="42A219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75017200">
                  <w:pPr>
                    <w:jc w:val="center"/>
                    <w:rPr>
                      <w:color w:val="auto"/>
                      <w:sz w:val="18"/>
                      <w:szCs w:val="18"/>
                    </w:rPr>
                  </w:pPr>
                  <w:r>
                    <w:rPr>
                      <w:color w:val="auto"/>
                      <w:sz w:val="18"/>
                      <w:szCs w:val="18"/>
                    </w:rPr>
                    <w:t>15</w:t>
                  </w:r>
                </w:p>
              </w:tc>
              <w:tc>
                <w:tcPr>
                  <w:tcW w:w="3561" w:type="dxa"/>
                  <w:vAlign w:val="center"/>
                </w:tcPr>
                <w:p w14:paraId="214D2E09">
                  <w:pPr>
                    <w:jc w:val="center"/>
                    <w:rPr>
                      <w:color w:val="auto"/>
                      <w:sz w:val="18"/>
                      <w:szCs w:val="18"/>
                    </w:rPr>
                  </w:pPr>
                  <w:r>
                    <w:rPr>
                      <w:color w:val="auto"/>
                      <w:sz w:val="18"/>
                      <w:szCs w:val="18"/>
                    </w:rPr>
                    <w:t>灰分</w:t>
                  </w:r>
                </w:p>
              </w:tc>
              <w:tc>
                <w:tcPr>
                  <w:tcW w:w="3043" w:type="dxa"/>
                  <w:vAlign w:val="center"/>
                </w:tcPr>
                <w:p w14:paraId="7972A29C">
                  <w:pPr>
                    <w:jc w:val="center"/>
                    <w:rPr>
                      <w:color w:val="auto"/>
                      <w:sz w:val="18"/>
                      <w:szCs w:val="18"/>
                    </w:rPr>
                  </w:pPr>
                  <w:r>
                    <w:rPr>
                      <w:color w:val="auto"/>
                      <w:sz w:val="18"/>
                      <w:szCs w:val="18"/>
                    </w:rPr>
                    <w:t>≤15%</w:t>
                  </w:r>
                </w:p>
              </w:tc>
            </w:tr>
            <w:tr w14:paraId="5A9DF4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5E0322E6">
                  <w:pPr>
                    <w:jc w:val="center"/>
                    <w:rPr>
                      <w:color w:val="auto"/>
                      <w:sz w:val="18"/>
                      <w:szCs w:val="18"/>
                    </w:rPr>
                  </w:pPr>
                  <w:r>
                    <w:rPr>
                      <w:color w:val="auto"/>
                      <w:sz w:val="18"/>
                      <w:szCs w:val="18"/>
                    </w:rPr>
                    <w:t>16</w:t>
                  </w:r>
                </w:p>
              </w:tc>
              <w:tc>
                <w:tcPr>
                  <w:tcW w:w="3561" w:type="dxa"/>
                  <w:vAlign w:val="center"/>
                </w:tcPr>
                <w:p w14:paraId="7B389503">
                  <w:pPr>
                    <w:jc w:val="center"/>
                    <w:rPr>
                      <w:color w:val="auto"/>
                      <w:sz w:val="18"/>
                      <w:szCs w:val="18"/>
                    </w:rPr>
                  </w:pPr>
                  <w:r>
                    <w:rPr>
                      <w:color w:val="auto"/>
                      <w:sz w:val="18"/>
                      <w:szCs w:val="18"/>
                    </w:rPr>
                    <w:t>单级活性炭吸附效率%</w:t>
                  </w:r>
                </w:p>
              </w:tc>
              <w:tc>
                <w:tcPr>
                  <w:tcW w:w="3043" w:type="dxa"/>
                  <w:vAlign w:val="center"/>
                </w:tcPr>
                <w:p w14:paraId="46A0F56C">
                  <w:pPr>
                    <w:jc w:val="center"/>
                    <w:rPr>
                      <w:color w:val="auto"/>
                      <w:sz w:val="18"/>
                      <w:szCs w:val="18"/>
                    </w:rPr>
                  </w:pPr>
                  <w:r>
                    <w:rPr>
                      <w:color w:val="auto"/>
                      <w:sz w:val="18"/>
                      <w:szCs w:val="18"/>
                    </w:rPr>
                    <w:t>≥70</w:t>
                  </w:r>
                </w:p>
              </w:tc>
            </w:tr>
            <w:tr w14:paraId="1A53A0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0F54DD44">
                  <w:pPr>
                    <w:jc w:val="center"/>
                    <w:rPr>
                      <w:color w:val="auto"/>
                      <w:sz w:val="18"/>
                      <w:szCs w:val="18"/>
                    </w:rPr>
                  </w:pPr>
                  <w:r>
                    <w:rPr>
                      <w:color w:val="auto"/>
                      <w:sz w:val="18"/>
                      <w:szCs w:val="18"/>
                    </w:rPr>
                    <w:t>17</w:t>
                  </w:r>
                </w:p>
              </w:tc>
              <w:tc>
                <w:tcPr>
                  <w:tcW w:w="3561" w:type="dxa"/>
                  <w:vAlign w:val="center"/>
                </w:tcPr>
                <w:p w14:paraId="5F59B563">
                  <w:pPr>
                    <w:jc w:val="center"/>
                    <w:rPr>
                      <w:color w:val="auto"/>
                      <w:sz w:val="18"/>
                      <w:szCs w:val="18"/>
                    </w:rPr>
                  </w:pPr>
                  <w:r>
                    <w:rPr>
                      <w:color w:val="auto"/>
                      <w:sz w:val="18"/>
                      <w:szCs w:val="18"/>
                    </w:rPr>
                    <w:t>单级活性炭规格（m</w:t>
                  </w:r>
                  <w:r>
                    <w:rPr>
                      <w:color w:val="auto"/>
                      <w:sz w:val="18"/>
                      <w:szCs w:val="18"/>
                      <w:vertAlign w:val="superscript"/>
                    </w:rPr>
                    <w:t>3</w:t>
                  </w:r>
                  <w:r>
                    <w:rPr>
                      <w:color w:val="auto"/>
                      <w:sz w:val="18"/>
                      <w:szCs w:val="18"/>
                    </w:rPr>
                    <w:t>）</w:t>
                  </w:r>
                </w:p>
              </w:tc>
              <w:tc>
                <w:tcPr>
                  <w:tcW w:w="3043" w:type="dxa"/>
                  <w:vAlign w:val="center"/>
                </w:tcPr>
                <w:p w14:paraId="5F60C676">
                  <w:pPr>
                    <w:jc w:val="center"/>
                    <w:rPr>
                      <w:color w:val="auto"/>
                      <w:sz w:val="18"/>
                      <w:szCs w:val="18"/>
                    </w:rPr>
                  </w:pPr>
                  <w:r>
                    <w:rPr>
                      <w:rFonts w:hint="eastAsia"/>
                      <w:color w:val="auto"/>
                      <w:sz w:val="18"/>
                      <w:szCs w:val="18"/>
                      <w:lang w:val="en-US" w:eastAsia="zh-CN"/>
                    </w:rPr>
                    <w:t>2</w:t>
                  </w:r>
                  <w:r>
                    <w:rPr>
                      <w:color w:val="auto"/>
                      <w:sz w:val="18"/>
                      <w:szCs w:val="18"/>
                    </w:rPr>
                    <w:t>×</w:t>
                  </w:r>
                  <w:r>
                    <w:rPr>
                      <w:rFonts w:hint="eastAsia"/>
                      <w:color w:val="auto"/>
                      <w:sz w:val="18"/>
                      <w:szCs w:val="18"/>
                      <w:lang w:val="en-US" w:eastAsia="zh-CN"/>
                    </w:rPr>
                    <w:t>2</w:t>
                  </w:r>
                  <w:r>
                    <w:rPr>
                      <w:color w:val="auto"/>
                      <w:sz w:val="18"/>
                      <w:szCs w:val="18"/>
                    </w:rPr>
                    <w:t>×0.2</w:t>
                  </w:r>
                </w:p>
              </w:tc>
            </w:tr>
            <w:tr w14:paraId="009D24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6296D339">
                  <w:pPr>
                    <w:jc w:val="center"/>
                    <w:rPr>
                      <w:color w:val="auto"/>
                      <w:sz w:val="18"/>
                      <w:szCs w:val="18"/>
                    </w:rPr>
                  </w:pPr>
                  <w:r>
                    <w:rPr>
                      <w:color w:val="auto"/>
                      <w:sz w:val="18"/>
                      <w:szCs w:val="18"/>
                    </w:rPr>
                    <w:t>18</w:t>
                  </w:r>
                </w:p>
              </w:tc>
              <w:tc>
                <w:tcPr>
                  <w:tcW w:w="3561" w:type="dxa"/>
                  <w:vAlign w:val="center"/>
                </w:tcPr>
                <w:p w14:paraId="3FB5A09D">
                  <w:pPr>
                    <w:jc w:val="center"/>
                    <w:rPr>
                      <w:color w:val="auto"/>
                      <w:sz w:val="18"/>
                      <w:szCs w:val="18"/>
                    </w:rPr>
                  </w:pPr>
                  <w:r>
                    <w:rPr>
                      <w:color w:val="auto"/>
                      <w:sz w:val="18"/>
                      <w:szCs w:val="18"/>
                    </w:rPr>
                    <w:t>层数</w:t>
                  </w:r>
                </w:p>
              </w:tc>
              <w:tc>
                <w:tcPr>
                  <w:tcW w:w="3043" w:type="dxa"/>
                  <w:vAlign w:val="center"/>
                </w:tcPr>
                <w:p w14:paraId="58C05EF6">
                  <w:pPr>
                    <w:jc w:val="center"/>
                    <w:rPr>
                      <w:color w:val="auto"/>
                      <w:sz w:val="18"/>
                      <w:szCs w:val="18"/>
                    </w:rPr>
                  </w:pPr>
                  <w:r>
                    <w:rPr>
                      <w:color w:val="auto"/>
                      <w:sz w:val="18"/>
                      <w:szCs w:val="18"/>
                    </w:rPr>
                    <w:t>3层</w:t>
                  </w:r>
                </w:p>
              </w:tc>
            </w:tr>
            <w:tr w14:paraId="46D096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1727A77E">
                  <w:pPr>
                    <w:jc w:val="center"/>
                    <w:rPr>
                      <w:color w:val="auto"/>
                      <w:sz w:val="18"/>
                      <w:szCs w:val="18"/>
                    </w:rPr>
                  </w:pPr>
                  <w:r>
                    <w:rPr>
                      <w:color w:val="auto"/>
                      <w:sz w:val="18"/>
                      <w:szCs w:val="18"/>
                    </w:rPr>
                    <w:t>19</w:t>
                  </w:r>
                </w:p>
              </w:tc>
              <w:tc>
                <w:tcPr>
                  <w:tcW w:w="3561" w:type="dxa"/>
                  <w:vAlign w:val="center"/>
                </w:tcPr>
                <w:p w14:paraId="48A07EDD">
                  <w:pPr>
                    <w:jc w:val="center"/>
                    <w:rPr>
                      <w:color w:val="auto"/>
                      <w:sz w:val="18"/>
                      <w:szCs w:val="18"/>
                    </w:rPr>
                  </w:pPr>
                  <w:r>
                    <w:rPr>
                      <w:color w:val="auto"/>
                      <w:sz w:val="18"/>
                      <w:szCs w:val="18"/>
                    </w:rPr>
                    <w:t>一级活性炭填充量（t）</w:t>
                  </w:r>
                </w:p>
              </w:tc>
              <w:tc>
                <w:tcPr>
                  <w:tcW w:w="3043" w:type="dxa"/>
                  <w:vAlign w:val="center"/>
                </w:tcPr>
                <w:p w14:paraId="2C7D4DFE">
                  <w:pPr>
                    <w:jc w:val="center"/>
                    <w:rPr>
                      <w:rFonts w:hint="default" w:eastAsia="宋体"/>
                      <w:color w:val="auto"/>
                      <w:sz w:val="18"/>
                      <w:szCs w:val="18"/>
                      <w:lang w:val="en-US" w:eastAsia="zh-CN"/>
                    </w:rPr>
                  </w:pPr>
                  <w:r>
                    <w:rPr>
                      <w:rFonts w:hint="eastAsia"/>
                      <w:color w:val="auto"/>
                      <w:sz w:val="18"/>
                      <w:szCs w:val="18"/>
                      <w:lang w:val="en-US" w:eastAsia="zh-CN"/>
                    </w:rPr>
                    <w:t>0.96</w:t>
                  </w:r>
                </w:p>
              </w:tc>
            </w:tr>
            <w:tr w14:paraId="0F9AAE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378D49A8">
                  <w:pPr>
                    <w:jc w:val="center"/>
                    <w:rPr>
                      <w:color w:val="auto"/>
                      <w:sz w:val="18"/>
                      <w:szCs w:val="18"/>
                    </w:rPr>
                  </w:pPr>
                  <w:r>
                    <w:rPr>
                      <w:color w:val="auto"/>
                      <w:sz w:val="18"/>
                      <w:szCs w:val="18"/>
                    </w:rPr>
                    <w:t>20</w:t>
                  </w:r>
                </w:p>
              </w:tc>
              <w:tc>
                <w:tcPr>
                  <w:tcW w:w="3561" w:type="dxa"/>
                  <w:vAlign w:val="center"/>
                </w:tcPr>
                <w:p w14:paraId="4084B1CF">
                  <w:pPr>
                    <w:jc w:val="center"/>
                    <w:rPr>
                      <w:color w:val="auto"/>
                      <w:sz w:val="18"/>
                      <w:szCs w:val="18"/>
                    </w:rPr>
                  </w:pPr>
                  <w:r>
                    <w:rPr>
                      <w:color w:val="auto"/>
                      <w:sz w:val="18"/>
                      <w:szCs w:val="18"/>
                    </w:rPr>
                    <w:t>二级活性炭填充量（t）</w:t>
                  </w:r>
                </w:p>
              </w:tc>
              <w:tc>
                <w:tcPr>
                  <w:tcW w:w="3043" w:type="dxa"/>
                  <w:vAlign w:val="center"/>
                </w:tcPr>
                <w:p w14:paraId="50F16432">
                  <w:pPr>
                    <w:jc w:val="center"/>
                    <w:rPr>
                      <w:rFonts w:hint="default" w:eastAsia="宋体"/>
                      <w:color w:val="auto"/>
                      <w:sz w:val="18"/>
                      <w:szCs w:val="18"/>
                      <w:lang w:val="en-US" w:eastAsia="zh-CN"/>
                    </w:rPr>
                  </w:pPr>
                  <w:r>
                    <w:rPr>
                      <w:rFonts w:hint="eastAsia"/>
                      <w:color w:val="auto"/>
                      <w:sz w:val="18"/>
                      <w:szCs w:val="18"/>
                      <w:lang w:val="en-US" w:eastAsia="zh-CN"/>
                    </w:rPr>
                    <w:t>0.96</w:t>
                  </w:r>
                </w:p>
              </w:tc>
            </w:tr>
            <w:tr w14:paraId="22F1DF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35" w:type="dxa"/>
                  <w:vAlign w:val="center"/>
                </w:tcPr>
                <w:p w14:paraId="32E2232C">
                  <w:pPr>
                    <w:jc w:val="center"/>
                    <w:rPr>
                      <w:color w:val="auto"/>
                      <w:sz w:val="18"/>
                      <w:szCs w:val="18"/>
                    </w:rPr>
                  </w:pPr>
                  <w:r>
                    <w:rPr>
                      <w:color w:val="auto"/>
                      <w:sz w:val="18"/>
                      <w:szCs w:val="18"/>
                    </w:rPr>
                    <w:t>21</w:t>
                  </w:r>
                </w:p>
              </w:tc>
              <w:tc>
                <w:tcPr>
                  <w:tcW w:w="3561" w:type="dxa"/>
                  <w:vAlign w:val="center"/>
                </w:tcPr>
                <w:p w14:paraId="586268A0">
                  <w:pPr>
                    <w:jc w:val="center"/>
                    <w:rPr>
                      <w:color w:val="auto"/>
                      <w:sz w:val="18"/>
                      <w:szCs w:val="18"/>
                    </w:rPr>
                  </w:pPr>
                  <w:r>
                    <w:rPr>
                      <w:color w:val="auto"/>
                      <w:sz w:val="18"/>
                      <w:szCs w:val="18"/>
                    </w:rPr>
                    <w:t>单级活性炭停留时间（s）</w:t>
                  </w:r>
                </w:p>
              </w:tc>
              <w:tc>
                <w:tcPr>
                  <w:tcW w:w="3043" w:type="dxa"/>
                  <w:vAlign w:val="center"/>
                </w:tcPr>
                <w:p w14:paraId="1E48F40D">
                  <w:pPr>
                    <w:jc w:val="center"/>
                    <w:rPr>
                      <w:rFonts w:hint="default" w:eastAsia="宋体"/>
                      <w:color w:val="auto"/>
                      <w:sz w:val="18"/>
                      <w:szCs w:val="18"/>
                      <w:lang w:val="en-US" w:eastAsia="zh-CN"/>
                    </w:rPr>
                  </w:pPr>
                  <w:r>
                    <w:rPr>
                      <w:rFonts w:hint="eastAsia"/>
                      <w:color w:val="auto"/>
                      <w:sz w:val="18"/>
                      <w:szCs w:val="18"/>
                      <w:lang w:val="en-US" w:eastAsia="zh-CN"/>
                    </w:rPr>
                    <w:t>1.2</w:t>
                  </w:r>
                </w:p>
              </w:tc>
            </w:tr>
            <w:tr w14:paraId="15A1DF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35" w:type="dxa"/>
                  <w:vAlign w:val="center"/>
                </w:tcPr>
                <w:p w14:paraId="272220F9">
                  <w:pPr>
                    <w:jc w:val="center"/>
                    <w:rPr>
                      <w:color w:val="auto"/>
                      <w:sz w:val="18"/>
                      <w:szCs w:val="18"/>
                    </w:rPr>
                  </w:pPr>
                  <w:r>
                    <w:rPr>
                      <w:color w:val="auto"/>
                      <w:sz w:val="18"/>
                      <w:szCs w:val="18"/>
                    </w:rPr>
                    <w:t>22</w:t>
                  </w:r>
                </w:p>
              </w:tc>
              <w:tc>
                <w:tcPr>
                  <w:tcW w:w="3561" w:type="dxa"/>
                  <w:vAlign w:val="center"/>
                </w:tcPr>
                <w:p w14:paraId="5E8270E3">
                  <w:pPr>
                    <w:jc w:val="center"/>
                    <w:rPr>
                      <w:color w:val="auto"/>
                      <w:sz w:val="18"/>
                      <w:szCs w:val="18"/>
                    </w:rPr>
                  </w:pPr>
                  <w:r>
                    <w:rPr>
                      <w:color w:val="auto"/>
                      <w:sz w:val="18"/>
                      <w:szCs w:val="18"/>
                    </w:rPr>
                    <w:t>过滤风速（m/s）</w:t>
                  </w:r>
                </w:p>
              </w:tc>
              <w:tc>
                <w:tcPr>
                  <w:tcW w:w="3043" w:type="dxa"/>
                  <w:vAlign w:val="center"/>
                </w:tcPr>
                <w:p w14:paraId="4D941BB5">
                  <w:pPr>
                    <w:jc w:val="center"/>
                    <w:rPr>
                      <w:rFonts w:hint="default" w:eastAsia="宋体"/>
                      <w:color w:val="auto"/>
                      <w:sz w:val="18"/>
                      <w:szCs w:val="18"/>
                      <w:lang w:val="en-US" w:eastAsia="zh-CN"/>
                    </w:rPr>
                  </w:pPr>
                  <w:r>
                    <w:rPr>
                      <w:rFonts w:hint="eastAsia"/>
                      <w:color w:val="auto"/>
                      <w:sz w:val="18"/>
                      <w:szCs w:val="18"/>
                      <w:lang w:val="en-US" w:eastAsia="zh-CN"/>
                    </w:rPr>
                    <w:t>0.49</w:t>
                  </w:r>
                </w:p>
              </w:tc>
            </w:tr>
          </w:tbl>
          <w:p w14:paraId="2FE865F3">
            <w:pPr>
              <w:overflowPunct w:val="0"/>
              <w:adjustRightInd w:val="0"/>
              <w:snapToGrid w:val="0"/>
              <w:spacing w:line="500" w:lineRule="exact"/>
              <w:ind w:firstLine="422" w:firstLineChars="200"/>
              <w:rPr>
                <w:b/>
                <w:bCs/>
                <w:color w:val="auto"/>
                <w:szCs w:val="21"/>
              </w:rPr>
            </w:pPr>
            <w:r>
              <w:rPr>
                <w:b/>
                <w:bCs/>
                <w:color w:val="auto"/>
                <w:szCs w:val="21"/>
              </w:rPr>
              <w:t>活性炭填充量计算：</w:t>
            </w:r>
          </w:p>
          <w:p w14:paraId="159442E5">
            <w:pPr>
              <w:overflowPunct w:val="0"/>
              <w:adjustRightInd w:val="0"/>
              <w:snapToGrid w:val="0"/>
              <w:spacing w:line="500" w:lineRule="exact"/>
              <w:ind w:firstLine="420" w:firstLineChars="200"/>
              <w:rPr>
                <w:color w:val="auto"/>
                <w:szCs w:val="21"/>
              </w:rPr>
            </w:pPr>
            <w:r>
              <w:rPr>
                <w:color w:val="auto"/>
                <w:szCs w:val="21"/>
              </w:rPr>
              <w:t>活性炭吸附装置其炭层规格为长度×宽度×厚度=</w:t>
            </w:r>
            <w:r>
              <w:rPr>
                <w:rFonts w:hint="eastAsia"/>
                <w:color w:val="auto"/>
                <w:szCs w:val="21"/>
                <w:lang w:val="en-US" w:eastAsia="zh-CN"/>
              </w:rPr>
              <w:t>2</w:t>
            </w:r>
            <w:r>
              <w:rPr>
                <w:color w:val="auto"/>
                <w:szCs w:val="21"/>
              </w:rPr>
              <w:t>m×</w:t>
            </w:r>
            <w:r>
              <w:rPr>
                <w:rFonts w:hint="eastAsia"/>
                <w:color w:val="auto"/>
                <w:szCs w:val="21"/>
                <w:lang w:val="en-US" w:eastAsia="zh-CN"/>
              </w:rPr>
              <w:t>2</w:t>
            </w:r>
            <w:r>
              <w:rPr>
                <w:color w:val="auto"/>
                <w:szCs w:val="21"/>
              </w:rPr>
              <w:t>m×0.2m，装置内放3层，活性炭密度为0.4g/cm</w:t>
            </w:r>
            <w:r>
              <w:rPr>
                <w:color w:val="auto"/>
                <w:szCs w:val="21"/>
                <w:vertAlign w:val="superscript"/>
              </w:rPr>
              <w:t>3</w:t>
            </w:r>
            <w:r>
              <w:rPr>
                <w:color w:val="auto"/>
                <w:szCs w:val="21"/>
              </w:rPr>
              <w:t>。</w:t>
            </w:r>
          </w:p>
          <w:p w14:paraId="087BB511">
            <w:pPr>
              <w:overflowPunct w:val="0"/>
              <w:adjustRightInd w:val="0"/>
              <w:snapToGrid w:val="0"/>
              <w:spacing w:line="500" w:lineRule="exact"/>
              <w:ind w:firstLine="420" w:firstLineChars="200"/>
              <w:rPr>
                <w:color w:val="auto"/>
                <w:szCs w:val="21"/>
              </w:rPr>
            </w:pPr>
            <w:r>
              <w:rPr>
                <w:color w:val="auto"/>
                <w:szCs w:val="21"/>
              </w:rPr>
              <w:t>单级活性炭吸附装置有效容积=炭层长度×炭层宽度×炭层厚度</w:t>
            </w:r>
          </w:p>
          <w:p w14:paraId="5241CA66">
            <w:pPr>
              <w:overflowPunct w:val="0"/>
              <w:adjustRightInd w:val="0"/>
              <w:snapToGrid w:val="0"/>
              <w:spacing w:line="500" w:lineRule="exact"/>
              <w:ind w:firstLine="3150" w:firstLineChars="1500"/>
              <w:rPr>
                <w:color w:val="auto"/>
                <w:szCs w:val="21"/>
              </w:rPr>
            </w:pPr>
            <w:r>
              <w:rPr>
                <w:color w:val="auto"/>
                <w:szCs w:val="21"/>
              </w:rPr>
              <w:t>=</w:t>
            </w:r>
            <w:r>
              <w:rPr>
                <w:rFonts w:hint="eastAsia"/>
                <w:color w:val="auto"/>
                <w:szCs w:val="21"/>
                <w:lang w:val="en-US" w:eastAsia="zh-CN"/>
              </w:rPr>
              <w:t>2</w:t>
            </w:r>
            <w:r>
              <w:rPr>
                <w:color w:val="auto"/>
                <w:szCs w:val="21"/>
              </w:rPr>
              <w:t>×</w:t>
            </w:r>
            <w:r>
              <w:rPr>
                <w:rFonts w:hint="eastAsia"/>
                <w:color w:val="auto"/>
                <w:szCs w:val="21"/>
                <w:lang w:val="en-US" w:eastAsia="zh-CN"/>
              </w:rPr>
              <w:t>2</w:t>
            </w:r>
            <w:r>
              <w:rPr>
                <w:color w:val="auto"/>
                <w:szCs w:val="21"/>
              </w:rPr>
              <w:t>×（0.2*</w:t>
            </w:r>
            <w:r>
              <w:rPr>
                <w:rFonts w:hint="eastAsia"/>
                <w:color w:val="auto"/>
                <w:szCs w:val="21"/>
                <w:lang w:val="en-US" w:eastAsia="zh-CN"/>
              </w:rPr>
              <w:t>3</w:t>
            </w:r>
            <w:r>
              <w:rPr>
                <w:color w:val="auto"/>
                <w:szCs w:val="21"/>
              </w:rPr>
              <w:t>）=</w:t>
            </w:r>
            <w:r>
              <w:rPr>
                <w:rFonts w:hint="eastAsia"/>
                <w:color w:val="auto"/>
                <w:szCs w:val="21"/>
                <w:lang w:val="en-US" w:eastAsia="zh-CN"/>
              </w:rPr>
              <w:t>2.4</w:t>
            </w:r>
            <w:r>
              <w:rPr>
                <w:color w:val="auto"/>
                <w:szCs w:val="21"/>
              </w:rPr>
              <w:t>m</w:t>
            </w:r>
            <w:r>
              <w:rPr>
                <w:color w:val="auto"/>
                <w:szCs w:val="21"/>
                <w:vertAlign w:val="superscript"/>
              </w:rPr>
              <w:t>3</w:t>
            </w:r>
          </w:p>
          <w:p w14:paraId="44314E23">
            <w:pPr>
              <w:overflowPunct w:val="0"/>
              <w:adjustRightInd w:val="0"/>
              <w:snapToGrid w:val="0"/>
              <w:spacing w:line="500" w:lineRule="exact"/>
              <w:ind w:firstLine="420" w:firstLineChars="200"/>
              <w:rPr>
                <w:color w:val="auto"/>
                <w:szCs w:val="21"/>
              </w:rPr>
            </w:pPr>
            <w:r>
              <w:rPr>
                <w:color w:val="auto"/>
                <w:szCs w:val="21"/>
              </w:rPr>
              <w:t>经计算，活性炭填充量=密度×有效容积=0.4×</w:t>
            </w:r>
            <w:r>
              <w:rPr>
                <w:rFonts w:hint="eastAsia"/>
                <w:color w:val="auto"/>
                <w:szCs w:val="21"/>
                <w:lang w:val="en-US" w:eastAsia="zh-CN"/>
              </w:rPr>
              <w:t>2.4</w:t>
            </w:r>
            <w:r>
              <w:rPr>
                <w:color w:val="auto"/>
                <w:szCs w:val="21"/>
              </w:rPr>
              <w:t>=</w:t>
            </w:r>
            <w:r>
              <w:rPr>
                <w:rFonts w:hint="eastAsia"/>
                <w:color w:val="auto"/>
                <w:szCs w:val="21"/>
                <w:lang w:val="en-US" w:eastAsia="zh-CN"/>
              </w:rPr>
              <w:t>0.96</w:t>
            </w:r>
            <w:r>
              <w:rPr>
                <w:color w:val="auto"/>
                <w:szCs w:val="21"/>
              </w:rPr>
              <w:t>t</w:t>
            </w:r>
          </w:p>
          <w:p w14:paraId="3326AA1C">
            <w:pPr>
              <w:adjustRightInd w:val="0"/>
              <w:snapToGrid w:val="0"/>
              <w:spacing w:line="500" w:lineRule="exact"/>
              <w:ind w:firstLine="480"/>
              <w:rPr>
                <w:b/>
                <w:bCs/>
                <w:color w:val="auto"/>
                <w:szCs w:val="21"/>
              </w:rPr>
            </w:pPr>
            <w:r>
              <w:rPr>
                <w:b/>
                <w:bCs/>
                <w:color w:val="auto"/>
                <w:szCs w:val="21"/>
              </w:rPr>
              <w:t>停留时间计算：</w:t>
            </w:r>
          </w:p>
          <w:p w14:paraId="78A32D08">
            <w:pPr>
              <w:adjustRightInd w:val="0"/>
              <w:snapToGrid w:val="0"/>
              <w:spacing w:line="500" w:lineRule="exact"/>
              <w:ind w:firstLine="480"/>
              <w:rPr>
                <w:color w:val="auto"/>
                <w:szCs w:val="21"/>
              </w:rPr>
            </w:pPr>
            <w:r>
              <w:rPr>
                <w:color w:val="auto"/>
                <w:szCs w:val="21"/>
              </w:rPr>
              <w:t>活性炭吸附停留时间=炭层厚度/（风量/炭层横截面积）</w:t>
            </w:r>
          </w:p>
          <w:p w14:paraId="6D87908D">
            <w:pPr>
              <w:adjustRightInd w:val="0"/>
              <w:snapToGrid w:val="0"/>
              <w:spacing w:line="500" w:lineRule="exact"/>
              <w:ind w:firstLine="2364" w:firstLineChars="1126"/>
              <w:rPr>
                <w:rFonts w:hint="default"/>
                <w:color w:val="auto"/>
                <w:szCs w:val="21"/>
                <w:lang w:val="en-US"/>
              </w:rPr>
            </w:pPr>
            <w:r>
              <w:rPr>
                <w:color w:val="auto"/>
                <w:szCs w:val="21"/>
              </w:rPr>
              <w:t>=0.2*3/（</w:t>
            </w:r>
            <w:r>
              <w:rPr>
                <w:rFonts w:hint="eastAsia"/>
                <w:color w:val="auto"/>
                <w:szCs w:val="21"/>
                <w:lang w:val="en-US" w:eastAsia="zh-CN"/>
              </w:rPr>
              <w:t>7000</w:t>
            </w:r>
            <w:r>
              <w:rPr>
                <w:color w:val="auto"/>
                <w:szCs w:val="21"/>
              </w:rPr>
              <w:t>/3600/</w:t>
            </w:r>
            <w:r>
              <w:rPr>
                <w:rFonts w:hint="eastAsia"/>
                <w:color w:val="auto"/>
                <w:szCs w:val="21"/>
                <w:lang w:val="en-US" w:eastAsia="zh-CN"/>
              </w:rPr>
              <w:t>2</w:t>
            </w:r>
            <w:r>
              <w:rPr>
                <w:color w:val="auto"/>
                <w:szCs w:val="21"/>
              </w:rPr>
              <w:t>/</w:t>
            </w:r>
            <w:r>
              <w:rPr>
                <w:rFonts w:hint="eastAsia"/>
                <w:color w:val="auto"/>
                <w:szCs w:val="21"/>
                <w:lang w:val="en-US" w:eastAsia="zh-CN"/>
              </w:rPr>
              <w:t>2</w:t>
            </w:r>
            <w:r>
              <w:rPr>
                <w:color w:val="auto"/>
                <w:szCs w:val="21"/>
              </w:rPr>
              <w:t>）=</w:t>
            </w:r>
            <w:r>
              <w:rPr>
                <w:rFonts w:hint="eastAsia"/>
                <w:color w:val="auto"/>
                <w:szCs w:val="21"/>
                <w:lang w:val="en-US" w:eastAsia="zh-CN"/>
              </w:rPr>
              <w:t>1.2s</w:t>
            </w:r>
          </w:p>
          <w:p w14:paraId="78244571">
            <w:pPr>
              <w:adjustRightInd w:val="0"/>
              <w:snapToGrid w:val="0"/>
              <w:spacing w:line="500" w:lineRule="exact"/>
              <w:ind w:firstLine="480"/>
              <w:rPr>
                <w:b/>
                <w:bCs/>
                <w:color w:val="auto"/>
                <w:szCs w:val="21"/>
              </w:rPr>
            </w:pPr>
            <w:r>
              <w:rPr>
                <w:b/>
                <w:bCs/>
                <w:color w:val="auto"/>
                <w:szCs w:val="21"/>
              </w:rPr>
              <w:t>气流速度计算：</w:t>
            </w:r>
          </w:p>
          <w:p w14:paraId="20F1973F">
            <w:pPr>
              <w:adjustRightInd w:val="0"/>
              <w:snapToGrid w:val="0"/>
              <w:spacing w:line="500" w:lineRule="exact"/>
              <w:ind w:firstLine="480"/>
              <w:rPr>
                <w:color w:val="auto"/>
                <w:szCs w:val="21"/>
              </w:rPr>
            </w:pPr>
            <w:r>
              <w:rPr>
                <w:color w:val="auto"/>
                <w:szCs w:val="21"/>
              </w:rPr>
              <w:t>气流速度=风量/炭层横截面积</w:t>
            </w:r>
          </w:p>
          <w:p w14:paraId="61F3A271">
            <w:pPr>
              <w:adjustRightInd w:val="0"/>
              <w:snapToGrid w:val="0"/>
              <w:spacing w:line="500" w:lineRule="exact"/>
              <w:ind w:firstLine="1314" w:firstLineChars="626"/>
              <w:rPr>
                <w:color w:val="auto"/>
              </w:rPr>
            </w:pPr>
            <w:r>
              <w:rPr>
                <w:color w:val="auto"/>
                <w:szCs w:val="21"/>
              </w:rPr>
              <w:t>=（</w:t>
            </w:r>
            <w:r>
              <w:rPr>
                <w:rFonts w:hint="eastAsia"/>
                <w:color w:val="auto"/>
                <w:szCs w:val="21"/>
                <w:lang w:val="en-US" w:eastAsia="zh-CN"/>
              </w:rPr>
              <w:t>7000</w:t>
            </w:r>
            <w:r>
              <w:rPr>
                <w:color w:val="auto"/>
                <w:szCs w:val="21"/>
              </w:rPr>
              <w:t>/3600）/</w:t>
            </w:r>
            <w:r>
              <w:rPr>
                <w:rFonts w:hint="eastAsia"/>
                <w:color w:val="auto"/>
                <w:szCs w:val="21"/>
                <w:lang w:val="en-US" w:eastAsia="zh-CN"/>
              </w:rPr>
              <w:t>2</w:t>
            </w:r>
            <w:r>
              <w:rPr>
                <w:color w:val="auto"/>
                <w:szCs w:val="21"/>
              </w:rPr>
              <w:t>/</w:t>
            </w:r>
            <w:r>
              <w:rPr>
                <w:rFonts w:hint="eastAsia"/>
                <w:color w:val="auto"/>
                <w:szCs w:val="21"/>
                <w:lang w:val="en-US" w:eastAsia="zh-CN"/>
              </w:rPr>
              <w:t>2</w:t>
            </w:r>
            <w:r>
              <w:rPr>
                <w:color w:val="auto"/>
                <w:szCs w:val="21"/>
              </w:rPr>
              <w:t>=0.</w:t>
            </w:r>
            <w:r>
              <w:rPr>
                <w:rFonts w:hint="eastAsia"/>
                <w:color w:val="auto"/>
                <w:szCs w:val="21"/>
                <w:lang w:val="en-US" w:eastAsia="zh-CN"/>
              </w:rPr>
              <w:t>49</w:t>
            </w:r>
            <w:r>
              <w:rPr>
                <w:color w:val="auto"/>
                <w:szCs w:val="21"/>
              </w:rPr>
              <w:t>m/s</w:t>
            </w:r>
          </w:p>
          <w:p w14:paraId="7DF7C0BE">
            <w:pPr>
              <w:spacing w:line="500" w:lineRule="exact"/>
              <w:ind w:firstLine="420" w:firstLineChars="200"/>
              <w:rPr>
                <w:color w:val="auto"/>
              </w:rPr>
            </w:pPr>
            <w:r>
              <w:rPr>
                <w:color w:val="auto"/>
              </w:rPr>
              <w:t>根据《省生态环境厅关于将排污单位活性炭使用更换纳入排污许可管理的通知》 （苏环办〔2021〕218号）文中《涉活性炭吸附排污单位的排污许可管理要求》参照以下公式计算活性炭更换周期：</w:t>
            </w:r>
          </w:p>
          <w:p w14:paraId="223BC5A5">
            <w:pPr>
              <w:widowControl/>
              <w:jc w:val="center"/>
              <w:rPr>
                <w:color w:val="auto"/>
              </w:rPr>
            </w:pPr>
            <w:r>
              <w:rPr>
                <w:color w:val="auto"/>
                <w:kern w:val="0"/>
                <w:position w:val="-10"/>
                <w:sz w:val="23"/>
                <w:szCs w:val="23"/>
                <w:lang w:bidi="ar"/>
              </w:rPr>
              <w:object>
                <v:shape id="_x0000_i1025" o:spt="75" type="#_x0000_t75" style="height:18pt;width:135.75pt;" o:ole="t" filled="f" o:preferrelative="t" stroked="f" coordsize="21600,21600">
                  <v:path/>
                  <v:fill on="f" focussize="0,0"/>
                  <v:stroke on="f" joinstyle="miter"/>
                  <v:imagedata r:id="rId10" o:title=""/>
                  <o:lock v:ext="edit" aspectratio="t"/>
                  <w10:wrap type="none"/>
                  <w10:anchorlock/>
                </v:shape>
                <o:OLEObject Type="Embed" ProgID="Equation.KSEE3" ShapeID="_x0000_i1025" DrawAspect="Content" ObjectID="_1468075725" r:id="rId9">
                  <o:LockedField>false</o:LockedField>
                </o:OLEObject>
              </w:object>
            </w:r>
          </w:p>
          <w:p w14:paraId="54E2532E">
            <w:pPr>
              <w:widowControl/>
              <w:spacing w:line="500" w:lineRule="exact"/>
              <w:ind w:firstLine="1680" w:firstLineChars="800"/>
              <w:jc w:val="left"/>
              <w:rPr>
                <w:color w:val="auto"/>
                <w:szCs w:val="21"/>
              </w:rPr>
            </w:pPr>
            <w:r>
              <w:rPr>
                <w:color w:val="auto"/>
                <w:kern w:val="0"/>
                <w:szCs w:val="21"/>
                <w:lang w:bidi="ar"/>
              </w:rPr>
              <w:t xml:space="preserve">式中：T—更换周期，天； </w:t>
            </w:r>
          </w:p>
          <w:p w14:paraId="5055FC7B">
            <w:pPr>
              <w:widowControl/>
              <w:spacing w:line="500" w:lineRule="exact"/>
              <w:ind w:firstLine="2310" w:firstLineChars="1100"/>
              <w:jc w:val="left"/>
              <w:rPr>
                <w:color w:val="auto"/>
                <w:szCs w:val="21"/>
              </w:rPr>
            </w:pPr>
            <w:r>
              <w:rPr>
                <w:color w:val="auto"/>
                <w:kern w:val="0"/>
                <w:szCs w:val="21"/>
                <w:lang w:bidi="ar"/>
              </w:rPr>
              <w:t xml:space="preserve">m—活性炭用量，kg； </w:t>
            </w:r>
          </w:p>
          <w:p w14:paraId="4808C65D">
            <w:pPr>
              <w:widowControl/>
              <w:spacing w:line="500" w:lineRule="exact"/>
              <w:ind w:firstLine="2310" w:firstLineChars="1100"/>
              <w:jc w:val="left"/>
              <w:rPr>
                <w:color w:val="auto"/>
                <w:szCs w:val="21"/>
              </w:rPr>
            </w:pPr>
            <w:r>
              <w:rPr>
                <w:color w:val="auto"/>
                <w:kern w:val="0"/>
                <w:szCs w:val="21"/>
                <w:lang w:bidi="ar"/>
              </w:rPr>
              <w:t xml:space="preserve">s—动态吸附量，%（一般取10%）； </w:t>
            </w:r>
          </w:p>
          <w:p w14:paraId="1F6BE955">
            <w:pPr>
              <w:widowControl/>
              <w:spacing w:line="500" w:lineRule="exact"/>
              <w:ind w:firstLine="2310" w:firstLineChars="1100"/>
              <w:jc w:val="left"/>
              <w:rPr>
                <w:color w:val="auto"/>
                <w:szCs w:val="21"/>
              </w:rPr>
            </w:pPr>
            <w:r>
              <w:rPr>
                <w:color w:val="auto"/>
                <w:kern w:val="0"/>
                <w:szCs w:val="21"/>
                <w:lang w:bidi="ar"/>
              </w:rPr>
              <w:t>c—活性炭削减的 VOCs 浓度，mg/m</w:t>
            </w:r>
            <w:r>
              <w:rPr>
                <w:color w:val="auto"/>
                <w:kern w:val="0"/>
                <w:szCs w:val="21"/>
                <w:vertAlign w:val="superscript"/>
                <w:lang w:bidi="ar"/>
              </w:rPr>
              <w:t>3</w:t>
            </w:r>
            <w:r>
              <w:rPr>
                <w:color w:val="auto"/>
                <w:kern w:val="0"/>
                <w:szCs w:val="21"/>
                <w:lang w:bidi="ar"/>
              </w:rPr>
              <w:t xml:space="preserve">； </w:t>
            </w:r>
          </w:p>
          <w:p w14:paraId="18C9B2BD">
            <w:pPr>
              <w:widowControl/>
              <w:spacing w:line="500" w:lineRule="exact"/>
              <w:ind w:firstLine="2310" w:firstLineChars="1100"/>
              <w:jc w:val="left"/>
              <w:rPr>
                <w:color w:val="auto"/>
                <w:szCs w:val="21"/>
              </w:rPr>
            </w:pPr>
            <w:r>
              <w:rPr>
                <w:color w:val="auto"/>
                <w:kern w:val="0"/>
                <w:szCs w:val="21"/>
                <w:lang w:bidi="ar"/>
              </w:rPr>
              <w:t>Q—风量，单位 m</w:t>
            </w:r>
            <w:r>
              <w:rPr>
                <w:color w:val="auto"/>
                <w:kern w:val="0"/>
                <w:szCs w:val="21"/>
                <w:vertAlign w:val="superscript"/>
                <w:lang w:bidi="ar"/>
              </w:rPr>
              <w:t>3</w:t>
            </w:r>
            <w:r>
              <w:rPr>
                <w:color w:val="auto"/>
                <w:kern w:val="0"/>
                <w:szCs w:val="21"/>
                <w:lang w:bidi="ar"/>
              </w:rPr>
              <w:t xml:space="preserve"> /h； </w:t>
            </w:r>
          </w:p>
          <w:p w14:paraId="4517B6BE">
            <w:pPr>
              <w:widowControl/>
              <w:spacing w:line="500" w:lineRule="exact"/>
              <w:ind w:firstLine="2310" w:firstLineChars="1100"/>
              <w:jc w:val="left"/>
              <w:rPr>
                <w:b/>
                <w:bCs/>
                <w:color w:val="auto"/>
              </w:rPr>
            </w:pPr>
            <w:r>
              <w:rPr>
                <w:color w:val="auto"/>
                <w:kern w:val="0"/>
                <w:szCs w:val="21"/>
                <w:lang w:bidi="ar"/>
              </w:rPr>
              <w:t>t—运行时间，单位h/d；</w:t>
            </w:r>
          </w:p>
          <w:p w14:paraId="67758BA6">
            <w:pPr>
              <w:spacing w:line="500" w:lineRule="exact"/>
              <w:jc w:val="center"/>
              <w:rPr>
                <w:b/>
                <w:bCs/>
                <w:color w:val="auto"/>
              </w:rPr>
            </w:pPr>
            <w:r>
              <w:rPr>
                <w:b/>
                <w:bCs/>
                <w:color w:val="auto"/>
              </w:rPr>
              <w:t>表4-</w:t>
            </w:r>
            <w:r>
              <w:rPr>
                <w:rFonts w:hint="eastAsia"/>
                <w:b/>
                <w:bCs/>
                <w:color w:val="auto"/>
                <w:lang w:val="en-US" w:eastAsia="zh-CN"/>
              </w:rPr>
              <w:t>10</w:t>
            </w:r>
            <w:r>
              <w:rPr>
                <w:b/>
                <w:bCs/>
                <w:color w:val="auto"/>
              </w:rPr>
              <w:t xml:space="preserve"> 活性炭更换周期计算表</w:t>
            </w:r>
          </w:p>
          <w:tbl>
            <w:tblPr>
              <w:tblStyle w:val="16"/>
              <w:tblW w:w="7935"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169"/>
              <w:gridCol w:w="1355"/>
              <w:gridCol w:w="1670"/>
              <w:gridCol w:w="1053"/>
              <w:gridCol w:w="1137"/>
              <w:gridCol w:w="1117"/>
            </w:tblGrid>
            <w:tr w14:paraId="6ACA08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14:paraId="23340161">
                  <w:pPr>
                    <w:jc w:val="center"/>
                    <w:rPr>
                      <w:color w:val="auto"/>
                      <w:sz w:val="18"/>
                      <w:szCs w:val="18"/>
                    </w:rPr>
                  </w:pPr>
                  <w:r>
                    <w:rPr>
                      <w:color w:val="auto"/>
                      <w:sz w:val="18"/>
                      <w:szCs w:val="18"/>
                    </w:rPr>
                    <w:t>序号</w:t>
                  </w:r>
                </w:p>
              </w:tc>
              <w:tc>
                <w:tcPr>
                  <w:tcW w:w="1169" w:type="dxa"/>
                  <w:vAlign w:val="center"/>
                </w:tcPr>
                <w:p w14:paraId="7BEED0BF">
                  <w:pPr>
                    <w:jc w:val="center"/>
                    <w:rPr>
                      <w:color w:val="auto"/>
                      <w:sz w:val="18"/>
                      <w:szCs w:val="18"/>
                    </w:rPr>
                  </w:pPr>
                  <w:r>
                    <w:rPr>
                      <w:color w:val="auto"/>
                      <w:sz w:val="18"/>
                      <w:szCs w:val="18"/>
                    </w:rPr>
                    <w:t>活性炭用量（kg）</w:t>
                  </w:r>
                </w:p>
              </w:tc>
              <w:tc>
                <w:tcPr>
                  <w:tcW w:w="1355" w:type="dxa"/>
                  <w:vAlign w:val="center"/>
                </w:tcPr>
                <w:p w14:paraId="34D2CF44">
                  <w:pPr>
                    <w:jc w:val="center"/>
                    <w:rPr>
                      <w:color w:val="auto"/>
                      <w:sz w:val="18"/>
                      <w:szCs w:val="18"/>
                    </w:rPr>
                  </w:pPr>
                  <w:r>
                    <w:rPr>
                      <w:color w:val="auto"/>
                      <w:sz w:val="18"/>
                      <w:szCs w:val="18"/>
                    </w:rPr>
                    <w:t>动态吸附量（%）</w:t>
                  </w:r>
                </w:p>
              </w:tc>
              <w:tc>
                <w:tcPr>
                  <w:tcW w:w="1670" w:type="dxa"/>
                  <w:vAlign w:val="center"/>
                </w:tcPr>
                <w:p w14:paraId="0064BBB0">
                  <w:pPr>
                    <w:jc w:val="center"/>
                    <w:rPr>
                      <w:color w:val="auto"/>
                      <w:sz w:val="18"/>
                      <w:szCs w:val="18"/>
                    </w:rPr>
                  </w:pPr>
                  <w:r>
                    <w:rPr>
                      <w:color w:val="auto"/>
                      <w:sz w:val="18"/>
                      <w:szCs w:val="18"/>
                    </w:rPr>
                    <w:t>活性炭削减VOCs浓度（mg/m</w:t>
                  </w:r>
                  <w:r>
                    <w:rPr>
                      <w:color w:val="auto"/>
                      <w:sz w:val="18"/>
                      <w:szCs w:val="18"/>
                      <w:vertAlign w:val="superscript"/>
                    </w:rPr>
                    <w:t>3</w:t>
                  </w:r>
                  <w:r>
                    <w:rPr>
                      <w:color w:val="auto"/>
                      <w:sz w:val="18"/>
                      <w:szCs w:val="18"/>
                    </w:rPr>
                    <w:t>）</w:t>
                  </w:r>
                </w:p>
              </w:tc>
              <w:tc>
                <w:tcPr>
                  <w:tcW w:w="1053" w:type="dxa"/>
                  <w:vAlign w:val="center"/>
                </w:tcPr>
                <w:p w14:paraId="2243CF7C">
                  <w:pPr>
                    <w:jc w:val="center"/>
                    <w:rPr>
                      <w:color w:val="auto"/>
                      <w:sz w:val="18"/>
                      <w:szCs w:val="18"/>
                    </w:rPr>
                  </w:pPr>
                  <w:r>
                    <w:rPr>
                      <w:color w:val="auto"/>
                      <w:sz w:val="18"/>
                      <w:szCs w:val="18"/>
                    </w:rPr>
                    <w:t>风量（m</w:t>
                  </w:r>
                  <w:r>
                    <w:rPr>
                      <w:color w:val="auto"/>
                      <w:sz w:val="18"/>
                      <w:szCs w:val="18"/>
                      <w:vertAlign w:val="superscript"/>
                    </w:rPr>
                    <w:t>3</w:t>
                  </w:r>
                  <w:r>
                    <w:rPr>
                      <w:color w:val="auto"/>
                      <w:sz w:val="18"/>
                      <w:szCs w:val="18"/>
                    </w:rPr>
                    <w:t>/h）</w:t>
                  </w:r>
                </w:p>
              </w:tc>
              <w:tc>
                <w:tcPr>
                  <w:tcW w:w="1137" w:type="dxa"/>
                  <w:vAlign w:val="center"/>
                </w:tcPr>
                <w:p w14:paraId="4ADB39CC">
                  <w:pPr>
                    <w:jc w:val="center"/>
                    <w:rPr>
                      <w:color w:val="auto"/>
                      <w:sz w:val="18"/>
                      <w:szCs w:val="18"/>
                    </w:rPr>
                  </w:pPr>
                  <w:r>
                    <w:rPr>
                      <w:color w:val="auto"/>
                      <w:sz w:val="18"/>
                      <w:szCs w:val="18"/>
                    </w:rPr>
                    <w:t>运行时间（h/d）</w:t>
                  </w:r>
                </w:p>
              </w:tc>
              <w:tc>
                <w:tcPr>
                  <w:tcW w:w="1117" w:type="dxa"/>
                  <w:vAlign w:val="center"/>
                </w:tcPr>
                <w:p w14:paraId="3A809357">
                  <w:pPr>
                    <w:jc w:val="center"/>
                    <w:rPr>
                      <w:color w:val="auto"/>
                      <w:sz w:val="18"/>
                      <w:szCs w:val="18"/>
                    </w:rPr>
                  </w:pPr>
                  <w:r>
                    <w:rPr>
                      <w:color w:val="auto"/>
                      <w:sz w:val="18"/>
                      <w:szCs w:val="18"/>
                    </w:rPr>
                    <w:t>更换周期（天）</w:t>
                  </w:r>
                </w:p>
              </w:tc>
            </w:tr>
            <w:tr w14:paraId="057C54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14:paraId="478D16BF">
                  <w:pPr>
                    <w:jc w:val="center"/>
                    <w:rPr>
                      <w:color w:val="auto"/>
                      <w:sz w:val="18"/>
                      <w:szCs w:val="18"/>
                    </w:rPr>
                  </w:pPr>
                  <w:r>
                    <w:rPr>
                      <w:color w:val="auto"/>
                      <w:sz w:val="18"/>
                      <w:szCs w:val="18"/>
                    </w:rPr>
                    <w:t>1</w:t>
                  </w:r>
                </w:p>
              </w:tc>
              <w:tc>
                <w:tcPr>
                  <w:tcW w:w="1169" w:type="dxa"/>
                  <w:vAlign w:val="center"/>
                </w:tcPr>
                <w:p w14:paraId="20305B1D">
                  <w:pPr>
                    <w:jc w:val="center"/>
                    <w:rPr>
                      <w:rFonts w:hint="default" w:eastAsia="宋体"/>
                      <w:color w:val="auto"/>
                      <w:sz w:val="18"/>
                      <w:szCs w:val="18"/>
                      <w:lang w:val="en-US" w:eastAsia="zh-CN"/>
                    </w:rPr>
                  </w:pPr>
                  <w:r>
                    <w:rPr>
                      <w:rFonts w:hint="eastAsia"/>
                      <w:color w:val="auto"/>
                      <w:sz w:val="18"/>
                      <w:szCs w:val="18"/>
                      <w:lang w:val="en-US" w:eastAsia="zh-CN"/>
                    </w:rPr>
                    <w:t>1920</w:t>
                  </w:r>
                </w:p>
              </w:tc>
              <w:tc>
                <w:tcPr>
                  <w:tcW w:w="1355" w:type="dxa"/>
                  <w:vAlign w:val="center"/>
                </w:tcPr>
                <w:p w14:paraId="67CDC8A3">
                  <w:pPr>
                    <w:jc w:val="center"/>
                    <w:rPr>
                      <w:color w:val="auto"/>
                      <w:sz w:val="18"/>
                      <w:szCs w:val="18"/>
                    </w:rPr>
                  </w:pPr>
                  <w:r>
                    <w:rPr>
                      <w:color w:val="auto"/>
                      <w:sz w:val="18"/>
                      <w:szCs w:val="18"/>
                    </w:rPr>
                    <w:t>10</w:t>
                  </w:r>
                </w:p>
              </w:tc>
              <w:tc>
                <w:tcPr>
                  <w:tcW w:w="1670" w:type="dxa"/>
                  <w:vAlign w:val="center"/>
                </w:tcPr>
                <w:p w14:paraId="16DED4CD">
                  <w:pPr>
                    <w:jc w:val="center"/>
                    <w:rPr>
                      <w:rFonts w:hint="default" w:eastAsia="宋体"/>
                      <w:color w:val="auto"/>
                      <w:sz w:val="18"/>
                      <w:szCs w:val="18"/>
                      <w:lang w:val="en-US" w:eastAsia="zh-CN"/>
                    </w:rPr>
                  </w:pPr>
                  <w:r>
                    <w:rPr>
                      <w:rFonts w:hint="eastAsia"/>
                      <w:color w:val="auto"/>
                      <w:sz w:val="18"/>
                      <w:szCs w:val="18"/>
                      <w:lang w:val="en-US" w:eastAsia="zh-CN"/>
                    </w:rPr>
                    <w:t>87.43</w:t>
                  </w:r>
                </w:p>
              </w:tc>
              <w:tc>
                <w:tcPr>
                  <w:tcW w:w="1053" w:type="dxa"/>
                  <w:vAlign w:val="center"/>
                </w:tcPr>
                <w:p w14:paraId="1FED2D07">
                  <w:pPr>
                    <w:jc w:val="center"/>
                    <w:rPr>
                      <w:rFonts w:hint="default" w:eastAsia="宋体"/>
                      <w:color w:val="auto"/>
                      <w:sz w:val="18"/>
                      <w:szCs w:val="18"/>
                      <w:lang w:val="en-US" w:eastAsia="zh-CN"/>
                    </w:rPr>
                  </w:pPr>
                  <w:r>
                    <w:rPr>
                      <w:rFonts w:hint="eastAsia"/>
                      <w:color w:val="auto"/>
                      <w:sz w:val="18"/>
                      <w:szCs w:val="18"/>
                      <w:lang w:val="en-US" w:eastAsia="zh-CN"/>
                    </w:rPr>
                    <w:t>7000</w:t>
                  </w:r>
                </w:p>
              </w:tc>
              <w:tc>
                <w:tcPr>
                  <w:tcW w:w="1137" w:type="dxa"/>
                  <w:vAlign w:val="center"/>
                </w:tcPr>
                <w:p w14:paraId="592A7854">
                  <w:pPr>
                    <w:jc w:val="center"/>
                    <w:rPr>
                      <w:rFonts w:hint="default" w:eastAsia="宋体"/>
                      <w:color w:val="auto"/>
                      <w:sz w:val="18"/>
                      <w:szCs w:val="18"/>
                      <w:lang w:val="en-US" w:eastAsia="zh-CN"/>
                    </w:rPr>
                  </w:pPr>
                  <w:r>
                    <w:rPr>
                      <w:rFonts w:hint="eastAsia"/>
                      <w:color w:val="auto"/>
                      <w:sz w:val="18"/>
                      <w:szCs w:val="18"/>
                      <w:lang w:val="en-US" w:eastAsia="zh-CN"/>
                    </w:rPr>
                    <w:t>8</w:t>
                  </w:r>
                </w:p>
              </w:tc>
              <w:tc>
                <w:tcPr>
                  <w:tcW w:w="1117" w:type="dxa"/>
                  <w:vAlign w:val="center"/>
                </w:tcPr>
                <w:p w14:paraId="7997D993">
                  <w:pPr>
                    <w:jc w:val="center"/>
                    <w:rPr>
                      <w:rFonts w:hint="default" w:eastAsia="宋体"/>
                      <w:color w:val="auto"/>
                      <w:sz w:val="18"/>
                      <w:szCs w:val="18"/>
                      <w:lang w:val="en-US" w:eastAsia="zh-CN"/>
                    </w:rPr>
                  </w:pPr>
                  <w:r>
                    <w:rPr>
                      <w:rFonts w:hint="eastAsia"/>
                      <w:color w:val="auto"/>
                      <w:sz w:val="18"/>
                      <w:szCs w:val="18"/>
                      <w:lang w:val="en-US" w:eastAsia="zh-CN"/>
                    </w:rPr>
                    <w:t>39.2</w:t>
                  </w:r>
                </w:p>
              </w:tc>
            </w:tr>
            <w:tr w14:paraId="2587EF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35" w:type="dxa"/>
                  <w:gridSpan w:val="7"/>
                  <w:vAlign w:val="center"/>
                </w:tcPr>
                <w:p w14:paraId="4B5811EC">
                  <w:pPr>
                    <w:jc w:val="both"/>
                    <w:rPr>
                      <w:rFonts w:hint="default"/>
                      <w:color w:val="auto"/>
                      <w:sz w:val="18"/>
                      <w:szCs w:val="18"/>
                      <w:lang w:val="en-US" w:eastAsia="zh-CN"/>
                    </w:rPr>
                  </w:pPr>
                  <w:r>
                    <w:rPr>
                      <w:rFonts w:hint="eastAsia"/>
                      <w:color w:val="auto"/>
                      <w:sz w:val="18"/>
                      <w:szCs w:val="18"/>
                      <w:lang w:val="en-US" w:eastAsia="zh-CN"/>
                    </w:rPr>
                    <w:t>为保证活性炭吸附效率，本项目活性炭更换周期为39天。</w:t>
                  </w:r>
                </w:p>
              </w:tc>
            </w:tr>
          </w:tbl>
          <w:p w14:paraId="6C1E3D7D">
            <w:pPr>
              <w:adjustRightInd w:val="0"/>
              <w:snapToGrid w:val="0"/>
              <w:spacing w:line="500" w:lineRule="exact"/>
              <w:ind w:firstLine="420" w:firstLineChars="200"/>
              <w:rPr>
                <w:color w:val="auto"/>
                <w:kern w:val="0"/>
                <w:szCs w:val="21"/>
              </w:rPr>
            </w:pPr>
            <w:r>
              <w:rPr>
                <w:rFonts w:hint="eastAsia"/>
                <w:color w:val="auto"/>
                <w:kern w:val="0"/>
                <w:szCs w:val="21"/>
              </w:rPr>
              <w:t>项目与《关于印发</w:t>
            </w:r>
            <w:r>
              <w:rPr>
                <w:rFonts w:hint="eastAsia"/>
                <w:color w:val="auto"/>
                <w:kern w:val="0"/>
                <w:szCs w:val="21"/>
                <w:lang w:eastAsia="zh-CN"/>
              </w:rPr>
              <w:t>〈</w:t>
            </w:r>
            <w:r>
              <w:rPr>
                <w:rFonts w:hint="eastAsia"/>
                <w:color w:val="auto"/>
                <w:kern w:val="0"/>
                <w:szCs w:val="21"/>
              </w:rPr>
              <w:t>南通市废气活性炭吸附设施专项整治实施方案</w:t>
            </w:r>
            <w:r>
              <w:rPr>
                <w:rFonts w:hint="eastAsia"/>
                <w:color w:val="auto"/>
                <w:kern w:val="0"/>
                <w:szCs w:val="21"/>
                <w:lang w:eastAsia="zh-CN"/>
              </w:rPr>
              <w:t>〉</w:t>
            </w:r>
            <w:r>
              <w:rPr>
                <w:rFonts w:hint="eastAsia"/>
                <w:color w:val="auto"/>
                <w:kern w:val="0"/>
                <w:szCs w:val="21"/>
              </w:rPr>
              <w:t>的通知》中相关内容的相符性分析情况如下：</w:t>
            </w:r>
          </w:p>
          <w:p w14:paraId="22870BF7">
            <w:pPr>
              <w:spacing w:line="480" w:lineRule="exact"/>
              <w:jc w:val="center"/>
              <w:rPr>
                <w:b/>
                <w:bCs/>
                <w:color w:val="auto"/>
                <w:szCs w:val="21"/>
              </w:rPr>
            </w:pPr>
            <w:r>
              <w:rPr>
                <w:b/>
                <w:bCs/>
                <w:color w:val="auto"/>
                <w:szCs w:val="21"/>
              </w:rPr>
              <w:t>表</w:t>
            </w:r>
            <w:r>
              <w:rPr>
                <w:rFonts w:hint="eastAsia"/>
                <w:b/>
                <w:bCs/>
                <w:color w:val="auto"/>
                <w:szCs w:val="21"/>
              </w:rPr>
              <w:t>4-</w:t>
            </w:r>
            <w:r>
              <w:rPr>
                <w:rFonts w:hint="eastAsia"/>
                <w:b/>
                <w:bCs/>
                <w:color w:val="auto"/>
                <w:szCs w:val="21"/>
                <w:lang w:val="en-US" w:eastAsia="zh-CN"/>
              </w:rPr>
              <w:t>11</w:t>
            </w:r>
            <w:r>
              <w:rPr>
                <w:rFonts w:hint="eastAsia"/>
                <w:b/>
                <w:bCs/>
                <w:color w:val="auto"/>
                <w:szCs w:val="21"/>
              </w:rPr>
              <w:t xml:space="preserve"> 项目</w:t>
            </w:r>
            <w:r>
              <w:rPr>
                <w:b/>
                <w:bCs/>
                <w:color w:val="auto"/>
                <w:szCs w:val="21"/>
              </w:rPr>
              <w:t>与</w:t>
            </w:r>
            <w:r>
              <w:rPr>
                <w:rFonts w:hint="eastAsia"/>
                <w:b/>
                <w:bCs/>
                <w:color w:val="auto"/>
                <w:szCs w:val="21"/>
              </w:rPr>
              <w:t>南通市废气活性炭吸附设施专项整治实施方案</w:t>
            </w:r>
            <w:r>
              <w:rPr>
                <w:b/>
                <w:bCs/>
                <w:color w:val="auto"/>
                <w:szCs w:val="21"/>
              </w:rPr>
              <w:t>相符性分析</w:t>
            </w:r>
          </w:p>
          <w:tbl>
            <w:tblPr>
              <w:tblStyle w:val="16"/>
              <w:tblW w:w="80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712"/>
              <w:gridCol w:w="1904"/>
              <w:gridCol w:w="761"/>
            </w:tblGrid>
            <w:tr w14:paraId="3439B0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403" w:type="pct"/>
                  <w:vAlign w:val="center"/>
                </w:tcPr>
                <w:p w14:paraId="304CE364">
                  <w:pPr>
                    <w:pStyle w:val="24"/>
                    <w:rPr>
                      <w:rFonts w:hint="default" w:ascii="Times New Roman" w:hAnsi="Times New Roman" w:eastAsia="宋体" w:cs="Times New Roman"/>
                      <w:b/>
                      <w:color w:val="auto"/>
                      <w:sz w:val="18"/>
                      <w:szCs w:val="18"/>
                    </w:rPr>
                  </w:pPr>
                  <w:r>
                    <w:rPr>
                      <w:rFonts w:hint="default" w:ascii="Times New Roman" w:hAnsi="Times New Roman" w:eastAsia="宋体" w:cs="Times New Roman"/>
                      <w:b/>
                      <w:color w:val="auto"/>
                      <w:sz w:val="18"/>
                      <w:szCs w:val="18"/>
                    </w:rPr>
                    <w:t>序号</w:t>
                  </w:r>
                </w:p>
              </w:tc>
              <w:tc>
                <w:tcPr>
                  <w:tcW w:w="2935" w:type="pct"/>
                  <w:vAlign w:val="center"/>
                </w:tcPr>
                <w:p w14:paraId="4C46220D">
                  <w:pPr>
                    <w:pStyle w:val="24"/>
                    <w:rPr>
                      <w:rFonts w:hint="default" w:ascii="Times New Roman" w:hAnsi="Times New Roman" w:eastAsia="宋体" w:cs="Times New Roman"/>
                      <w:b/>
                      <w:color w:val="auto"/>
                      <w:sz w:val="18"/>
                      <w:szCs w:val="18"/>
                    </w:rPr>
                  </w:pPr>
                  <w:r>
                    <w:rPr>
                      <w:rFonts w:hint="default" w:ascii="Times New Roman" w:hAnsi="Times New Roman" w:eastAsia="宋体" w:cs="Times New Roman"/>
                      <w:b/>
                      <w:bCs/>
                      <w:color w:val="auto"/>
                      <w:sz w:val="18"/>
                      <w:szCs w:val="18"/>
                    </w:rPr>
                    <w:t>内容条款</w:t>
                  </w:r>
                </w:p>
              </w:tc>
              <w:tc>
                <w:tcPr>
                  <w:tcW w:w="1186" w:type="pct"/>
                  <w:vAlign w:val="center"/>
                </w:tcPr>
                <w:p w14:paraId="216D9EEA">
                  <w:pPr>
                    <w:pStyle w:val="24"/>
                    <w:rPr>
                      <w:rFonts w:hint="default" w:ascii="Times New Roman" w:hAnsi="Times New Roman" w:eastAsia="宋体" w:cs="Times New Roman"/>
                      <w:b/>
                      <w:color w:val="auto"/>
                      <w:sz w:val="18"/>
                      <w:szCs w:val="18"/>
                    </w:rPr>
                  </w:pPr>
                  <w:r>
                    <w:rPr>
                      <w:rFonts w:hint="default" w:ascii="Times New Roman" w:hAnsi="Times New Roman" w:eastAsia="宋体" w:cs="Times New Roman"/>
                      <w:b/>
                      <w:color w:val="auto"/>
                      <w:sz w:val="18"/>
                      <w:szCs w:val="18"/>
                    </w:rPr>
                    <w:t>本项目情况</w:t>
                  </w:r>
                </w:p>
              </w:tc>
              <w:tc>
                <w:tcPr>
                  <w:tcW w:w="474" w:type="pct"/>
                  <w:vAlign w:val="center"/>
                </w:tcPr>
                <w:p w14:paraId="30DCB47A">
                  <w:pPr>
                    <w:pStyle w:val="24"/>
                    <w:rPr>
                      <w:rFonts w:hint="default" w:ascii="Times New Roman" w:hAnsi="Times New Roman" w:eastAsia="宋体" w:cs="Times New Roman"/>
                      <w:b/>
                      <w:color w:val="auto"/>
                      <w:sz w:val="18"/>
                      <w:szCs w:val="18"/>
                    </w:rPr>
                  </w:pPr>
                  <w:r>
                    <w:rPr>
                      <w:rFonts w:hint="default" w:ascii="Times New Roman" w:hAnsi="Times New Roman" w:eastAsia="宋体" w:cs="Times New Roman"/>
                      <w:b/>
                      <w:color w:val="auto"/>
                      <w:sz w:val="18"/>
                      <w:szCs w:val="18"/>
                    </w:rPr>
                    <w:t>相符性</w:t>
                  </w:r>
                </w:p>
              </w:tc>
            </w:tr>
            <w:tr w14:paraId="0817B8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3" w:type="pct"/>
                  <w:vAlign w:val="center"/>
                </w:tcPr>
                <w:p w14:paraId="42562417">
                  <w:pPr>
                    <w:pStyle w:val="24"/>
                    <w:rPr>
                      <w:rFonts w:ascii="Times New Roman" w:hAnsi="Times New Roman"/>
                      <w:bCs/>
                      <w:color w:val="auto"/>
                      <w:sz w:val="18"/>
                      <w:szCs w:val="18"/>
                    </w:rPr>
                  </w:pPr>
                  <w:r>
                    <w:rPr>
                      <w:rFonts w:ascii="Times New Roman" w:hAnsi="Times New Roman"/>
                      <w:bCs/>
                      <w:color w:val="auto"/>
                      <w:sz w:val="18"/>
                      <w:szCs w:val="18"/>
                    </w:rPr>
                    <w:t>1</w:t>
                  </w:r>
                </w:p>
              </w:tc>
              <w:tc>
                <w:tcPr>
                  <w:tcW w:w="2935" w:type="pct"/>
                  <w:vAlign w:val="center"/>
                </w:tcPr>
                <w:p w14:paraId="364FE3E7">
                  <w:pPr>
                    <w:tabs>
                      <w:tab w:val="left" w:pos="628"/>
                      <w:tab w:val="left" w:pos="1727"/>
                      <w:tab w:val="left" w:pos="1884"/>
                    </w:tabs>
                    <w:adjustRightInd w:val="0"/>
                    <w:snapToGrid w:val="0"/>
                    <w:rPr>
                      <w:bCs/>
                      <w:color w:val="auto"/>
                      <w:kern w:val="0"/>
                      <w:sz w:val="18"/>
                      <w:szCs w:val="18"/>
                    </w:rPr>
                  </w:pPr>
                  <w:r>
                    <w:rPr>
                      <w:bCs/>
                      <w:color w:val="auto"/>
                      <w:kern w:val="0"/>
                      <w:sz w:val="18"/>
                      <w:szCs w:val="18"/>
                    </w:rPr>
                    <w:t>强化废气收集。遵循“应收尽收”的原则，科学设计废气收集系统，宜采用密闭隔离、就近捕集等措施，封闭一切不必要的开口，将无组织排放转变为有组织排放进行控制，尽量减少废气逸散。规范设置集气罩。除行业有特殊要求外，废气收集口应保持微负压状态，并根据相关规范合理设置通风量。</w:t>
                  </w:r>
                </w:p>
              </w:tc>
              <w:tc>
                <w:tcPr>
                  <w:tcW w:w="1186" w:type="pct"/>
                  <w:vAlign w:val="center"/>
                </w:tcPr>
                <w:p w14:paraId="4783A8BD">
                  <w:pPr>
                    <w:tabs>
                      <w:tab w:val="left" w:pos="628"/>
                      <w:tab w:val="left" w:pos="1727"/>
                      <w:tab w:val="left" w:pos="1884"/>
                    </w:tabs>
                    <w:adjustRightInd w:val="0"/>
                    <w:snapToGrid w:val="0"/>
                    <w:rPr>
                      <w:bCs/>
                      <w:color w:val="auto"/>
                      <w:kern w:val="0"/>
                      <w:sz w:val="18"/>
                      <w:szCs w:val="18"/>
                    </w:rPr>
                  </w:pPr>
                  <w:r>
                    <w:rPr>
                      <w:rFonts w:hint="eastAsia"/>
                      <w:bCs/>
                      <w:color w:val="auto"/>
                      <w:kern w:val="0"/>
                      <w:sz w:val="18"/>
                      <w:szCs w:val="18"/>
                    </w:rPr>
                    <w:t>项目废气采用</w:t>
                  </w:r>
                  <w:r>
                    <w:rPr>
                      <w:rFonts w:hint="eastAsia"/>
                      <w:bCs/>
                      <w:color w:val="auto"/>
                      <w:kern w:val="0"/>
                      <w:sz w:val="18"/>
                      <w:szCs w:val="18"/>
                      <w:lang w:eastAsia="zh-CN"/>
                    </w:rPr>
                    <w:t>集气罩，</w:t>
                  </w:r>
                  <w:r>
                    <w:rPr>
                      <w:rFonts w:hint="eastAsia"/>
                      <w:bCs/>
                      <w:color w:val="auto"/>
                      <w:kern w:val="0"/>
                      <w:sz w:val="18"/>
                      <w:szCs w:val="18"/>
                    </w:rPr>
                    <w:t>收集效率可达90%。</w:t>
                  </w:r>
                </w:p>
              </w:tc>
              <w:tc>
                <w:tcPr>
                  <w:tcW w:w="474" w:type="pct"/>
                  <w:vAlign w:val="center"/>
                </w:tcPr>
                <w:p w14:paraId="04F79ECC">
                  <w:pPr>
                    <w:pStyle w:val="24"/>
                    <w:rPr>
                      <w:rFonts w:ascii="Times New Roman" w:hAnsi="Times New Roman" w:eastAsia="宋体"/>
                      <w:bCs/>
                      <w:color w:val="auto"/>
                      <w:sz w:val="18"/>
                      <w:szCs w:val="18"/>
                    </w:rPr>
                  </w:pPr>
                  <w:r>
                    <w:rPr>
                      <w:rFonts w:hint="eastAsia" w:ascii="Times New Roman" w:hAnsi="Times New Roman" w:eastAsia="宋体"/>
                      <w:bCs/>
                      <w:color w:val="auto"/>
                      <w:sz w:val="18"/>
                      <w:szCs w:val="18"/>
                    </w:rPr>
                    <w:t>符合</w:t>
                  </w:r>
                </w:p>
              </w:tc>
            </w:tr>
            <w:tr w14:paraId="262B24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3" w:type="pct"/>
                  <w:vAlign w:val="center"/>
                </w:tcPr>
                <w:p w14:paraId="735AEED5">
                  <w:pPr>
                    <w:pStyle w:val="24"/>
                    <w:rPr>
                      <w:rFonts w:ascii="Times New Roman" w:hAnsi="Times New Roman"/>
                      <w:bCs/>
                      <w:color w:val="auto"/>
                      <w:sz w:val="18"/>
                      <w:szCs w:val="18"/>
                    </w:rPr>
                  </w:pPr>
                  <w:r>
                    <w:rPr>
                      <w:rFonts w:hint="eastAsia" w:ascii="Times New Roman" w:hAnsi="Times New Roman"/>
                      <w:bCs/>
                      <w:color w:val="auto"/>
                      <w:sz w:val="18"/>
                      <w:szCs w:val="18"/>
                    </w:rPr>
                    <w:t>2</w:t>
                  </w:r>
                </w:p>
              </w:tc>
              <w:tc>
                <w:tcPr>
                  <w:tcW w:w="2935" w:type="pct"/>
                  <w:vAlign w:val="center"/>
                </w:tcPr>
                <w:p w14:paraId="5F7A4EFC">
                  <w:pPr>
                    <w:tabs>
                      <w:tab w:val="left" w:pos="628"/>
                      <w:tab w:val="left" w:pos="1727"/>
                      <w:tab w:val="left" w:pos="1884"/>
                    </w:tabs>
                    <w:adjustRightInd w:val="0"/>
                    <w:snapToGrid w:val="0"/>
                    <w:rPr>
                      <w:bCs/>
                      <w:color w:val="auto"/>
                      <w:kern w:val="0"/>
                      <w:sz w:val="18"/>
                      <w:szCs w:val="18"/>
                    </w:rPr>
                  </w:pPr>
                  <w:r>
                    <w:rPr>
                      <w:bCs/>
                      <w:color w:val="auto"/>
                      <w:kern w:val="0"/>
                      <w:sz w:val="18"/>
                      <w:szCs w:val="18"/>
                    </w:rPr>
                    <w:t>强化进气处理。当颗粒物浓度超过1mg/m</w:t>
                  </w:r>
                  <w:r>
                    <w:rPr>
                      <w:bCs/>
                      <w:color w:val="auto"/>
                      <w:kern w:val="0"/>
                      <w:sz w:val="18"/>
                      <w:szCs w:val="18"/>
                      <w:vertAlign w:val="superscript"/>
                    </w:rPr>
                    <w:t>3</w:t>
                  </w:r>
                  <w:r>
                    <w:rPr>
                      <w:bCs/>
                      <w:color w:val="auto"/>
                      <w:kern w:val="0"/>
                      <w:sz w:val="18"/>
                      <w:szCs w:val="18"/>
                    </w:rPr>
                    <w:t>时，应采用洗涤或过滤等处理方式处理。废气温度超过40℃时，应采用水冷、冷凝等方式进行降温处理。实施湿法预处理的，应采用除雾装置进行预处理，严防活性炭失活。</w:t>
                  </w:r>
                </w:p>
              </w:tc>
              <w:tc>
                <w:tcPr>
                  <w:tcW w:w="1186" w:type="pct"/>
                  <w:vAlign w:val="center"/>
                </w:tcPr>
                <w:p w14:paraId="7B54FBDA">
                  <w:pPr>
                    <w:tabs>
                      <w:tab w:val="left" w:pos="628"/>
                      <w:tab w:val="left" w:pos="1727"/>
                      <w:tab w:val="left" w:pos="1884"/>
                    </w:tabs>
                    <w:adjustRightInd w:val="0"/>
                    <w:snapToGrid w:val="0"/>
                    <w:rPr>
                      <w:bCs/>
                      <w:color w:val="auto"/>
                      <w:kern w:val="0"/>
                      <w:sz w:val="18"/>
                      <w:szCs w:val="18"/>
                    </w:rPr>
                  </w:pPr>
                  <w:r>
                    <w:rPr>
                      <w:bCs/>
                      <w:color w:val="auto"/>
                      <w:kern w:val="0"/>
                      <w:sz w:val="18"/>
                      <w:szCs w:val="18"/>
                    </w:rPr>
                    <w:t>项目</w:t>
                  </w:r>
                  <w:r>
                    <w:rPr>
                      <w:rFonts w:hint="eastAsia"/>
                      <w:bCs/>
                      <w:color w:val="auto"/>
                      <w:kern w:val="0"/>
                      <w:sz w:val="18"/>
                      <w:szCs w:val="18"/>
                      <w:lang w:eastAsia="zh-CN"/>
                    </w:rPr>
                    <w:t>废气经水喷淋处理后</w:t>
                  </w:r>
                  <w:r>
                    <w:rPr>
                      <w:bCs/>
                      <w:color w:val="auto"/>
                      <w:kern w:val="0"/>
                      <w:sz w:val="18"/>
                      <w:szCs w:val="18"/>
                    </w:rPr>
                    <w:t>温度低于40℃。</w:t>
                  </w:r>
                </w:p>
              </w:tc>
              <w:tc>
                <w:tcPr>
                  <w:tcW w:w="474" w:type="pct"/>
                  <w:vAlign w:val="center"/>
                </w:tcPr>
                <w:p w14:paraId="0334FAB1">
                  <w:pPr>
                    <w:pStyle w:val="24"/>
                    <w:rPr>
                      <w:rFonts w:ascii="Times New Roman" w:hAnsi="Times New Roman" w:eastAsia="宋体"/>
                      <w:bCs/>
                      <w:color w:val="auto"/>
                      <w:sz w:val="18"/>
                      <w:szCs w:val="18"/>
                    </w:rPr>
                  </w:pPr>
                  <w:r>
                    <w:rPr>
                      <w:rFonts w:hint="eastAsia" w:ascii="Times New Roman" w:hAnsi="Times New Roman" w:eastAsia="宋体"/>
                      <w:bCs/>
                      <w:color w:val="auto"/>
                      <w:sz w:val="18"/>
                      <w:szCs w:val="18"/>
                    </w:rPr>
                    <w:t>符合</w:t>
                  </w:r>
                </w:p>
              </w:tc>
            </w:tr>
            <w:tr w14:paraId="4796F9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3" w:type="pct"/>
                  <w:vAlign w:val="center"/>
                </w:tcPr>
                <w:p w14:paraId="463FF3DA">
                  <w:pPr>
                    <w:pStyle w:val="24"/>
                    <w:rPr>
                      <w:rFonts w:ascii="Times New Roman" w:hAnsi="Times New Roman"/>
                      <w:bCs/>
                      <w:color w:val="auto"/>
                      <w:sz w:val="18"/>
                      <w:szCs w:val="18"/>
                    </w:rPr>
                  </w:pPr>
                  <w:r>
                    <w:rPr>
                      <w:rFonts w:hint="eastAsia" w:ascii="Times New Roman" w:hAnsi="Times New Roman"/>
                      <w:bCs/>
                      <w:color w:val="auto"/>
                      <w:sz w:val="18"/>
                      <w:szCs w:val="18"/>
                    </w:rPr>
                    <w:t>3</w:t>
                  </w:r>
                </w:p>
              </w:tc>
              <w:tc>
                <w:tcPr>
                  <w:tcW w:w="2935" w:type="pct"/>
                  <w:vAlign w:val="center"/>
                </w:tcPr>
                <w:p w14:paraId="149D01D8">
                  <w:pPr>
                    <w:tabs>
                      <w:tab w:val="left" w:pos="628"/>
                      <w:tab w:val="left" w:pos="1727"/>
                      <w:tab w:val="left" w:pos="1884"/>
                    </w:tabs>
                    <w:adjustRightInd w:val="0"/>
                    <w:snapToGrid w:val="0"/>
                    <w:rPr>
                      <w:bCs/>
                      <w:color w:val="auto"/>
                      <w:kern w:val="0"/>
                      <w:sz w:val="18"/>
                      <w:szCs w:val="18"/>
                    </w:rPr>
                  </w:pPr>
                  <w:r>
                    <w:rPr>
                      <w:bCs/>
                      <w:color w:val="auto"/>
                      <w:kern w:val="0"/>
                      <w:sz w:val="18"/>
                      <w:szCs w:val="18"/>
                    </w:rPr>
                    <w:t>选用优质活性炭。参照《吸附法工业有机废气治理工程技术规范》（HJ 2026-2013），选用活性炭主要指标不得低于相关要求</w:t>
                  </w:r>
                  <w:r>
                    <w:rPr>
                      <w:rFonts w:hint="eastAsia"/>
                      <w:bCs/>
                      <w:color w:val="auto"/>
                      <w:kern w:val="0"/>
                      <w:sz w:val="18"/>
                      <w:szCs w:val="18"/>
                    </w:rPr>
                    <w:t>（</w:t>
                  </w:r>
                  <w:r>
                    <w:rPr>
                      <w:bCs/>
                      <w:color w:val="auto"/>
                      <w:kern w:val="0"/>
                      <w:sz w:val="18"/>
                      <w:szCs w:val="18"/>
                    </w:rPr>
                    <w:t>碘值不低于800mg/g，</w:t>
                  </w:r>
                  <w:r>
                    <w:rPr>
                      <w:rFonts w:hint="eastAsia"/>
                      <w:bCs/>
                      <w:color w:val="auto"/>
                      <w:kern w:val="0"/>
                      <w:sz w:val="18"/>
                      <w:szCs w:val="18"/>
                      <w:lang w:eastAsia="zh-CN"/>
                    </w:rPr>
                    <w:t>灰分</w:t>
                  </w:r>
                  <w:r>
                    <w:rPr>
                      <w:bCs/>
                      <w:color w:val="auto"/>
                      <w:kern w:val="0"/>
                      <w:sz w:val="18"/>
                      <w:szCs w:val="18"/>
                    </w:rPr>
                    <w:t>不高于15%，比表面积不低于750m</w:t>
                  </w:r>
                  <w:r>
                    <w:rPr>
                      <w:bCs/>
                      <w:color w:val="auto"/>
                      <w:kern w:val="0"/>
                      <w:sz w:val="18"/>
                      <w:szCs w:val="18"/>
                      <w:vertAlign w:val="superscript"/>
                    </w:rPr>
                    <w:t>2</w:t>
                  </w:r>
                  <w:r>
                    <w:rPr>
                      <w:bCs/>
                      <w:color w:val="auto"/>
                      <w:kern w:val="0"/>
                      <w:sz w:val="18"/>
                      <w:szCs w:val="18"/>
                    </w:rPr>
                    <w:t>/g，四氯化碳吸附率不低于40%，堆积密度不高于0.6g/cm</w:t>
                  </w:r>
                  <w:r>
                    <w:rPr>
                      <w:bCs/>
                      <w:color w:val="auto"/>
                      <w:kern w:val="0"/>
                      <w:sz w:val="18"/>
                      <w:szCs w:val="18"/>
                      <w:vertAlign w:val="superscript"/>
                    </w:rPr>
                    <w:t>3</w:t>
                  </w:r>
                  <w:r>
                    <w:rPr>
                      <w:rFonts w:hint="eastAsia"/>
                      <w:bCs/>
                      <w:color w:val="auto"/>
                      <w:kern w:val="0"/>
                      <w:sz w:val="18"/>
                      <w:szCs w:val="18"/>
                    </w:rPr>
                    <w:t>）</w:t>
                  </w:r>
                  <w:r>
                    <w:rPr>
                      <w:bCs/>
                      <w:color w:val="auto"/>
                      <w:kern w:val="0"/>
                      <w:sz w:val="18"/>
                      <w:szCs w:val="18"/>
                    </w:rPr>
                    <w:t>，保证废气有效处理。</w:t>
                  </w:r>
                </w:p>
              </w:tc>
              <w:tc>
                <w:tcPr>
                  <w:tcW w:w="1186" w:type="pct"/>
                  <w:vAlign w:val="center"/>
                </w:tcPr>
                <w:p w14:paraId="22F776B7">
                  <w:pPr>
                    <w:tabs>
                      <w:tab w:val="left" w:pos="628"/>
                      <w:tab w:val="left" w:pos="1727"/>
                      <w:tab w:val="left" w:pos="1884"/>
                    </w:tabs>
                    <w:adjustRightInd w:val="0"/>
                    <w:snapToGrid w:val="0"/>
                    <w:rPr>
                      <w:bCs/>
                      <w:color w:val="auto"/>
                      <w:kern w:val="0"/>
                      <w:sz w:val="18"/>
                      <w:szCs w:val="18"/>
                    </w:rPr>
                  </w:pPr>
                  <w:r>
                    <w:rPr>
                      <w:rFonts w:hint="eastAsia"/>
                      <w:bCs/>
                      <w:color w:val="auto"/>
                      <w:kern w:val="0"/>
                      <w:sz w:val="18"/>
                      <w:szCs w:val="18"/>
                    </w:rPr>
                    <w:t>由废气工程设计方案可知，其采用的活性炭指标可满足要求。</w:t>
                  </w:r>
                </w:p>
              </w:tc>
              <w:tc>
                <w:tcPr>
                  <w:tcW w:w="474" w:type="pct"/>
                  <w:vAlign w:val="center"/>
                </w:tcPr>
                <w:p w14:paraId="3C3E7AEE">
                  <w:pPr>
                    <w:pStyle w:val="24"/>
                    <w:rPr>
                      <w:rFonts w:ascii="Times New Roman" w:hAnsi="Times New Roman" w:eastAsia="宋体"/>
                      <w:bCs/>
                      <w:color w:val="auto"/>
                      <w:sz w:val="18"/>
                      <w:szCs w:val="18"/>
                    </w:rPr>
                  </w:pPr>
                  <w:r>
                    <w:rPr>
                      <w:rFonts w:hint="eastAsia" w:ascii="Times New Roman" w:hAnsi="Times New Roman" w:eastAsia="宋体"/>
                      <w:bCs/>
                      <w:color w:val="auto"/>
                      <w:sz w:val="18"/>
                      <w:szCs w:val="18"/>
                    </w:rPr>
                    <w:t>符合</w:t>
                  </w:r>
                </w:p>
              </w:tc>
            </w:tr>
            <w:tr w14:paraId="77ED90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03" w:type="pct"/>
                  <w:vAlign w:val="center"/>
                </w:tcPr>
                <w:p w14:paraId="64C594F6">
                  <w:pPr>
                    <w:pStyle w:val="24"/>
                    <w:rPr>
                      <w:rFonts w:ascii="Times New Roman" w:hAnsi="Times New Roman"/>
                      <w:bCs/>
                      <w:color w:val="auto"/>
                      <w:sz w:val="18"/>
                      <w:szCs w:val="18"/>
                    </w:rPr>
                  </w:pPr>
                  <w:r>
                    <w:rPr>
                      <w:rFonts w:hint="eastAsia" w:ascii="Times New Roman" w:hAnsi="Times New Roman"/>
                      <w:bCs/>
                      <w:color w:val="auto"/>
                      <w:sz w:val="18"/>
                      <w:szCs w:val="18"/>
                    </w:rPr>
                    <w:t>4</w:t>
                  </w:r>
                </w:p>
              </w:tc>
              <w:tc>
                <w:tcPr>
                  <w:tcW w:w="2935" w:type="pct"/>
                  <w:vAlign w:val="center"/>
                </w:tcPr>
                <w:p w14:paraId="200F80CA">
                  <w:pPr>
                    <w:tabs>
                      <w:tab w:val="left" w:pos="628"/>
                      <w:tab w:val="left" w:pos="1727"/>
                      <w:tab w:val="left" w:pos="1884"/>
                    </w:tabs>
                    <w:adjustRightInd w:val="0"/>
                    <w:snapToGrid w:val="0"/>
                    <w:rPr>
                      <w:bCs/>
                      <w:color w:val="auto"/>
                      <w:kern w:val="0"/>
                      <w:sz w:val="18"/>
                      <w:szCs w:val="18"/>
                    </w:rPr>
                  </w:pPr>
                  <w:r>
                    <w:rPr>
                      <w:bCs/>
                      <w:color w:val="auto"/>
                      <w:kern w:val="0"/>
                      <w:sz w:val="18"/>
                      <w:szCs w:val="18"/>
                    </w:rPr>
                    <w:t>控制合理风速。采用颗粒状活性炭时，气体流速应低于0.6m/s；采用蜂窝状活性炭时，气体流速应低于1.2m/s；气体停留时间大于1s。采用碳纤维时，气体流速应低于0.15m/s。</w:t>
                  </w:r>
                </w:p>
              </w:tc>
              <w:tc>
                <w:tcPr>
                  <w:tcW w:w="1186" w:type="pct"/>
                  <w:vAlign w:val="center"/>
                </w:tcPr>
                <w:p w14:paraId="280A059A">
                  <w:pPr>
                    <w:tabs>
                      <w:tab w:val="left" w:pos="628"/>
                      <w:tab w:val="left" w:pos="1727"/>
                      <w:tab w:val="left" w:pos="1884"/>
                    </w:tabs>
                    <w:adjustRightInd w:val="0"/>
                    <w:snapToGrid w:val="0"/>
                    <w:rPr>
                      <w:bCs/>
                      <w:color w:val="auto"/>
                      <w:kern w:val="0"/>
                      <w:sz w:val="18"/>
                      <w:szCs w:val="18"/>
                    </w:rPr>
                  </w:pPr>
                  <w:r>
                    <w:rPr>
                      <w:rFonts w:hint="eastAsia"/>
                      <w:bCs/>
                      <w:color w:val="auto"/>
                      <w:kern w:val="0"/>
                      <w:sz w:val="18"/>
                      <w:szCs w:val="18"/>
                    </w:rPr>
                    <w:t>项目装置采用</w:t>
                  </w:r>
                  <w:r>
                    <w:rPr>
                      <w:rFonts w:hint="eastAsia"/>
                      <w:bCs/>
                      <w:color w:val="auto"/>
                      <w:kern w:val="0"/>
                      <w:sz w:val="18"/>
                      <w:szCs w:val="18"/>
                      <w:lang w:eastAsia="zh-CN"/>
                    </w:rPr>
                    <w:t>颗粒</w:t>
                  </w:r>
                  <w:r>
                    <w:rPr>
                      <w:bCs/>
                      <w:color w:val="auto"/>
                      <w:kern w:val="0"/>
                      <w:sz w:val="18"/>
                      <w:szCs w:val="18"/>
                    </w:rPr>
                    <w:t>状活性炭</w:t>
                  </w:r>
                  <w:r>
                    <w:rPr>
                      <w:rFonts w:hint="eastAsia"/>
                      <w:bCs/>
                      <w:color w:val="auto"/>
                      <w:kern w:val="0"/>
                      <w:sz w:val="18"/>
                      <w:szCs w:val="18"/>
                    </w:rPr>
                    <w:t>，气体流速为0.</w:t>
                  </w:r>
                  <w:r>
                    <w:rPr>
                      <w:rFonts w:hint="eastAsia"/>
                      <w:bCs/>
                      <w:color w:val="auto"/>
                      <w:kern w:val="0"/>
                      <w:sz w:val="18"/>
                      <w:szCs w:val="18"/>
                      <w:lang w:val="en-US" w:eastAsia="zh-CN"/>
                    </w:rPr>
                    <w:t>49</w:t>
                  </w:r>
                  <w:r>
                    <w:rPr>
                      <w:rFonts w:hint="eastAsia"/>
                      <w:bCs/>
                      <w:color w:val="auto"/>
                      <w:kern w:val="0"/>
                      <w:sz w:val="18"/>
                      <w:szCs w:val="18"/>
                    </w:rPr>
                    <w:t>m/s、停留时间为</w:t>
                  </w:r>
                  <w:r>
                    <w:rPr>
                      <w:rFonts w:hint="eastAsia"/>
                      <w:bCs/>
                      <w:color w:val="auto"/>
                      <w:kern w:val="0"/>
                      <w:sz w:val="18"/>
                      <w:szCs w:val="18"/>
                      <w:lang w:val="en-US" w:eastAsia="zh-CN"/>
                    </w:rPr>
                    <w:t>1.2</w:t>
                  </w:r>
                  <w:r>
                    <w:rPr>
                      <w:rFonts w:hint="eastAsia"/>
                      <w:bCs/>
                      <w:color w:val="auto"/>
                      <w:kern w:val="0"/>
                      <w:sz w:val="18"/>
                      <w:szCs w:val="18"/>
                    </w:rPr>
                    <w:t>s。</w:t>
                  </w:r>
                </w:p>
              </w:tc>
              <w:tc>
                <w:tcPr>
                  <w:tcW w:w="474" w:type="pct"/>
                  <w:vAlign w:val="center"/>
                </w:tcPr>
                <w:p w14:paraId="4E600729">
                  <w:pPr>
                    <w:pStyle w:val="24"/>
                    <w:rPr>
                      <w:rFonts w:ascii="Times New Roman" w:hAnsi="Times New Roman" w:eastAsia="宋体"/>
                      <w:bCs/>
                      <w:color w:val="auto"/>
                      <w:sz w:val="18"/>
                      <w:szCs w:val="18"/>
                    </w:rPr>
                  </w:pPr>
                  <w:r>
                    <w:rPr>
                      <w:rFonts w:hint="eastAsia" w:ascii="Times New Roman" w:hAnsi="Times New Roman" w:eastAsia="宋体"/>
                      <w:bCs/>
                      <w:color w:val="auto"/>
                      <w:sz w:val="18"/>
                      <w:szCs w:val="18"/>
                    </w:rPr>
                    <w:t>符合</w:t>
                  </w:r>
                </w:p>
              </w:tc>
            </w:tr>
            <w:tr w14:paraId="422925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3" w:type="pct"/>
                  <w:vAlign w:val="center"/>
                </w:tcPr>
                <w:p w14:paraId="6E86DF4E">
                  <w:pPr>
                    <w:pStyle w:val="24"/>
                    <w:rPr>
                      <w:rFonts w:ascii="Times New Roman" w:hAnsi="Times New Roman"/>
                      <w:bCs/>
                      <w:color w:val="auto"/>
                      <w:sz w:val="18"/>
                      <w:szCs w:val="18"/>
                    </w:rPr>
                  </w:pPr>
                  <w:r>
                    <w:rPr>
                      <w:rFonts w:hint="eastAsia" w:ascii="Times New Roman" w:hAnsi="Times New Roman"/>
                      <w:bCs/>
                      <w:color w:val="auto"/>
                      <w:sz w:val="18"/>
                      <w:szCs w:val="18"/>
                    </w:rPr>
                    <w:t>5</w:t>
                  </w:r>
                </w:p>
              </w:tc>
              <w:tc>
                <w:tcPr>
                  <w:tcW w:w="2935" w:type="pct"/>
                  <w:vAlign w:val="center"/>
                </w:tcPr>
                <w:p w14:paraId="33BE954F">
                  <w:pPr>
                    <w:tabs>
                      <w:tab w:val="left" w:pos="628"/>
                      <w:tab w:val="left" w:pos="1727"/>
                      <w:tab w:val="left" w:pos="1884"/>
                    </w:tabs>
                    <w:adjustRightInd w:val="0"/>
                    <w:snapToGrid w:val="0"/>
                    <w:rPr>
                      <w:bCs/>
                      <w:color w:val="auto"/>
                      <w:kern w:val="0"/>
                      <w:sz w:val="18"/>
                      <w:szCs w:val="18"/>
                    </w:rPr>
                  </w:pPr>
                  <w:r>
                    <w:rPr>
                      <w:bCs/>
                      <w:color w:val="auto"/>
                      <w:kern w:val="0"/>
                      <w:sz w:val="18"/>
                      <w:szCs w:val="18"/>
                    </w:rPr>
                    <w:t>及时更换活性炭。当活性炭动态吸附量降低至设计值80%时宜更换；风量大于30000m</w:t>
                  </w:r>
                  <w:r>
                    <w:rPr>
                      <w:bCs/>
                      <w:color w:val="auto"/>
                      <w:kern w:val="0"/>
                      <w:sz w:val="18"/>
                      <w:szCs w:val="18"/>
                      <w:vertAlign w:val="superscript"/>
                    </w:rPr>
                    <w:t>3</w:t>
                  </w:r>
                  <w:r>
                    <w:rPr>
                      <w:bCs/>
                      <w:color w:val="auto"/>
                      <w:kern w:val="0"/>
                      <w:sz w:val="18"/>
                      <w:szCs w:val="18"/>
                    </w:rPr>
                    <w:t>/h，应安装废气在线监测仪，并在监测浓度达到排放限值80%时进行更换。未安装废气在线监测仪的单位，应根据废气浓度进行测算，确定正常工况条件的活性炭更换时间，并在显著位置公示。按照危险废物的管理标准贮存废活性炭，并委托有资质单位处置，建立活性炭更换管理台账，详细记录更换时间、数量等信息备查；省危险废物全生命周期监控系统启用后，活性炭购买、更换、废活性炭储存、转移记录均需按规定生成二维码备案。</w:t>
                  </w:r>
                </w:p>
              </w:tc>
              <w:tc>
                <w:tcPr>
                  <w:tcW w:w="1186" w:type="pct"/>
                  <w:vAlign w:val="center"/>
                </w:tcPr>
                <w:p w14:paraId="0410F573">
                  <w:pPr>
                    <w:tabs>
                      <w:tab w:val="left" w:pos="628"/>
                      <w:tab w:val="left" w:pos="1727"/>
                      <w:tab w:val="left" w:pos="1884"/>
                    </w:tabs>
                    <w:adjustRightInd w:val="0"/>
                    <w:snapToGrid w:val="0"/>
                    <w:rPr>
                      <w:bCs/>
                      <w:color w:val="auto"/>
                      <w:kern w:val="0"/>
                      <w:sz w:val="18"/>
                      <w:szCs w:val="18"/>
                    </w:rPr>
                  </w:pPr>
                  <w:r>
                    <w:rPr>
                      <w:rFonts w:hint="eastAsia"/>
                      <w:bCs/>
                      <w:color w:val="auto"/>
                      <w:kern w:val="0"/>
                      <w:sz w:val="18"/>
                      <w:szCs w:val="18"/>
                    </w:rPr>
                    <w:t>项目设计风量为</w:t>
                  </w:r>
                  <w:r>
                    <w:rPr>
                      <w:rFonts w:hint="eastAsia"/>
                      <w:bCs/>
                      <w:color w:val="auto"/>
                      <w:kern w:val="0"/>
                      <w:sz w:val="18"/>
                      <w:szCs w:val="18"/>
                      <w:lang w:val="en-US" w:eastAsia="zh-CN"/>
                    </w:rPr>
                    <w:t>70</w:t>
                  </w:r>
                  <w:r>
                    <w:rPr>
                      <w:rFonts w:hint="eastAsia"/>
                      <w:bCs/>
                      <w:color w:val="auto"/>
                      <w:kern w:val="0"/>
                      <w:sz w:val="18"/>
                      <w:szCs w:val="18"/>
                    </w:rPr>
                    <w:t>00m</w:t>
                  </w:r>
                  <w:r>
                    <w:rPr>
                      <w:rFonts w:hint="eastAsia"/>
                      <w:bCs/>
                      <w:color w:val="auto"/>
                      <w:kern w:val="0"/>
                      <w:sz w:val="18"/>
                      <w:szCs w:val="18"/>
                      <w:vertAlign w:val="superscript"/>
                    </w:rPr>
                    <w:t>3</w:t>
                  </w:r>
                  <w:r>
                    <w:rPr>
                      <w:rFonts w:hint="eastAsia"/>
                      <w:bCs/>
                      <w:color w:val="auto"/>
                      <w:kern w:val="0"/>
                      <w:sz w:val="18"/>
                      <w:szCs w:val="18"/>
                    </w:rPr>
                    <w:t>/h，无需</w:t>
                  </w:r>
                  <w:r>
                    <w:rPr>
                      <w:bCs/>
                      <w:color w:val="auto"/>
                      <w:kern w:val="0"/>
                      <w:sz w:val="18"/>
                      <w:szCs w:val="18"/>
                    </w:rPr>
                    <w:t>安装废气在线监测仪</w:t>
                  </w:r>
                  <w:r>
                    <w:rPr>
                      <w:rFonts w:hint="eastAsia"/>
                      <w:bCs/>
                      <w:color w:val="auto"/>
                      <w:kern w:val="0"/>
                      <w:sz w:val="18"/>
                      <w:szCs w:val="18"/>
                    </w:rPr>
                    <w:t>。废活性炭委托有资质的单位处置，并建立管理台账机制。</w:t>
                  </w:r>
                </w:p>
              </w:tc>
              <w:tc>
                <w:tcPr>
                  <w:tcW w:w="474" w:type="pct"/>
                  <w:vAlign w:val="center"/>
                </w:tcPr>
                <w:p w14:paraId="568D135F">
                  <w:pPr>
                    <w:pStyle w:val="24"/>
                    <w:rPr>
                      <w:rFonts w:ascii="Times New Roman" w:hAnsi="Times New Roman" w:eastAsia="宋体"/>
                      <w:bCs/>
                      <w:color w:val="auto"/>
                      <w:sz w:val="18"/>
                      <w:szCs w:val="18"/>
                    </w:rPr>
                  </w:pPr>
                  <w:r>
                    <w:rPr>
                      <w:rFonts w:hint="eastAsia" w:ascii="Times New Roman" w:hAnsi="Times New Roman" w:eastAsia="宋体"/>
                      <w:bCs/>
                      <w:color w:val="auto"/>
                      <w:sz w:val="18"/>
                      <w:szCs w:val="18"/>
                    </w:rPr>
                    <w:t>符合</w:t>
                  </w:r>
                </w:p>
              </w:tc>
            </w:tr>
          </w:tbl>
          <w:p w14:paraId="00103CDA">
            <w:pPr>
              <w:wordWrap w:val="0"/>
              <w:adjustRightInd w:val="0"/>
              <w:snapToGrid w:val="0"/>
              <w:spacing w:line="500" w:lineRule="exact"/>
              <w:ind w:firstLine="420" w:firstLineChars="200"/>
              <w:rPr>
                <w:bCs/>
                <w:color w:val="auto"/>
                <w:szCs w:val="21"/>
              </w:rPr>
            </w:pPr>
            <w:r>
              <w:rPr>
                <w:rFonts w:hint="eastAsia"/>
                <w:bCs/>
                <w:color w:val="auto"/>
                <w:szCs w:val="21"/>
              </w:rPr>
              <w:t>综上所述，项目二级活性炭装置设计参数可满足《省生态环境厅关于将排污单位活性炭使用更换纳入排污许可管理的通知》及</w:t>
            </w:r>
            <w:r>
              <w:rPr>
                <w:rFonts w:hint="eastAsia"/>
                <w:color w:val="auto"/>
                <w:kern w:val="0"/>
                <w:szCs w:val="21"/>
              </w:rPr>
              <w:t>《关于印发</w:t>
            </w:r>
            <w:r>
              <w:rPr>
                <w:rFonts w:hint="eastAsia"/>
                <w:color w:val="auto"/>
                <w:kern w:val="0"/>
                <w:szCs w:val="21"/>
                <w:lang w:eastAsia="zh-CN"/>
              </w:rPr>
              <w:t>〈</w:t>
            </w:r>
            <w:r>
              <w:rPr>
                <w:rFonts w:hint="eastAsia"/>
                <w:color w:val="auto"/>
                <w:kern w:val="0"/>
                <w:szCs w:val="21"/>
              </w:rPr>
              <w:t>南通市废气活性炭吸附设施专项整治实施方案</w:t>
            </w:r>
            <w:r>
              <w:rPr>
                <w:rFonts w:hint="eastAsia"/>
                <w:color w:val="auto"/>
                <w:kern w:val="0"/>
                <w:szCs w:val="21"/>
                <w:lang w:eastAsia="zh-CN"/>
              </w:rPr>
              <w:t>〉</w:t>
            </w:r>
            <w:r>
              <w:rPr>
                <w:rFonts w:hint="eastAsia"/>
                <w:color w:val="auto"/>
                <w:kern w:val="0"/>
                <w:szCs w:val="21"/>
              </w:rPr>
              <w:t>的通知》中的相关要求</w:t>
            </w:r>
            <w:r>
              <w:rPr>
                <w:rFonts w:hint="eastAsia"/>
                <w:color w:val="auto"/>
                <w:kern w:val="0"/>
                <w:szCs w:val="21"/>
                <w:lang w:eastAsia="zh-CN"/>
              </w:rPr>
              <w:t>，根据《排污许可证申请与核发技术规范 橡胶和塑料制品工业》（HJ 1122-2020）表 A.2，针对塑料板、管、型材、塑料零件及其他塑料制品制造过程产生的非甲烷总烃污染防治，吸附法属于可行技术，故本项目针对熔融挤出废气建设的废气处理设施是可行的。</w:t>
            </w:r>
          </w:p>
          <w:p w14:paraId="076B19DD">
            <w:pPr>
              <w:spacing w:line="500" w:lineRule="exact"/>
              <w:ind w:firstLine="420" w:firstLineChars="200"/>
              <w:rPr>
                <w:color w:val="auto"/>
              </w:rPr>
            </w:pPr>
            <w:r>
              <w:rPr>
                <w:color w:val="auto"/>
              </w:rPr>
              <w:t>根据工程分析，经处理后非甲烷总烃排放浓度、排放速率能满足</w:t>
            </w:r>
            <w:r>
              <w:rPr>
                <w:rFonts w:hint="eastAsia"/>
                <w:color w:val="auto"/>
              </w:rPr>
              <w:t>《合成树脂工业污染物排放标准》（GB 31572-2015）</w:t>
            </w:r>
            <w:r>
              <w:rPr>
                <w:color w:val="auto"/>
              </w:rPr>
              <w:t>相关要求，因此，本项目废气处理措施可行。</w:t>
            </w:r>
          </w:p>
          <w:p w14:paraId="2C970456">
            <w:pPr>
              <w:spacing w:line="500" w:lineRule="exact"/>
              <w:ind w:firstLine="422" w:firstLineChars="200"/>
              <w:rPr>
                <w:b/>
                <w:bCs/>
                <w:color w:val="auto"/>
              </w:rPr>
            </w:pPr>
            <w:r>
              <w:rPr>
                <w:rFonts w:hint="eastAsia"/>
                <w:b/>
                <w:bCs/>
                <w:color w:val="auto"/>
              </w:rPr>
              <w:t>排气筒设置合理性分析：</w:t>
            </w:r>
          </w:p>
          <w:p w14:paraId="26F1FC7B">
            <w:pPr>
              <w:spacing w:line="500" w:lineRule="exact"/>
              <w:ind w:firstLine="420" w:firstLineChars="200"/>
              <w:rPr>
                <w:b/>
                <w:bCs/>
                <w:color w:val="auto"/>
              </w:rPr>
            </w:pPr>
            <w:r>
              <w:rPr>
                <w:rFonts w:hint="eastAsia"/>
                <w:color w:val="auto"/>
              </w:rPr>
              <w:t>本项</w:t>
            </w:r>
            <w:r>
              <w:rPr>
                <w:rFonts w:hint="eastAsia"/>
                <w:color w:val="auto"/>
                <w:lang w:val="en-US" w:eastAsia="zh-CN"/>
              </w:rPr>
              <w:t>1#</w:t>
            </w:r>
            <w:r>
              <w:rPr>
                <w:rFonts w:hint="eastAsia"/>
                <w:color w:val="auto"/>
              </w:rPr>
              <w:t>排气筒</w:t>
            </w:r>
            <w:r>
              <w:rPr>
                <w:rFonts w:hint="eastAsia"/>
                <w:color w:val="auto"/>
                <w:lang w:val="en-US" w:eastAsia="zh-CN"/>
              </w:rPr>
              <w:t>DA001</w:t>
            </w:r>
            <w:r>
              <w:rPr>
                <w:rFonts w:hint="eastAsia"/>
                <w:color w:val="auto"/>
              </w:rPr>
              <w:t>高度设置为15m，直径为0.</w:t>
            </w:r>
            <w:r>
              <w:rPr>
                <w:rFonts w:hint="eastAsia"/>
                <w:color w:val="auto"/>
                <w:lang w:val="en-US" w:eastAsia="zh-CN"/>
              </w:rPr>
              <w:t>43</w:t>
            </w:r>
            <w:r>
              <w:rPr>
                <w:rFonts w:hint="eastAsia"/>
                <w:color w:val="auto"/>
              </w:rPr>
              <w:t>m，烟气温度为</w:t>
            </w:r>
            <w:r>
              <w:rPr>
                <w:rFonts w:hint="eastAsia"/>
                <w:color w:val="auto"/>
                <w:lang w:val="en-US" w:eastAsia="zh-CN"/>
              </w:rPr>
              <w:t>25</w:t>
            </w:r>
            <w:r>
              <w:rPr>
                <w:rFonts w:hint="eastAsia"/>
                <w:color w:val="auto"/>
              </w:rPr>
              <w:t>℃，</w:t>
            </w:r>
            <w:r>
              <w:rPr>
                <w:rFonts w:hint="eastAsia"/>
                <w:color w:val="auto"/>
                <w:lang w:val="en-US" w:eastAsia="zh-CN"/>
              </w:rPr>
              <w:t>2</w:t>
            </w:r>
            <w:r>
              <w:rPr>
                <w:rFonts w:hint="eastAsia"/>
                <w:color w:val="auto"/>
              </w:rPr>
              <w:t>#排气筒</w:t>
            </w:r>
            <w:r>
              <w:rPr>
                <w:rFonts w:hint="eastAsia"/>
                <w:color w:val="auto"/>
                <w:lang w:val="en-US" w:eastAsia="zh-CN"/>
              </w:rPr>
              <w:t>DA002</w:t>
            </w:r>
            <w:r>
              <w:rPr>
                <w:rFonts w:hint="eastAsia"/>
                <w:color w:val="auto"/>
              </w:rPr>
              <w:t>直径为0.</w:t>
            </w:r>
            <w:r>
              <w:rPr>
                <w:rFonts w:hint="eastAsia"/>
                <w:color w:val="auto"/>
                <w:lang w:val="en-US" w:eastAsia="zh-CN"/>
              </w:rPr>
              <w:t>34</w:t>
            </w:r>
            <w:r>
              <w:rPr>
                <w:rFonts w:hint="eastAsia"/>
                <w:color w:val="auto"/>
              </w:rPr>
              <w:t>m，烟气温度为25℃，风速为</w:t>
            </w:r>
            <w:r>
              <w:rPr>
                <w:rFonts w:hint="eastAsia"/>
                <w:color w:val="auto"/>
                <w:lang w:val="en-US" w:eastAsia="zh-CN"/>
              </w:rPr>
              <w:t>15</w:t>
            </w:r>
            <w:r>
              <w:rPr>
                <w:rFonts w:hint="eastAsia"/>
                <w:color w:val="auto"/>
              </w:rPr>
              <w:t>m/s，排气筒风速均符合《大气污染治理工程技术导则》（HJ2000-2010）中流速宜取15m/s左右的要求。因此，项目排气筒的设置是合理的。</w:t>
            </w:r>
          </w:p>
          <w:p w14:paraId="3B7E8E33">
            <w:pPr>
              <w:spacing w:line="500" w:lineRule="exact"/>
              <w:ind w:firstLine="420" w:firstLineChars="200"/>
              <w:rPr>
                <w:color w:val="auto"/>
              </w:rPr>
            </w:pPr>
            <w:r>
              <w:rPr>
                <w:color w:val="auto"/>
              </w:rPr>
              <w:t xml:space="preserve">（3）大气环境影响分析结论 </w:t>
            </w:r>
          </w:p>
          <w:p w14:paraId="288AF934">
            <w:pPr>
              <w:widowControl/>
              <w:spacing w:line="440" w:lineRule="exact"/>
              <w:ind w:firstLine="420" w:firstLineChars="200"/>
              <w:jc w:val="left"/>
              <w:rPr>
                <w:b/>
                <w:color w:val="auto"/>
                <w:szCs w:val="21"/>
              </w:rPr>
            </w:pPr>
            <w:r>
              <w:rPr>
                <w:color w:val="auto"/>
              </w:rPr>
              <w:t>经各项污染治理措施处理后，</w:t>
            </w:r>
            <w:r>
              <w:rPr>
                <w:rFonts w:hint="eastAsia"/>
                <w:color w:val="auto"/>
              </w:rPr>
              <w:t>本项目</w:t>
            </w:r>
            <w:r>
              <w:rPr>
                <w:rFonts w:hint="eastAsia"/>
                <w:color w:val="auto"/>
                <w:lang w:val="en-US" w:eastAsia="zh-CN"/>
              </w:rPr>
              <w:t>1#排气筒DA001颗粒物、DA002非甲烷总烃满足《合成树脂工业污染物排放标准》（GB 31572-2015）</w:t>
            </w:r>
            <w:r>
              <w:rPr>
                <w:rFonts w:hint="eastAsia"/>
                <w:color w:val="auto"/>
              </w:rPr>
              <w:t>中排放限值要求</w:t>
            </w:r>
            <w:r>
              <w:rPr>
                <w:rFonts w:hint="eastAsia"/>
                <w:color w:val="auto"/>
                <w:lang w:val="en-US" w:eastAsia="zh-CN"/>
              </w:rPr>
              <w:t>。</w:t>
            </w:r>
            <w:r>
              <w:rPr>
                <w:color w:val="auto"/>
              </w:rPr>
              <w:t>采用的污染防治措施为可行技术，大气环境影响可接受</w:t>
            </w:r>
            <w:r>
              <w:rPr>
                <w:rFonts w:hint="eastAsia"/>
                <w:color w:val="auto"/>
              </w:rPr>
              <w:t>。</w:t>
            </w:r>
          </w:p>
        </w:tc>
      </w:tr>
    </w:tbl>
    <w:p w14:paraId="2BA8D49A">
      <w:pPr>
        <w:sectPr>
          <w:pgSz w:w="11906" w:h="16838"/>
          <w:pgMar w:top="1588" w:right="1531" w:bottom="1588" w:left="1531" w:header="851" w:footer="794"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6"/>
        <w:tblW w:w="139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160"/>
      </w:tblGrid>
      <w:tr w14:paraId="1AA8E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1" w:hRule="atLeast"/>
          <w:jc w:val="center"/>
        </w:trPr>
        <w:tc>
          <w:tcPr>
            <w:tcW w:w="746" w:type="dxa"/>
            <w:tcMar>
              <w:left w:w="28" w:type="dxa"/>
              <w:right w:w="28" w:type="dxa"/>
            </w:tcMar>
            <w:vAlign w:val="center"/>
          </w:tcPr>
          <w:p w14:paraId="592CC041">
            <w:pPr>
              <w:adjustRightInd w:val="0"/>
              <w:snapToGrid w:val="0"/>
              <w:jc w:val="center"/>
              <w:rPr>
                <w:rFonts w:ascii="宋体" w:hAnsi="宋体" w:cs="宋体"/>
                <w:bCs/>
                <w:szCs w:val="21"/>
              </w:rPr>
            </w:pPr>
            <w:r>
              <w:rPr>
                <w:rFonts w:hint="eastAsia" w:ascii="宋体" w:hAnsi="宋体" w:cs="宋体"/>
                <w:bCs/>
                <w:szCs w:val="21"/>
              </w:rPr>
              <w:t>运营</w:t>
            </w:r>
          </w:p>
          <w:p w14:paraId="5CDCCABE">
            <w:pPr>
              <w:adjustRightInd w:val="0"/>
              <w:snapToGrid w:val="0"/>
              <w:jc w:val="center"/>
              <w:rPr>
                <w:rFonts w:ascii="宋体" w:hAnsi="宋体" w:cs="宋体"/>
                <w:bCs/>
                <w:szCs w:val="21"/>
              </w:rPr>
            </w:pPr>
            <w:r>
              <w:rPr>
                <w:rFonts w:hint="eastAsia" w:ascii="宋体" w:hAnsi="宋体" w:cs="宋体"/>
                <w:bCs/>
                <w:szCs w:val="21"/>
              </w:rPr>
              <w:t>期环</w:t>
            </w:r>
          </w:p>
          <w:p w14:paraId="50B52DD3">
            <w:pPr>
              <w:adjustRightInd w:val="0"/>
              <w:snapToGrid w:val="0"/>
              <w:jc w:val="center"/>
              <w:rPr>
                <w:rFonts w:ascii="宋体" w:hAnsi="宋体" w:cs="宋体"/>
                <w:bCs/>
                <w:szCs w:val="21"/>
              </w:rPr>
            </w:pPr>
            <w:r>
              <w:rPr>
                <w:rFonts w:hint="eastAsia" w:ascii="宋体" w:hAnsi="宋体" w:cs="宋体"/>
                <w:bCs/>
                <w:szCs w:val="21"/>
              </w:rPr>
              <w:t>境影</w:t>
            </w:r>
          </w:p>
          <w:p w14:paraId="285D9120">
            <w:pPr>
              <w:adjustRightInd w:val="0"/>
              <w:snapToGrid w:val="0"/>
              <w:jc w:val="center"/>
              <w:rPr>
                <w:rFonts w:ascii="宋体" w:hAnsi="宋体" w:cs="宋体"/>
                <w:bCs/>
                <w:szCs w:val="21"/>
              </w:rPr>
            </w:pPr>
            <w:r>
              <w:rPr>
                <w:rFonts w:hint="eastAsia" w:ascii="宋体" w:hAnsi="宋体" w:cs="宋体"/>
                <w:bCs/>
                <w:szCs w:val="21"/>
              </w:rPr>
              <w:t>响和</w:t>
            </w:r>
          </w:p>
          <w:p w14:paraId="6BDC451A">
            <w:pPr>
              <w:adjustRightInd w:val="0"/>
              <w:snapToGrid w:val="0"/>
              <w:jc w:val="center"/>
              <w:rPr>
                <w:rFonts w:ascii="宋体" w:hAnsi="宋体" w:cs="宋体"/>
                <w:bCs/>
                <w:szCs w:val="21"/>
              </w:rPr>
            </w:pPr>
            <w:r>
              <w:rPr>
                <w:rFonts w:hint="eastAsia" w:ascii="宋体" w:hAnsi="宋体" w:cs="宋体"/>
                <w:bCs/>
                <w:szCs w:val="21"/>
              </w:rPr>
              <w:t>保护</w:t>
            </w:r>
          </w:p>
          <w:p w14:paraId="71BDEFDF">
            <w:pPr>
              <w:pStyle w:val="14"/>
              <w:adjustRightInd w:val="0"/>
              <w:snapToGrid w:val="0"/>
              <w:spacing w:before="0" w:beforeAutospacing="0" w:after="0" w:afterAutospacing="0"/>
              <w:jc w:val="center"/>
              <w:rPr>
                <w:rFonts w:cs="宋体"/>
                <w:bCs/>
                <w:kern w:val="2"/>
                <w:sz w:val="21"/>
                <w:szCs w:val="21"/>
              </w:rPr>
            </w:pPr>
            <w:r>
              <w:rPr>
                <w:rFonts w:hint="eastAsia" w:cs="宋体"/>
                <w:bCs/>
                <w:kern w:val="2"/>
                <w:sz w:val="21"/>
                <w:szCs w:val="21"/>
              </w:rPr>
              <w:t>措施</w:t>
            </w:r>
          </w:p>
        </w:tc>
        <w:tc>
          <w:tcPr>
            <w:tcW w:w="13160" w:type="dxa"/>
            <w:vAlign w:val="center"/>
          </w:tcPr>
          <w:p w14:paraId="42FD2CDB">
            <w:pPr>
              <w:adjustRightInd w:val="0"/>
              <w:snapToGrid w:val="0"/>
              <w:spacing w:line="500" w:lineRule="exact"/>
              <w:rPr>
                <w:b/>
                <w:szCs w:val="21"/>
              </w:rPr>
            </w:pPr>
            <w:r>
              <w:rPr>
                <w:rFonts w:hint="eastAsia"/>
                <w:b/>
                <w:szCs w:val="21"/>
              </w:rPr>
              <w:t>二、废水</w:t>
            </w:r>
          </w:p>
          <w:p w14:paraId="727B839B">
            <w:pPr>
              <w:adjustRightInd w:val="0"/>
              <w:snapToGrid w:val="0"/>
              <w:spacing w:line="500" w:lineRule="exact"/>
              <w:jc w:val="center"/>
              <w:rPr>
                <w:b/>
                <w:szCs w:val="21"/>
              </w:rPr>
            </w:pPr>
            <w:r>
              <w:rPr>
                <w:b/>
                <w:szCs w:val="21"/>
              </w:rPr>
              <w:t>表</w:t>
            </w:r>
            <w:r>
              <w:rPr>
                <w:rFonts w:hint="eastAsia"/>
                <w:b/>
                <w:szCs w:val="21"/>
              </w:rPr>
              <w:t>4-1</w:t>
            </w:r>
            <w:r>
              <w:rPr>
                <w:rFonts w:hint="eastAsia"/>
                <w:b/>
                <w:szCs w:val="21"/>
                <w:lang w:val="en-US" w:eastAsia="zh-CN"/>
              </w:rPr>
              <w:t>2</w:t>
            </w:r>
            <w:r>
              <w:rPr>
                <w:rFonts w:hint="eastAsia"/>
                <w:b/>
                <w:szCs w:val="21"/>
              </w:rPr>
              <w:t xml:space="preserve"> </w:t>
            </w:r>
            <w:r>
              <w:rPr>
                <w:b/>
                <w:szCs w:val="21"/>
              </w:rPr>
              <w:t>项目废水污染物源强情况</w:t>
            </w:r>
          </w:p>
          <w:tbl>
            <w:tblPr>
              <w:tblStyle w:val="16"/>
              <w:tblW w:w="1297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6"/>
              <w:gridCol w:w="683"/>
              <w:gridCol w:w="773"/>
              <w:gridCol w:w="840"/>
              <w:gridCol w:w="963"/>
              <w:gridCol w:w="996"/>
              <w:gridCol w:w="869"/>
              <w:gridCol w:w="917"/>
              <w:gridCol w:w="749"/>
              <w:gridCol w:w="762"/>
              <w:gridCol w:w="645"/>
              <w:gridCol w:w="945"/>
              <w:gridCol w:w="1043"/>
              <w:gridCol w:w="625"/>
              <w:gridCol w:w="949"/>
              <w:gridCol w:w="540"/>
            </w:tblGrid>
            <w:tr w14:paraId="6CED43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76" w:type="dxa"/>
                  <w:vMerge w:val="restart"/>
                  <w:vAlign w:val="center"/>
                </w:tcPr>
                <w:p w14:paraId="607A7A37">
                  <w:pPr>
                    <w:jc w:val="center"/>
                    <w:textAlignment w:val="center"/>
                    <w:rPr>
                      <w:kern w:val="0"/>
                      <w:sz w:val="18"/>
                      <w:szCs w:val="18"/>
                      <w:lang w:bidi="ar"/>
                    </w:rPr>
                  </w:pPr>
                  <w:bookmarkStart w:id="4" w:name="OLE_LINK78" w:colFirst="15" w:colLast="17"/>
                  <w:bookmarkStart w:id="5" w:name="_Hlk109812299"/>
                  <w:bookmarkStart w:id="6" w:name="OLE_LINK77" w:colFirst="15" w:colLast="17"/>
                  <w:r>
                    <w:rPr>
                      <w:kern w:val="0"/>
                      <w:sz w:val="18"/>
                      <w:szCs w:val="18"/>
                      <w:lang w:bidi="ar"/>
                    </w:rPr>
                    <w:t>产排污环节</w:t>
                  </w:r>
                </w:p>
              </w:tc>
              <w:tc>
                <w:tcPr>
                  <w:tcW w:w="683" w:type="dxa"/>
                  <w:vMerge w:val="restart"/>
                  <w:vAlign w:val="center"/>
                </w:tcPr>
                <w:p w14:paraId="1B40DD4D">
                  <w:pPr>
                    <w:jc w:val="center"/>
                    <w:textAlignment w:val="center"/>
                    <w:rPr>
                      <w:kern w:val="0"/>
                      <w:sz w:val="18"/>
                      <w:szCs w:val="18"/>
                      <w:lang w:bidi="ar"/>
                    </w:rPr>
                  </w:pPr>
                  <w:r>
                    <w:rPr>
                      <w:kern w:val="0"/>
                      <w:sz w:val="18"/>
                      <w:szCs w:val="18"/>
                      <w:lang w:bidi="ar"/>
                    </w:rPr>
                    <w:t>类别</w:t>
                  </w:r>
                </w:p>
              </w:tc>
              <w:tc>
                <w:tcPr>
                  <w:tcW w:w="773" w:type="dxa"/>
                  <w:vMerge w:val="restart"/>
                  <w:vAlign w:val="center"/>
                </w:tcPr>
                <w:p w14:paraId="735AF984">
                  <w:pPr>
                    <w:jc w:val="center"/>
                    <w:textAlignment w:val="center"/>
                    <w:rPr>
                      <w:kern w:val="0"/>
                      <w:sz w:val="18"/>
                      <w:szCs w:val="18"/>
                      <w:lang w:bidi="ar"/>
                    </w:rPr>
                  </w:pPr>
                  <w:r>
                    <w:rPr>
                      <w:kern w:val="0"/>
                      <w:sz w:val="18"/>
                      <w:szCs w:val="18"/>
                      <w:lang w:bidi="ar"/>
                    </w:rPr>
                    <w:t>废水</w:t>
                  </w:r>
                </w:p>
                <w:p w14:paraId="78E679C8">
                  <w:pPr>
                    <w:jc w:val="center"/>
                    <w:textAlignment w:val="center"/>
                    <w:rPr>
                      <w:kern w:val="0"/>
                      <w:sz w:val="18"/>
                      <w:szCs w:val="18"/>
                      <w:lang w:bidi="ar"/>
                    </w:rPr>
                  </w:pPr>
                  <w:r>
                    <w:rPr>
                      <w:kern w:val="0"/>
                      <w:sz w:val="18"/>
                      <w:szCs w:val="18"/>
                      <w:lang w:bidi="ar"/>
                    </w:rPr>
                    <w:t>产生量</w:t>
                  </w:r>
                </w:p>
                <w:p w14:paraId="5A958AE0">
                  <w:pPr>
                    <w:jc w:val="center"/>
                    <w:textAlignment w:val="center"/>
                    <w:rPr>
                      <w:kern w:val="0"/>
                      <w:sz w:val="18"/>
                      <w:szCs w:val="18"/>
                      <w:lang w:bidi="ar"/>
                    </w:rPr>
                  </w:pPr>
                  <w:r>
                    <w:rPr>
                      <w:kern w:val="0"/>
                      <w:sz w:val="18"/>
                      <w:szCs w:val="18"/>
                      <w:lang w:bidi="ar"/>
                    </w:rPr>
                    <w:t>（t/a）</w:t>
                  </w:r>
                </w:p>
              </w:tc>
              <w:tc>
                <w:tcPr>
                  <w:tcW w:w="840" w:type="dxa"/>
                  <w:vMerge w:val="restart"/>
                  <w:vAlign w:val="center"/>
                </w:tcPr>
                <w:p w14:paraId="7A0100B6">
                  <w:pPr>
                    <w:jc w:val="center"/>
                    <w:textAlignment w:val="center"/>
                    <w:rPr>
                      <w:kern w:val="0"/>
                      <w:sz w:val="18"/>
                      <w:szCs w:val="18"/>
                      <w:lang w:bidi="ar"/>
                    </w:rPr>
                  </w:pPr>
                  <w:r>
                    <w:rPr>
                      <w:kern w:val="0"/>
                      <w:sz w:val="18"/>
                      <w:szCs w:val="18"/>
                      <w:lang w:bidi="ar"/>
                    </w:rPr>
                    <w:t>污染物种类</w:t>
                  </w:r>
                </w:p>
              </w:tc>
              <w:tc>
                <w:tcPr>
                  <w:tcW w:w="1959" w:type="dxa"/>
                  <w:gridSpan w:val="2"/>
                  <w:vAlign w:val="center"/>
                </w:tcPr>
                <w:p w14:paraId="767DF602">
                  <w:pPr>
                    <w:jc w:val="center"/>
                    <w:textAlignment w:val="center"/>
                    <w:rPr>
                      <w:kern w:val="0"/>
                      <w:sz w:val="18"/>
                      <w:szCs w:val="18"/>
                      <w:lang w:bidi="ar"/>
                    </w:rPr>
                  </w:pPr>
                  <w:r>
                    <w:rPr>
                      <w:kern w:val="0"/>
                      <w:sz w:val="18"/>
                      <w:szCs w:val="18"/>
                      <w:lang w:bidi="ar"/>
                    </w:rPr>
                    <w:t>污染物产生情况</w:t>
                  </w:r>
                </w:p>
              </w:tc>
              <w:tc>
                <w:tcPr>
                  <w:tcW w:w="1786" w:type="dxa"/>
                  <w:gridSpan w:val="2"/>
                  <w:vAlign w:val="center"/>
                </w:tcPr>
                <w:p w14:paraId="0453F059">
                  <w:pPr>
                    <w:jc w:val="center"/>
                    <w:textAlignment w:val="center"/>
                    <w:rPr>
                      <w:kern w:val="0"/>
                      <w:sz w:val="18"/>
                      <w:szCs w:val="18"/>
                      <w:lang w:bidi="ar"/>
                    </w:rPr>
                  </w:pPr>
                  <w:r>
                    <w:rPr>
                      <w:kern w:val="0"/>
                      <w:sz w:val="18"/>
                      <w:szCs w:val="18"/>
                      <w:lang w:bidi="ar"/>
                    </w:rPr>
                    <w:t>污染物排放情况</w:t>
                  </w:r>
                </w:p>
              </w:tc>
              <w:tc>
                <w:tcPr>
                  <w:tcW w:w="4144" w:type="dxa"/>
                  <w:gridSpan w:val="5"/>
                  <w:vAlign w:val="center"/>
                </w:tcPr>
                <w:p w14:paraId="0FF31BB9">
                  <w:pPr>
                    <w:jc w:val="center"/>
                    <w:textAlignment w:val="center"/>
                    <w:rPr>
                      <w:kern w:val="0"/>
                      <w:sz w:val="18"/>
                      <w:szCs w:val="18"/>
                      <w:lang w:bidi="ar"/>
                    </w:rPr>
                  </w:pPr>
                  <w:r>
                    <w:rPr>
                      <w:kern w:val="0"/>
                      <w:sz w:val="18"/>
                      <w:szCs w:val="18"/>
                      <w:lang w:bidi="ar"/>
                    </w:rPr>
                    <w:t>治理设施情况</w:t>
                  </w:r>
                </w:p>
              </w:tc>
              <w:tc>
                <w:tcPr>
                  <w:tcW w:w="625" w:type="dxa"/>
                  <w:vMerge w:val="restart"/>
                  <w:vAlign w:val="center"/>
                </w:tcPr>
                <w:p w14:paraId="4660E344">
                  <w:pPr>
                    <w:jc w:val="center"/>
                    <w:textAlignment w:val="center"/>
                    <w:rPr>
                      <w:kern w:val="0"/>
                      <w:sz w:val="18"/>
                      <w:szCs w:val="18"/>
                      <w:lang w:bidi="ar"/>
                    </w:rPr>
                  </w:pPr>
                  <w:r>
                    <w:rPr>
                      <w:kern w:val="0"/>
                      <w:sz w:val="18"/>
                      <w:szCs w:val="18"/>
                      <w:lang w:bidi="ar"/>
                    </w:rPr>
                    <w:t>排放</w:t>
                  </w:r>
                </w:p>
                <w:p w14:paraId="2B4D7C04">
                  <w:pPr>
                    <w:jc w:val="center"/>
                    <w:textAlignment w:val="center"/>
                    <w:rPr>
                      <w:kern w:val="0"/>
                      <w:sz w:val="18"/>
                      <w:szCs w:val="18"/>
                      <w:lang w:bidi="ar"/>
                    </w:rPr>
                  </w:pPr>
                  <w:r>
                    <w:rPr>
                      <w:kern w:val="0"/>
                      <w:sz w:val="18"/>
                      <w:szCs w:val="18"/>
                      <w:lang w:bidi="ar"/>
                    </w:rPr>
                    <w:t>方式</w:t>
                  </w:r>
                </w:p>
              </w:tc>
              <w:tc>
                <w:tcPr>
                  <w:tcW w:w="949" w:type="dxa"/>
                  <w:vMerge w:val="restart"/>
                  <w:vAlign w:val="center"/>
                </w:tcPr>
                <w:p w14:paraId="4B2204FB">
                  <w:pPr>
                    <w:jc w:val="center"/>
                    <w:textAlignment w:val="center"/>
                    <w:rPr>
                      <w:kern w:val="0"/>
                      <w:sz w:val="18"/>
                      <w:szCs w:val="18"/>
                      <w:lang w:bidi="ar"/>
                    </w:rPr>
                  </w:pPr>
                  <w:r>
                    <w:rPr>
                      <w:kern w:val="0"/>
                      <w:sz w:val="18"/>
                      <w:szCs w:val="18"/>
                      <w:lang w:bidi="ar"/>
                    </w:rPr>
                    <w:t>排放</w:t>
                  </w:r>
                </w:p>
                <w:p w14:paraId="227CF596">
                  <w:pPr>
                    <w:jc w:val="center"/>
                    <w:textAlignment w:val="center"/>
                    <w:rPr>
                      <w:kern w:val="0"/>
                      <w:sz w:val="18"/>
                      <w:szCs w:val="18"/>
                      <w:lang w:bidi="ar"/>
                    </w:rPr>
                  </w:pPr>
                  <w:r>
                    <w:rPr>
                      <w:kern w:val="0"/>
                      <w:sz w:val="18"/>
                      <w:szCs w:val="18"/>
                      <w:lang w:bidi="ar"/>
                    </w:rPr>
                    <w:t>去向</w:t>
                  </w:r>
                </w:p>
              </w:tc>
              <w:tc>
                <w:tcPr>
                  <w:tcW w:w="540" w:type="dxa"/>
                  <w:vMerge w:val="restart"/>
                  <w:vAlign w:val="center"/>
                </w:tcPr>
                <w:p w14:paraId="5F606CE9">
                  <w:pPr>
                    <w:jc w:val="center"/>
                    <w:textAlignment w:val="center"/>
                    <w:rPr>
                      <w:kern w:val="0"/>
                      <w:sz w:val="18"/>
                      <w:szCs w:val="18"/>
                      <w:lang w:bidi="ar"/>
                    </w:rPr>
                  </w:pPr>
                  <w:r>
                    <w:rPr>
                      <w:kern w:val="0"/>
                      <w:sz w:val="18"/>
                      <w:szCs w:val="18"/>
                      <w:lang w:bidi="ar"/>
                    </w:rPr>
                    <w:t>排放</w:t>
                  </w:r>
                </w:p>
                <w:p w14:paraId="318455AA">
                  <w:pPr>
                    <w:jc w:val="center"/>
                    <w:textAlignment w:val="center"/>
                    <w:rPr>
                      <w:kern w:val="0"/>
                      <w:sz w:val="18"/>
                      <w:szCs w:val="18"/>
                      <w:lang w:bidi="ar"/>
                    </w:rPr>
                  </w:pPr>
                  <w:r>
                    <w:rPr>
                      <w:kern w:val="0"/>
                      <w:sz w:val="18"/>
                      <w:szCs w:val="18"/>
                      <w:lang w:bidi="ar"/>
                    </w:rPr>
                    <w:t>规律</w:t>
                  </w:r>
                </w:p>
              </w:tc>
            </w:tr>
            <w:bookmarkEnd w:id="4"/>
            <w:bookmarkEnd w:id="5"/>
            <w:bookmarkEnd w:id="6"/>
            <w:tr w14:paraId="2B37A7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76" w:type="dxa"/>
                  <w:vMerge w:val="continue"/>
                  <w:vAlign w:val="center"/>
                </w:tcPr>
                <w:p w14:paraId="3A1437EB">
                  <w:pPr>
                    <w:jc w:val="center"/>
                    <w:textAlignment w:val="center"/>
                    <w:rPr>
                      <w:kern w:val="0"/>
                      <w:sz w:val="18"/>
                      <w:szCs w:val="18"/>
                      <w:lang w:bidi="ar"/>
                    </w:rPr>
                  </w:pPr>
                </w:p>
              </w:tc>
              <w:tc>
                <w:tcPr>
                  <w:tcW w:w="683" w:type="dxa"/>
                  <w:vMerge w:val="continue"/>
                  <w:vAlign w:val="center"/>
                </w:tcPr>
                <w:p w14:paraId="34D27AF0">
                  <w:pPr>
                    <w:jc w:val="center"/>
                    <w:textAlignment w:val="center"/>
                    <w:rPr>
                      <w:kern w:val="0"/>
                      <w:sz w:val="18"/>
                      <w:szCs w:val="18"/>
                      <w:lang w:bidi="ar"/>
                    </w:rPr>
                  </w:pPr>
                </w:p>
              </w:tc>
              <w:tc>
                <w:tcPr>
                  <w:tcW w:w="773" w:type="dxa"/>
                  <w:vMerge w:val="continue"/>
                  <w:vAlign w:val="center"/>
                </w:tcPr>
                <w:p w14:paraId="21296C6D">
                  <w:pPr>
                    <w:jc w:val="center"/>
                    <w:textAlignment w:val="center"/>
                    <w:rPr>
                      <w:kern w:val="0"/>
                      <w:sz w:val="18"/>
                      <w:szCs w:val="18"/>
                      <w:lang w:bidi="ar"/>
                    </w:rPr>
                  </w:pPr>
                </w:p>
              </w:tc>
              <w:tc>
                <w:tcPr>
                  <w:tcW w:w="840" w:type="dxa"/>
                  <w:vMerge w:val="continue"/>
                  <w:vAlign w:val="center"/>
                </w:tcPr>
                <w:p w14:paraId="53EACE29">
                  <w:pPr>
                    <w:jc w:val="center"/>
                    <w:textAlignment w:val="center"/>
                    <w:rPr>
                      <w:kern w:val="0"/>
                      <w:sz w:val="18"/>
                      <w:szCs w:val="18"/>
                      <w:lang w:bidi="ar"/>
                    </w:rPr>
                  </w:pPr>
                </w:p>
              </w:tc>
              <w:tc>
                <w:tcPr>
                  <w:tcW w:w="963" w:type="dxa"/>
                  <w:vAlign w:val="center"/>
                </w:tcPr>
                <w:p w14:paraId="2C6E7A48">
                  <w:pPr>
                    <w:jc w:val="center"/>
                    <w:textAlignment w:val="center"/>
                    <w:rPr>
                      <w:kern w:val="0"/>
                      <w:sz w:val="18"/>
                      <w:szCs w:val="18"/>
                      <w:lang w:bidi="ar"/>
                    </w:rPr>
                  </w:pPr>
                  <w:r>
                    <w:rPr>
                      <w:kern w:val="0"/>
                      <w:sz w:val="18"/>
                      <w:szCs w:val="18"/>
                      <w:lang w:bidi="ar"/>
                    </w:rPr>
                    <w:t>产生浓度</w:t>
                  </w:r>
                </w:p>
                <w:p w14:paraId="43FAE268">
                  <w:pPr>
                    <w:jc w:val="center"/>
                    <w:textAlignment w:val="center"/>
                    <w:rPr>
                      <w:kern w:val="0"/>
                      <w:sz w:val="18"/>
                      <w:szCs w:val="18"/>
                      <w:lang w:bidi="ar"/>
                    </w:rPr>
                  </w:pPr>
                  <w:r>
                    <w:rPr>
                      <w:kern w:val="0"/>
                      <w:sz w:val="18"/>
                      <w:szCs w:val="18"/>
                      <w:lang w:bidi="ar"/>
                    </w:rPr>
                    <w:t>mg/L</w:t>
                  </w:r>
                </w:p>
              </w:tc>
              <w:tc>
                <w:tcPr>
                  <w:tcW w:w="996" w:type="dxa"/>
                  <w:vAlign w:val="center"/>
                </w:tcPr>
                <w:p w14:paraId="4BF7BC70">
                  <w:pPr>
                    <w:jc w:val="center"/>
                    <w:textAlignment w:val="center"/>
                    <w:rPr>
                      <w:kern w:val="0"/>
                      <w:sz w:val="18"/>
                      <w:szCs w:val="18"/>
                      <w:lang w:bidi="ar"/>
                    </w:rPr>
                  </w:pPr>
                  <w:r>
                    <w:rPr>
                      <w:kern w:val="0"/>
                      <w:sz w:val="18"/>
                      <w:szCs w:val="18"/>
                      <w:lang w:bidi="ar"/>
                    </w:rPr>
                    <w:t>产生量</w:t>
                  </w:r>
                </w:p>
                <w:p w14:paraId="2D445C1E">
                  <w:pPr>
                    <w:jc w:val="center"/>
                    <w:textAlignment w:val="center"/>
                    <w:rPr>
                      <w:kern w:val="0"/>
                      <w:sz w:val="18"/>
                      <w:szCs w:val="18"/>
                      <w:lang w:bidi="ar"/>
                    </w:rPr>
                  </w:pPr>
                  <w:r>
                    <w:rPr>
                      <w:kern w:val="0"/>
                      <w:sz w:val="18"/>
                      <w:szCs w:val="18"/>
                      <w:lang w:bidi="ar"/>
                    </w:rPr>
                    <w:t>（t/a）</w:t>
                  </w:r>
                </w:p>
              </w:tc>
              <w:tc>
                <w:tcPr>
                  <w:tcW w:w="869" w:type="dxa"/>
                  <w:vAlign w:val="center"/>
                </w:tcPr>
                <w:p w14:paraId="43EF5451">
                  <w:pPr>
                    <w:jc w:val="center"/>
                    <w:textAlignment w:val="center"/>
                    <w:rPr>
                      <w:kern w:val="0"/>
                      <w:sz w:val="18"/>
                      <w:szCs w:val="18"/>
                      <w:lang w:bidi="ar"/>
                    </w:rPr>
                  </w:pPr>
                  <w:r>
                    <w:rPr>
                      <w:kern w:val="0"/>
                      <w:sz w:val="18"/>
                      <w:szCs w:val="18"/>
                      <w:lang w:bidi="ar"/>
                    </w:rPr>
                    <w:t>排放浓度mg/L</w:t>
                  </w:r>
                </w:p>
              </w:tc>
              <w:tc>
                <w:tcPr>
                  <w:tcW w:w="917" w:type="dxa"/>
                  <w:vAlign w:val="center"/>
                </w:tcPr>
                <w:p w14:paraId="00960D6E">
                  <w:pPr>
                    <w:jc w:val="center"/>
                    <w:textAlignment w:val="center"/>
                    <w:rPr>
                      <w:kern w:val="0"/>
                      <w:sz w:val="18"/>
                      <w:szCs w:val="18"/>
                      <w:lang w:bidi="ar"/>
                    </w:rPr>
                  </w:pPr>
                  <w:r>
                    <w:rPr>
                      <w:kern w:val="0"/>
                      <w:sz w:val="18"/>
                      <w:szCs w:val="18"/>
                      <w:lang w:bidi="ar"/>
                    </w:rPr>
                    <w:t>排放量（t/a）</w:t>
                  </w:r>
                </w:p>
              </w:tc>
              <w:tc>
                <w:tcPr>
                  <w:tcW w:w="749" w:type="dxa"/>
                  <w:vAlign w:val="center"/>
                </w:tcPr>
                <w:p w14:paraId="7E423AAD">
                  <w:pPr>
                    <w:jc w:val="center"/>
                    <w:textAlignment w:val="center"/>
                    <w:rPr>
                      <w:kern w:val="0"/>
                      <w:sz w:val="18"/>
                      <w:szCs w:val="18"/>
                      <w:lang w:bidi="ar"/>
                    </w:rPr>
                  </w:pPr>
                  <w:r>
                    <w:rPr>
                      <w:kern w:val="0"/>
                      <w:sz w:val="18"/>
                      <w:szCs w:val="18"/>
                      <w:lang w:bidi="ar"/>
                    </w:rPr>
                    <w:t>治理</w:t>
                  </w:r>
                </w:p>
                <w:p w14:paraId="68BB3251">
                  <w:pPr>
                    <w:jc w:val="center"/>
                    <w:textAlignment w:val="center"/>
                    <w:rPr>
                      <w:kern w:val="0"/>
                      <w:sz w:val="18"/>
                      <w:szCs w:val="18"/>
                      <w:lang w:bidi="ar"/>
                    </w:rPr>
                  </w:pPr>
                  <w:r>
                    <w:rPr>
                      <w:kern w:val="0"/>
                      <w:sz w:val="18"/>
                      <w:szCs w:val="18"/>
                      <w:lang w:bidi="ar"/>
                    </w:rPr>
                    <w:t>设施</w:t>
                  </w:r>
                </w:p>
              </w:tc>
              <w:tc>
                <w:tcPr>
                  <w:tcW w:w="762" w:type="dxa"/>
                  <w:vAlign w:val="center"/>
                </w:tcPr>
                <w:p w14:paraId="49CD86B1">
                  <w:pPr>
                    <w:jc w:val="center"/>
                    <w:textAlignment w:val="center"/>
                    <w:rPr>
                      <w:kern w:val="0"/>
                      <w:sz w:val="18"/>
                      <w:szCs w:val="18"/>
                      <w:lang w:bidi="ar"/>
                    </w:rPr>
                  </w:pPr>
                  <w:r>
                    <w:rPr>
                      <w:kern w:val="0"/>
                      <w:sz w:val="18"/>
                      <w:szCs w:val="18"/>
                      <w:lang w:bidi="ar"/>
                    </w:rPr>
                    <w:t>处理</w:t>
                  </w:r>
                </w:p>
                <w:p w14:paraId="75761672">
                  <w:pPr>
                    <w:jc w:val="center"/>
                    <w:textAlignment w:val="center"/>
                    <w:rPr>
                      <w:kern w:val="0"/>
                      <w:sz w:val="18"/>
                      <w:szCs w:val="18"/>
                      <w:lang w:bidi="ar"/>
                    </w:rPr>
                  </w:pPr>
                  <w:r>
                    <w:rPr>
                      <w:kern w:val="0"/>
                      <w:sz w:val="18"/>
                      <w:szCs w:val="18"/>
                      <w:lang w:bidi="ar"/>
                    </w:rPr>
                    <w:t>能力</w:t>
                  </w:r>
                </w:p>
              </w:tc>
              <w:tc>
                <w:tcPr>
                  <w:tcW w:w="645" w:type="dxa"/>
                  <w:vAlign w:val="center"/>
                </w:tcPr>
                <w:p w14:paraId="067D34DA">
                  <w:pPr>
                    <w:jc w:val="center"/>
                    <w:textAlignment w:val="center"/>
                    <w:rPr>
                      <w:kern w:val="0"/>
                      <w:sz w:val="18"/>
                      <w:szCs w:val="18"/>
                      <w:lang w:bidi="ar"/>
                    </w:rPr>
                  </w:pPr>
                  <w:r>
                    <w:rPr>
                      <w:kern w:val="0"/>
                      <w:sz w:val="18"/>
                      <w:szCs w:val="18"/>
                      <w:lang w:bidi="ar"/>
                    </w:rPr>
                    <w:t>治理</w:t>
                  </w:r>
                </w:p>
                <w:p w14:paraId="7B9E408C">
                  <w:pPr>
                    <w:jc w:val="center"/>
                    <w:textAlignment w:val="center"/>
                    <w:rPr>
                      <w:kern w:val="0"/>
                      <w:sz w:val="18"/>
                      <w:szCs w:val="18"/>
                      <w:lang w:bidi="ar"/>
                    </w:rPr>
                  </w:pPr>
                  <w:r>
                    <w:rPr>
                      <w:kern w:val="0"/>
                      <w:sz w:val="18"/>
                      <w:szCs w:val="18"/>
                      <w:lang w:bidi="ar"/>
                    </w:rPr>
                    <w:t>工艺</w:t>
                  </w:r>
                </w:p>
              </w:tc>
              <w:tc>
                <w:tcPr>
                  <w:tcW w:w="945" w:type="dxa"/>
                  <w:vAlign w:val="center"/>
                </w:tcPr>
                <w:p w14:paraId="171C4172">
                  <w:pPr>
                    <w:jc w:val="center"/>
                    <w:textAlignment w:val="center"/>
                    <w:rPr>
                      <w:kern w:val="0"/>
                      <w:sz w:val="18"/>
                      <w:szCs w:val="18"/>
                      <w:lang w:bidi="ar"/>
                    </w:rPr>
                  </w:pPr>
                  <w:r>
                    <w:rPr>
                      <w:kern w:val="0"/>
                      <w:sz w:val="18"/>
                      <w:szCs w:val="18"/>
                      <w:lang w:bidi="ar"/>
                    </w:rPr>
                    <w:t>治理效率</w:t>
                  </w:r>
                </w:p>
                <w:p w14:paraId="38EC6444">
                  <w:pPr>
                    <w:jc w:val="center"/>
                    <w:textAlignment w:val="center"/>
                    <w:rPr>
                      <w:kern w:val="0"/>
                      <w:sz w:val="18"/>
                      <w:szCs w:val="18"/>
                      <w:lang w:bidi="ar"/>
                    </w:rPr>
                  </w:pPr>
                  <w:r>
                    <w:rPr>
                      <w:kern w:val="0"/>
                      <w:sz w:val="18"/>
                      <w:szCs w:val="18"/>
                      <w:lang w:bidi="ar"/>
                    </w:rPr>
                    <w:t>（%）</w:t>
                  </w:r>
                </w:p>
              </w:tc>
              <w:tc>
                <w:tcPr>
                  <w:tcW w:w="1043" w:type="dxa"/>
                  <w:vAlign w:val="center"/>
                </w:tcPr>
                <w:p w14:paraId="2FB3B90C">
                  <w:pPr>
                    <w:jc w:val="center"/>
                    <w:textAlignment w:val="center"/>
                    <w:rPr>
                      <w:kern w:val="0"/>
                      <w:sz w:val="18"/>
                      <w:szCs w:val="18"/>
                      <w:lang w:bidi="ar"/>
                    </w:rPr>
                  </w:pPr>
                  <w:r>
                    <w:rPr>
                      <w:kern w:val="0"/>
                      <w:sz w:val="18"/>
                      <w:szCs w:val="18"/>
                      <w:lang w:bidi="ar"/>
                    </w:rPr>
                    <w:t>是否为可行技术</w:t>
                  </w:r>
                </w:p>
              </w:tc>
              <w:tc>
                <w:tcPr>
                  <w:tcW w:w="625" w:type="dxa"/>
                  <w:vMerge w:val="continue"/>
                  <w:vAlign w:val="center"/>
                </w:tcPr>
                <w:p w14:paraId="29A0A218">
                  <w:pPr>
                    <w:jc w:val="center"/>
                    <w:textAlignment w:val="center"/>
                    <w:rPr>
                      <w:kern w:val="0"/>
                      <w:sz w:val="18"/>
                      <w:szCs w:val="18"/>
                      <w:lang w:bidi="ar"/>
                    </w:rPr>
                  </w:pPr>
                </w:p>
              </w:tc>
              <w:tc>
                <w:tcPr>
                  <w:tcW w:w="949" w:type="dxa"/>
                  <w:vMerge w:val="continue"/>
                  <w:vAlign w:val="center"/>
                </w:tcPr>
                <w:p w14:paraId="47B7B596">
                  <w:pPr>
                    <w:jc w:val="center"/>
                    <w:textAlignment w:val="center"/>
                    <w:rPr>
                      <w:kern w:val="0"/>
                      <w:sz w:val="18"/>
                      <w:szCs w:val="18"/>
                      <w:lang w:bidi="ar"/>
                    </w:rPr>
                  </w:pPr>
                </w:p>
              </w:tc>
              <w:tc>
                <w:tcPr>
                  <w:tcW w:w="540" w:type="dxa"/>
                  <w:vMerge w:val="continue"/>
                  <w:vAlign w:val="center"/>
                </w:tcPr>
                <w:p w14:paraId="6A631A77">
                  <w:pPr>
                    <w:jc w:val="center"/>
                    <w:textAlignment w:val="center"/>
                    <w:rPr>
                      <w:kern w:val="0"/>
                      <w:sz w:val="18"/>
                      <w:szCs w:val="18"/>
                      <w:lang w:bidi="ar"/>
                    </w:rPr>
                  </w:pPr>
                </w:p>
              </w:tc>
            </w:tr>
            <w:tr w14:paraId="368AE4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76" w:type="dxa"/>
                  <w:vMerge w:val="restart"/>
                  <w:vAlign w:val="center"/>
                </w:tcPr>
                <w:p w14:paraId="6479FCB5">
                  <w:pPr>
                    <w:jc w:val="center"/>
                    <w:textAlignment w:val="center"/>
                    <w:rPr>
                      <w:kern w:val="0"/>
                      <w:sz w:val="18"/>
                      <w:szCs w:val="18"/>
                      <w:lang w:bidi="ar"/>
                    </w:rPr>
                  </w:pPr>
                  <w:bookmarkStart w:id="7" w:name="OLE_LINK1" w:colFirst="3" w:colLast="3"/>
                  <w:r>
                    <w:rPr>
                      <w:kern w:val="0"/>
                      <w:sz w:val="18"/>
                      <w:szCs w:val="18"/>
                      <w:lang w:bidi="ar"/>
                    </w:rPr>
                    <w:t>职工生活</w:t>
                  </w:r>
                </w:p>
              </w:tc>
              <w:tc>
                <w:tcPr>
                  <w:tcW w:w="683" w:type="dxa"/>
                  <w:vMerge w:val="restart"/>
                  <w:vAlign w:val="center"/>
                </w:tcPr>
                <w:p w14:paraId="316F4DB3">
                  <w:pPr>
                    <w:jc w:val="center"/>
                    <w:textAlignment w:val="center"/>
                    <w:rPr>
                      <w:kern w:val="0"/>
                      <w:sz w:val="18"/>
                      <w:szCs w:val="18"/>
                      <w:lang w:bidi="ar"/>
                    </w:rPr>
                  </w:pPr>
                  <w:r>
                    <w:rPr>
                      <w:kern w:val="0"/>
                      <w:sz w:val="18"/>
                      <w:szCs w:val="18"/>
                      <w:lang w:bidi="ar"/>
                    </w:rPr>
                    <w:t>生活污水</w:t>
                  </w:r>
                </w:p>
              </w:tc>
              <w:tc>
                <w:tcPr>
                  <w:tcW w:w="773" w:type="dxa"/>
                  <w:vMerge w:val="restart"/>
                  <w:vAlign w:val="center"/>
                </w:tcPr>
                <w:p w14:paraId="14BED088">
                  <w:pPr>
                    <w:jc w:val="center"/>
                    <w:textAlignment w:val="center"/>
                    <w:rPr>
                      <w:rFonts w:hint="default" w:eastAsia="宋体"/>
                      <w:kern w:val="0"/>
                      <w:sz w:val="18"/>
                      <w:szCs w:val="18"/>
                      <w:lang w:val="en-US" w:eastAsia="zh-CN" w:bidi="ar"/>
                    </w:rPr>
                  </w:pPr>
                  <w:r>
                    <w:rPr>
                      <w:rFonts w:hint="eastAsia"/>
                      <w:kern w:val="0"/>
                      <w:sz w:val="18"/>
                      <w:szCs w:val="18"/>
                      <w:lang w:val="en-US" w:eastAsia="zh-CN" w:bidi="ar"/>
                    </w:rPr>
                    <w:t>240</w:t>
                  </w:r>
                </w:p>
              </w:tc>
              <w:tc>
                <w:tcPr>
                  <w:tcW w:w="840" w:type="dxa"/>
                  <w:vAlign w:val="center"/>
                </w:tcPr>
                <w:p w14:paraId="32ACB1B3">
                  <w:pPr>
                    <w:jc w:val="center"/>
                    <w:rPr>
                      <w:kern w:val="0"/>
                      <w:sz w:val="18"/>
                      <w:szCs w:val="18"/>
                      <w:lang w:bidi="ar"/>
                    </w:rPr>
                  </w:pPr>
                  <w:r>
                    <w:rPr>
                      <w:sz w:val="18"/>
                      <w:szCs w:val="18"/>
                    </w:rPr>
                    <w:t>COD</w:t>
                  </w:r>
                </w:p>
              </w:tc>
              <w:tc>
                <w:tcPr>
                  <w:tcW w:w="963" w:type="dxa"/>
                  <w:vAlign w:val="center"/>
                </w:tcPr>
                <w:p w14:paraId="10FEA1DE">
                  <w:pPr>
                    <w:jc w:val="center"/>
                    <w:textAlignment w:val="center"/>
                    <w:rPr>
                      <w:kern w:val="0"/>
                      <w:sz w:val="18"/>
                      <w:szCs w:val="18"/>
                      <w:lang w:bidi="ar"/>
                    </w:rPr>
                  </w:pPr>
                  <w:r>
                    <w:rPr>
                      <w:kern w:val="0"/>
                      <w:sz w:val="18"/>
                      <w:szCs w:val="18"/>
                      <w:lang w:bidi="ar"/>
                    </w:rPr>
                    <w:t>350</w:t>
                  </w:r>
                </w:p>
              </w:tc>
              <w:tc>
                <w:tcPr>
                  <w:tcW w:w="996" w:type="dxa"/>
                  <w:vAlign w:val="center"/>
                </w:tcPr>
                <w:p w14:paraId="76A8B133">
                  <w:pPr>
                    <w:jc w:val="center"/>
                    <w:textAlignment w:val="center"/>
                    <w:rPr>
                      <w:rFonts w:hint="default" w:ascii="Times New Roman" w:hAnsi="Times New Roman" w:eastAsia="宋体" w:cs="Times New Roman"/>
                      <w:sz w:val="18"/>
                      <w:szCs w:val="18"/>
                      <w:lang w:val="en-US"/>
                    </w:rPr>
                  </w:pPr>
                  <w:r>
                    <w:rPr>
                      <w:rFonts w:hint="eastAsia" w:ascii="Times New Roman" w:hAnsi="Times New Roman" w:eastAsia="宋体" w:cs="Times New Roman"/>
                      <w:sz w:val="18"/>
                      <w:szCs w:val="18"/>
                      <w:lang w:val="en-US" w:eastAsia="zh-CN"/>
                    </w:rPr>
                    <w:t>0.084</w:t>
                  </w:r>
                </w:p>
              </w:tc>
              <w:tc>
                <w:tcPr>
                  <w:tcW w:w="869" w:type="dxa"/>
                  <w:vAlign w:val="center"/>
                </w:tcPr>
                <w:p w14:paraId="05E3311C">
                  <w:pPr>
                    <w:jc w:val="center"/>
                    <w:textAlignment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w:t>
                  </w:r>
                </w:p>
              </w:tc>
              <w:tc>
                <w:tcPr>
                  <w:tcW w:w="917" w:type="dxa"/>
                  <w:vAlign w:val="center"/>
                </w:tcPr>
                <w:p w14:paraId="2F465262">
                  <w:pPr>
                    <w:jc w:val="center"/>
                    <w:textAlignment w:val="center"/>
                    <w:rPr>
                      <w:rFonts w:hint="default" w:ascii="Times New Roman" w:hAnsi="Times New Roman" w:eastAsia="宋体" w:cs="Times New Roman"/>
                      <w:sz w:val="18"/>
                      <w:szCs w:val="18"/>
                      <w:lang w:val="en-US"/>
                    </w:rPr>
                  </w:pPr>
                  <w:r>
                    <w:rPr>
                      <w:rFonts w:hint="eastAsia" w:ascii="Times New Roman" w:hAnsi="Times New Roman" w:eastAsia="宋体" w:cs="Times New Roman"/>
                      <w:sz w:val="18"/>
                      <w:szCs w:val="18"/>
                      <w:lang w:val="en-US" w:eastAsia="zh-CN"/>
                    </w:rPr>
                    <w:t>0.072</w:t>
                  </w:r>
                </w:p>
              </w:tc>
              <w:tc>
                <w:tcPr>
                  <w:tcW w:w="749" w:type="dxa"/>
                  <w:vMerge w:val="restart"/>
                  <w:vAlign w:val="center"/>
                </w:tcPr>
                <w:p w14:paraId="0CDED52F">
                  <w:pPr>
                    <w:jc w:val="center"/>
                    <w:textAlignment w:val="center"/>
                    <w:rPr>
                      <w:kern w:val="0"/>
                      <w:sz w:val="18"/>
                      <w:szCs w:val="18"/>
                      <w:lang w:bidi="ar"/>
                    </w:rPr>
                  </w:pPr>
                  <w:r>
                    <w:rPr>
                      <w:kern w:val="0"/>
                      <w:sz w:val="18"/>
                      <w:szCs w:val="18"/>
                      <w:lang w:bidi="ar"/>
                    </w:rPr>
                    <w:t>化粪池</w:t>
                  </w:r>
                </w:p>
              </w:tc>
              <w:tc>
                <w:tcPr>
                  <w:tcW w:w="762" w:type="dxa"/>
                  <w:vMerge w:val="restart"/>
                  <w:vAlign w:val="center"/>
                </w:tcPr>
                <w:p w14:paraId="295A087F">
                  <w:pPr>
                    <w:jc w:val="center"/>
                    <w:textAlignment w:val="center"/>
                    <w:rPr>
                      <w:kern w:val="0"/>
                      <w:sz w:val="18"/>
                      <w:szCs w:val="18"/>
                      <w:lang w:bidi="ar"/>
                    </w:rPr>
                  </w:pPr>
                  <w:r>
                    <w:rPr>
                      <w:kern w:val="0"/>
                      <w:sz w:val="18"/>
                      <w:szCs w:val="18"/>
                      <w:lang w:bidi="ar"/>
                    </w:rPr>
                    <w:t>5t/h</w:t>
                  </w:r>
                </w:p>
              </w:tc>
              <w:tc>
                <w:tcPr>
                  <w:tcW w:w="645" w:type="dxa"/>
                  <w:vMerge w:val="restart"/>
                  <w:vAlign w:val="center"/>
                </w:tcPr>
                <w:p w14:paraId="664858A3">
                  <w:pPr>
                    <w:jc w:val="center"/>
                    <w:textAlignment w:val="center"/>
                    <w:rPr>
                      <w:kern w:val="0"/>
                      <w:sz w:val="18"/>
                      <w:szCs w:val="18"/>
                      <w:lang w:bidi="ar"/>
                    </w:rPr>
                  </w:pPr>
                  <w:r>
                    <w:rPr>
                      <w:kern w:val="0"/>
                      <w:sz w:val="18"/>
                      <w:szCs w:val="18"/>
                      <w:lang w:bidi="ar"/>
                    </w:rPr>
                    <w:t>厌氧发酵</w:t>
                  </w:r>
                </w:p>
              </w:tc>
              <w:tc>
                <w:tcPr>
                  <w:tcW w:w="945" w:type="dxa"/>
                  <w:vAlign w:val="center"/>
                </w:tcPr>
                <w:p w14:paraId="1E8AE5B0">
                  <w:pPr>
                    <w:jc w:val="center"/>
                    <w:textAlignment w:val="center"/>
                    <w:rPr>
                      <w:kern w:val="0"/>
                      <w:sz w:val="18"/>
                      <w:szCs w:val="18"/>
                      <w:lang w:bidi="ar"/>
                    </w:rPr>
                  </w:pPr>
                  <w:r>
                    <w:rPr>
                      <w:kern w:val="0"/>
                      <w:sz w:val="18"/>
                      <w:szCs w:val="18"/>
                      <w:lang w:bidi="ar"/>
                    </w:rPr>
                    <w:t>14</w:t>
                  </w:r>
                </w:p>
              </w:tc>
              <w:tc>
                <w:tcPr>
                  <w:tcW w:w="1043" w:type="dxa"/>
                  <w:vMerge w:val="restart"/>
                  <w:vAlign w:val="center"/>
                </w:tcPr>
                <w:p w14:paraId="654844DB">
                  <w:pPr>
                    <w:jc w:val="center"/>
                    <w:textAlignment w:val="center"/>
                    <w:rPr>
                      <w:kern w:val="0"/>
                      <w:sz w:val="18"/>
                      <w:szCs w:val="18"/>
                      <w:lang w:bidi="ar"/>
                    </w:rPr>
                  </w:pPr>
                  <w:r>
                    <w:rPr>
                      <w:kern w:val="0"/>
                      <w:sz w:val="18"/>
                      <w:szCs w:val="18"/>
                      <w:lang w:bidi="ar"/>
                    </w:rPr>
                    <w:t>是</w:t>
                  </w:r>
                </w:p>
              </w:tc>
              <w:tc>
                <w:tcPr>
                  <w:tcW w:w="625" w:type="dxa"/>
                  <w:vMerge w:val="restart"/>
                  <w:vAlign w:val="center"/>
                </w:tcPr>
                <w:p w14:paraId="3A74E9AC">
                  <w:pPr>
                    <w:jc w:val="center"/>
                    <w:textAlignment w:val="center"/>
                    <w:rPr>
                      <w:kern w:val="0"/>
                      <w:sz w:val="18"/>
                      <w:szCs w:val="18"/>
                      <w:lang w:bidi="ar"/>
                    </w:rPr>
                  </w:pPr>
                  <w:r>
                    <w:rPr>
                      <w:kern w:val="0"/>
                      <w:sz w:val="18"/>
                      <w:szCs w:val="18"/>
                      <w:lang w:bidi="ar"/>
                    </w:rPr>
                    <w:t>间接排放</w:t>
                  </w:r>
                </w:p>
              </w:tc>
              <w:tc>
                <w:tcPr>
                  <w:tcW w:w="949" w:type="dxa"/>
                  <w:vMerge w:val="restart"/>
                  <w:vAlign w:val="center"/>
                </w:tcPr>
                <w:p w14:paraId="2DDFFA53">
                  <w:pPr>
                    <w:jc w:val="center"/>
                    <w:textAlignment w:val="center"/>
                    <w:rPr>
                      <w:rFonts w:hint="eastAsia" w:eastAsia="宋体"/>
                      <w:kern w:val="0"/>
                      <w:sz w:val="18"/>
                      <w:szCs w:val="18"/>
                      <w:lang w:eastAsia="zh-CN" w:bidi="ar"/>
                    </w:rPr>
                  </w:pPr>
                  <w:r>
                    <w:rPr>
                      <w:rFonts w:hint="eastAsia"/>
                      <w:kern w:val="0"/>
                      <w:sz w:val="18"/>
                      <w:szCs w:val="18"/>
                      <w:lang w:eastAsia="zh-CN" w:bidi="ar"/>
                    </w:rPr>
                    <w:t>南通市东港排水有限公司</w:t>
                  </w:r>
                </w:p>
              </w:tc>
              <w:tc>
                <w:tcPr>
                  <w:tcW w:w="540" w:type="dxa"/>
                  <w:vMerge w:val="restart"/>
                  <w:vAlign w:val="center"/>
                </w:tcPr>
                <w:p w14:paraId="681BBDAB">
                  <w:pPr>
                    <w:jc w:val="center"/>
                    <w:textAlignment w:val="center"/>
                    <w:rPr>
                      <w:kern w:val="0"/>
                      <w:sz w:val="18"/>
                      <w:szCs w:val="18"/>
                      <w:lang w:bidi="ar"/>
                    </w:rPr>
                  </w:pPr>
                  <w:r>
                    <w:rPr>
                      <w:kern w:val="0"/>
                      <w:sz w:val="18"/>
                      <w:szCs w:val="18"/>
                      <w:lang w:bidi="ar"/>
                    </w:rPr>
                    <w:t>间歇排放</w:t>
                  </w:r>
                </w:p>
              </w:tc>
            </w:tr>
            <w:tr w14:paraId="665998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76" w:type="dxa"/>
                  <w:vMerge w:val="continue"/>
                  <w:vAlign w:val="center"/>
                </w:tcPr>
                <w:p w14:paraId="6AD29EC6">
                  <w:pPr>
                    <w:jc w:val="center"/>
                    <w:textAlignment w:val="center"/>
                    <w:rPr>
                      <w:kern w:val="0"/>
                      <w:sz w:val="18"/>
                      <w:szCs w:val="18"/>
                      <w:lang w:bidi="ar"/>
                    </w:rPr>
                  </w:pPr>
                </w:p>
              </w:tc>
              <w:tc>
                <w:tcPr>
                  <w:tcW w:w="683" w:type="dxa"/>
                  <w:vMerge w:val="continue"/>
                  <w:vAlign w:val="center"/>
                </w:tcPr>
                <w:p w14:paraId="2D40B926">
                  <w:pPr>
                    <w:jc w:val="center"/>
                    <w:textAlignment w:val="center"/>
                    <w:rPr>
                      <w:kern w:val="0"/>
                      <w:sz w:val="18"/>
                      <w:szCs w:val="18"/>
                      <w:lang w:bidi="ar"/>
                    </w:rPr>
                  </w:pPr>
                </w:p>
              </w:tc>
              <w:tc>
                <w:tcPr>
                  <w:tcW w:w="773" w:type="dxa"/>
                  <w:vMerge w:val="continue"/>
                  <w:vAlign w:val="center"/>
                </w:tcPr>
                <w:p w14:paraId="19A4D3E8">
                  <w:pPr>
                    <w:jc w:val="center"/>
                    <w:textAlignment w:val="center"/>
                    <w:rPr>
                      <w:kern w:val="0"/>
                      <w:sz w:val="18"/>
                      <w:szCs w:val="18"/>
                      <w:lang w:bidi="ar"/>
                    </w:rPr>
                  </w:pPr>
                </w:p>
              </w:tc>
              <w:tc>
                <w:tcPr>
                  <w:tcW w:w="840" w:type="dxa"/>
                  <w:vAlign w:val="center"/>
                </w:tcPr>
                <w:p w14:paraId="3FC598BF">
                  <w:pPr>
                    <w:jc w:val="center"/>
                    <w:rPr>
                      <w:kern w:val="0"/>
                      <w:sz w:val="18"/>
                      <w:szCs w:val="18"/>
                      <w:lang w:bidi="ar"/>
                    </w:rPr>
                  </w:pPr>
                  <w:r>
                    <w:rPr>
                      <w:sz w:val="18"/>
                      <w:szCs w:val="18"/>
                    </w:rPr>
                    <w:t>SS</w:t>
                  </w:r>
                </w:p>
              </w:tc>
              <w:tc>
                <w:tcPr>
                  <w:tcW w:w="963" w:type="dxa"/>
                  <w:vAlign w:val="center"/>
                </w:tcPr>
                <w:p w14:paraId="1EAD4F30">
                  <w:pPr>
                    <w:jc w:val="center"/>
                    <w:textAlignment w:val="center"/>
                    <w:rPr>
                      <w:kern w:val="0"/>
                      <w:sz w:val="18"/>
                      <w:szCs w:val="18"/>
                      <w:lang w:bidi="ar"/>
                    </w:rPr>
                  </w:pPr>
                  <w:r>
                    <w:rPr>
                      <w:sz w:val="18"/>
                      <w:szCs w:val="18"/>
                    </w:rPr>
                    <w:t>200</w:t>
                  </w:r>
                </w:p>
              </w:tc>
              <w:tc>
                <w:tcPr>
                  <w:tcW w:w="996" w:type="dxa"/>
                  <w:vAlign w:val="center"/>
                </w:tcPr>
                <w:p w14:paraId="00207791">
                  <w:pPr>
                    <w:jc w:val="center"/>
                    <w:textAlignment w:val="center"/>
                    <w:rPr>
                      <w:rFonts w:hint="default" w:ascii="Times New Roman" w:hAnsi="Times New Roman" w:eastAsia="宋体" w:cs="Times New Roman"/>
                      <w:sz w:val="18"/>
                      <w:szCs w:val="18"/>
                      <w:lang w:val="en-US"/>
                    </w:rPr>
                  </w:pPr>
                  <w:r>
                    <w:rPr>
                      <w:rFonts w:hint="eastAsia" w:ascii="Times New Roman" w:hAnsi="Times New Roman" w:eastAsia="宋体" w:cs="Times New Roman"/>
                      <w:sz w:val="18"/>
                      <w:szCs w:val="18"/>
                      <w:lang w:val="en-US" w:eastAsia="zh-CN"/>
                    </w:rPr>
                    <w:t>0.048</w:t>
                  </w:r>
                </w:p>
              </w:tc>
              <w:tc>
                <w:tcPr>
                  <w:tcW w:w="869" w:type="dxa"/>
                  <w:vAlign w:val="center"/>
                </w:tcPr>
                <w:p w14:paraId="7E25049C">
                  <w:pPr>
                    <w:jc w:val="center"/>
                    <w:textAlignment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w:t>
                  </w:r>
                </w:p>
              </w:tc>
              <w:tc>
                <w:tcPr>
                  <w:tcW w:w="917" w:type="dxa"/>
                  <w:vAlign w:val="center"/>
                </w:tcPr>
                <w:p w14:paraId="36C8C66C">
                  <w:pPr>
                    <w:jc w:val="center"/>
                    <w:textAlignment w:val="center"/>
                    <w:rPr>
                      <w:rFonts w:hint="default" w:ascii="Times New Roman" w:hAnsi="Times New Roman" w:eastAsia="宋体" w:cs="Times New Roman"/>
                      <w:sz w:val="18"/>
                      <w:szCs w:val="18"/>
                      <w:lang w:val="en-US"/>
                    </w:rPr>
                  </w:pPr>
                  <w:r>
                    <w:rPr>
                      <w:rFonts w:hint="eastAsia" w:ascii="Times New Roman" w:hAnsi="Times New Roman" w:eastAsia="宋体" w:cs="Times New Roman"/>
                      <w:sz w:val="18"/>
                      <w:szCs w:val="18"/>
                      <w:lang w:val="en-US" w:eastAsia="zh-CN"/>
                    </w:rPr>
                    <w:t>0.036</w:t>
                  </w:r>
                </w:p>
              </w:tc>
              <w:tc>
                <w:tcPr>
                  <w:tcW w:w="749" w:type="dxa"/>
                  <w:vMerge w:val="continue"/>
                  <w:vAlign w:val="center"/>
                </w:tcPr>
                <w:p w14:paraId="0D62E801">
                  <w:pPr>
                    <w:jc w:val="center"/>
                    <w:textAlignment w:val="center"/>
                    <w:rPr>
                      <w:kern w:val="0"/>
                      <w:sz w:val="18"/>
                      <w:szCs w:val="18"/>
                      <w:lang w:bidi="ar"/>
                    </w:rPr>
                  </w:pPr>
                </w:p>
              </w:tc>
              <w:tc>
                <w:tcPr>
                  <w:tcW w:w="762" w:type="dxa"/>
                  <w:vMerge w:val="continue"/>
                  <w:vAlign w:val="center"/>
                </w:tcPr>
                <w:p w14:paraId="2FC02E1D">
                  <w:pPr>
                    <w:jc w:val="center"/>
                    <w:textAlignment w:val="center"/>
                    <w:rPr>
                      <w:kern w:val="0"/>
                      <w:sz w:val="18"/>
                      <w:szCs w:val="18"/>
                      <w:lang w:bidi="ar"/>
                    </w:rPr>
                  </w:pPr>
                </w:p>
              </w:tc>
              <w:tc>
                <w:tcPr>
                  <w:tcW w:w="645" w:type="dxa"/>
                  <w:vMerge w:val="continue"/>
                  <w:vAlign w:val="center"/>
                </w:tcPr>
                <w:p w14:paraId="577E171D">
                  <w:pPr>
                    <w:jc w:val="center"/>
                    <w:textAlignment w:val="center"/>
                    <w:rPr>
                      <w:kern w:val="0"/>
                      <w:sz w:val="18"/>
                      <w:szCs w:val="18"/>
                      <w:lang w:bidi="ar"/>
                    </w:rPr>
                  </w:pPr>
                </w:p>
              </w:tc>
              <w:tc>
                <w:tcPr>
                  <w:tcW w:w="945" w:type="dxa"/>
                  <w:vAlign w:val="center"/>
                </w:tcPr>
                <w:p w14:paraId="2335F148">
                  <w:pPr>
                    <w:jc w:val="center"/>
                    <w:textAlignment w:val="center"/>
                    <w:rPr>
                      <w:kern w:val="0"/>
                      <w:sz w:val="18"/>
                      <w:szCs w:val="18"/>
                      <w:lang w:bidi="ar"/>
                    </w:rPr>
                  </w:pPr>
                  <w:r>
                    <w:rPr>
                      <w:kern w:val="0"/>
                      <w:sz w:val="18"/>
                      <w:szCs w:val="18"/>
                      <w:lang w:bidi="ar"/>
                    </w:rPr>
                    <w:t>25</w:t>
                  </w:r>
                </w:p>
              </w:tc>
              <w:tc>
                <w:tcPr>
                  <w:tcW w:w="1043" w:type="dxa"/>
                  <w:vMerge w:val="continue"/>
                  <w:vAlign w:val="center"/>
                </w:tcPr>
                <w:p w14:paraId="14A55DFF">
                  <w:pPr>
                    <w:jc w:val="center"/>
                    <w:textAlignment w:val="center"/>
                    <w:rPr>
                      <w:kern w:val="0"/>
                      <w:sz w:val="18"/>
                      <w:szCs w:val="18"/>
                      <w:lang w:bidi="ar"/>
                    </w:rPr>
                  </w:pPr>
                </w:p>
              </w:tc>
              <w:tc>
                <w:tcPr>
                  <w:tcW w:w="625" w:type="dxa"/>
                  <w:vMerge w:val="continue"/>
                  <w:vAlign w:val="center"/>
                </w:tcPr>
                <w:p w14:paraId="4EE3916C">
                  <w:pPr>
                    <w:jc w:val="center"/>
                    <w:textAlignment w:val="center"/>
                    <w:rPr>
                      <w:kern w:val="0"/>
                      <w:sz w:val="18"/>
                      <w:szCs w:val="18"/>
                      <w:lang w:bidi="ar"/>
                    </w:rPr>
                  </w:pPr>
                </w:p>
              </w:tc>
              <w:tc>
                <w:tcPr>
                  <w:tcW w:w="949" w:type="dxa"/>
                  <w:vMerge w:val="continue"/>
                  <w:vAlign w:val="center"/>
                </w:tcPr>
                <w:p w14:paraId="2C219E66">
                  <w:pPr>
                    <w:jc w:val="center"/>
                    <w:textAlignment w:val="center"/>
                    <w:rPr>
                      <w:kern w:val="0"/>
                      <w:sz w:val="18"/>
                      <w:szCs w:val="18"/>
                      <w:lang w:bidi="ar"/>
                    </w:rPr>
                  </w:pPr>
                </w:p>
              </w:tc>
              <w:tc>
                <w:tcPr>
                  <w:tcW w:w="540" w:type="dxa"/>
                  <w:vMerge w:val="continue"/>
                  <w:vAlign w:val="center"/>
                </w:tcPr>
                <w:p w14:paraId="02BEB602">
                  <w:pPr>
                    <w:jc w:val="center"/>
                    <w:textAlignment w:val="center"/>
                    <w:rPr>
                      <w:kern w:val="0"/>
                      <w:sz w:val="18"/>
                      <w:szCs w:val="18"/>
                      <w:lang w:bidi="ar"/>
                    </w:rPr>
                  </w:pPr>
                </w:p>
              </w:tc>
            </w:tr>
            <w:tr w14:paraId="7FD6FF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76" w:type="dxa"/>
                  <w:vMerge w:val="continue"/>
                  <w:vAlign w:val="center"/>
                </w:tcPr>
                <w:p w14:paraId="6BECAA24">
                  <w:pPr>
                    <w:jc w:val="center"/>
                    <w:textAlignment w:val="center"/>
                    <w:rPr>
                      <w:kern w:val="0"/>
                      <w:sz w:val="18"/>
                      <w:szCs w:val="18"/>
                      <w:lang w:bidi="ar"/>
                    </w:rPr>
                  </w:pPr>
                </w:p>
              </w:tc>
              <w:tc>
                <w:tcPr>
                  <w:tcW w:w="683" w:type="dxa"/>
                  <w:vMerge w:val="continue"/>
                  <w:vAlign w:val="center"/>
                </w:tcPr>
                <w:p w14:paraId="1C043DBB">
                  <w:pPr>
                    <w:jc w:val="center"/>
                    <w:textAlignment w:val="center"/>
                    <w:rPr>
                      <w:kern w:val="0"/>
                      <w:sz w:val="18"/>
                      <w:szCs w:val="18"/>
                      <w:lang w:bidi="ar"/>
                    </w:rPr>
                  </w:pPr>
                </w:p>
              </w:tc>
              <w:tc>
                <w:tcPr>
                  <w:tcW w:w="773" w:type="dxa"/>
                  <w:vMerge w:val="continue"/>
                  <w:vAlign w:val="center"/>
                </w:tcPr>
                <w:p w14:paraId="5AD9F1AB">
                  <w:pPr>
                    <w:jc w:val="center"/>
                    <w:textAlignment w:val="center"/>
                    <w:rPr>
                      <w:kern w:val="0"/>
                      <w:sz w:val="18"/>
                      <w:szCs w:val="18"/>
                      <w:lang w:bidi="ar"/>
                    </w:rPr>
                  </w:pPr>
                </w:p>
              </w:tc>
              <w:tc>
                <w:tcPr>
                  <w:tcW w:w="840" w:type="dxa"/>
                  <w:vAlign w:val="center"/>
                </w:tcPr>
                <w:p w14:paraId="1B07A36B">
                  <w:pPr>
                    <w:jc w:val="center"/>
                    <w:rPr>
                      <w:kern w:val="0"/>
                      <w:sz w:val="18"/>
                      <w:szCs w:val="18"/>
                      <w:lang w:bidi="ar"/>
                    </w:rPr>
                  </w:pPr>
                  <w:r>
                    <w:rPr>
                      <w:sz w:val="18"/>
                      <w:szCs w:val="18"/>
                    </w:rPr>
                    <w:t>NH</w:t>
                  </w:r>
                  <w:r>
                    <w:rPr>
                      <w:sz w:val="18"/>
                      <w:szCs w:val="18"/>
                      <w:vertAlign w:val="subscript"/>
                    </w:rPr>
                    <w:t>3</w:t>
                  </w:r>
                  <w:r>
                    <w:rPr>
                      <w:sz w:val="18"/>
                      <w:szCs w:val="18"/>
                    </w:rPr>
                    <w:t>-N</w:t>
                  </w:r>
                </w:p>
              </w:tc>
              <w:tc>
                <w:tcPr>
                  <w:tcW w:w="963" w:type="dxa"/>
                  <w:vAlign w:val="center"/>
                </w:tcPr>
                <w:p w14:paraId="72DFE527">
                  <w:pPr>
                    <w:jc w:val="center"/>
                    <w:textAlignment w:val="center"/>
                    <w:rPr>
                      <w:rFonts w:hint="default" w:eastAsia="宋体"/>
                      <w:kern w:val="0"/>
                      <w:sz w:val="18"/>
                      <w:szCs w:val="18"/>
                      <w:lang w:val="en-US" w:eastAsia="zh-CN" w:bidi="ar"/>
                    </w:rPr>
                  </w:pPr>
                  <w:r>
                    <w:rPr>
                      <w:rFonts w:hint="eastAsia"/>
                      <w:sz w:val="18"/>
                      <w:szCs w:val="18"/>
                      <w:lang w:val="en-US" w:eastAsia="zh-CN"/>
                    </w:rPr>
                    <w:t>25</w:t>
                  </w:r>
                </w:p>
              </w:tc>
              <w:tc>
                <w:tcPr>
                  <w:tcW w:w="996" w:type="dxa"/>
                  <w:vAlign w:val="center"/>
                </w:tcPr>
                <w:p w14:paraId="129B04F4">
                  <w:pPr>
                    <w:jc w:val="center"/>
                    <w:textAlignment w:val="center"/>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0.006</w:t>
                  </w:r>
                </w:p>
              </w:tc>
              <w:tc>
                <w:tcPr>
                  <w:tcW w:w="869" w:type="dxa"/>
                  <w:vAlign w:val="center"/>
                </w:tcPr>
                <w:p w14:paraId="7607373F">
                  <w:pPr>
                    <w:jc w:val="center"/>
                    <w:textAlignment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25</w:t>
                  </w:r>
                </w:p>
              </w:tc>
              <w:tc>
                <w:tcPr>
                  <w:tcW w:w="917" w:type="dxa"/>
                  <w:vAlign w:val="center"/>
                </w:tcPr>
                <w:p w14:paraId="319E7CD7">
                  <w:pPr>
                    <w:jc w:val="center"/>
                    <w:textAlignment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0.006</w:t>
                  </w:r>
                </w:p>
              </w:tc>
              <w:tc>
                <w:tcPr>
                  <w:tcW w:w="749" w:type="dxa"/>
                  <w:vMerge w:val="continue"/>
                  <w:vAlign w:val="center"/>
                </w:tcPr>
                <w:p w14:paraId="42AA96F7">
                  <w:pPr>
                    <w:jc w:val="center"/>
                    <w:textAlignment w:val="center"/>
                    <w:rPr>
                      <w:kern w:val="0"/>
                      <w:sz w:val="18"/>
                      <w:szCs w:val="18"/>
                      <w:lang w:bidi="ar"/>
                    </w:rPr>
                  </w:pPr>
                </w:p>
              </w:tc>
              <w:tc>
                <w:tcPr>
                  <w:tcW w:w="762" w:type="dxa"/>
                  <w:vMerge w:val="continue"/>
                  <w:vAlign w:val="center"/>
                </w:tcPr>
                <w:p w14:paraId="7DE4043D">
                  <w:pPr>
                    <w:jc w:val="center"/>
                    <w:textAlignment w:val="center"/>
                    <w:rPr>
                      <w:kern w:val="0"/>
                      <w:sz w:val="18"/>
                      <w:szCs w:val="18"/>
                      <w:lang w:bidi="ar"/>
                    </w:rPr>
                  </w:pPr>
                </w:p>
              </w:tc>
              <w:tc>
                <w:tcPr>
                  <w:tcW w:w="645" w:type="dxa"/>
                  <w:vMerge w:val="continue"/>
                  <w:vAlign w:val="center"/>
                </w:tcPr>
                <w:p w14:paraId="01566ADD">
                  <w:pPr>
                    <w:jc w:val="center"/>
                    <w:textAlignment w:val="center"/>
                    <w:rPr>
                      <w:kern w:val="0"/>
                      <w:sz w:val="18"/>
                      <w:szCs w:val="18"/>
                      <w:lang w:bidi="ar"/>
                    </w:rPr>
                  </w:pPr>
                </w:p>
              </w:tc>
              <w:tc>
                <w:tcPr>
                  <w:tcW w:w="945" w:type="dxa"/>
                  <w:vAlign w:val="center"/>
                </w:tcPr>
                <w:p w14:paraId="3FC3FDCD">
                  <w:pPr>
                    <w:jc w:val="center"/>
                    <w:textAlignment w:val="center"/>
                    <w:rPr>
                      <w:rFonts w:hint="default" w:eastAsia="宋体"/>
                      <w:kern w:val="0"/>
                      <w:sz w:val="18"/>
                      <w:szCs w:val="18"/>
                      <w:lang w:val="en-US" w:eastAsia="zh-CN" w:bidi="ar"/>
                    </w:rPr>
                  </w:pPr>
                  <w:r>
                    <w:rPr>
                      <w:rFonts w:hint="eastAsia"/>
                      <w:kern w:val="0"/>
                      <w:sz w:val="18"/>
                      <w:szCs w:val="18"/>
                      <w:lang w:val="en-US" w:eastAsia="zh-CN" w:bidi="ar"/>
                    </w:rPr>
                    <w:t>0</w:t>
                  </w:r>
                </w:p>
              </w:tc>
              <w:tc>
                <w:tcPr>
                  <w:tcW w:w="1043" w:type="dxa"/>
                  <w:vMerge w:val="continue"/>
                  <w:vAlign w:val="center"/>
                </w:tcPr>
                <w:p w14:paraId="6216BE8C">
                  <w:pPr>
                    <w:jc w:val="center"/>
                    <w:textAlignment w:val="center"/>
                    <w:rPr>
                      <w:kern w:val="0"/>
                      <w:sz w:val="18"/>
                      <w:szCs w:val="18"/>
                      <w:lang w:bidi="ar"/>
                    </w:rPr>
                  </w:pPr>
                </w:p>
              </w:tc>
              <w:tc>
                <w:tcPr>
                  <w:tcW w:w="625" w:type="dxa"/>
                  <w:vMerge w:val="continue"/>
                  <w:vAlign w:val="center"/>
                </w:tcPr>
                <w:p w14:paraId="56196C7E">
                  <w:pPr>
                    <w:jc w:val="center"/>
                    <w:textAlignment w:val="center"/>
                    <w:rPr>
                      <w:kern w:val="0"/>
                      <w:sz w:val="18"/>
                      <w:szCs w:val="18"/>
                      <w:lang w:bidi="ar"/>
                    </w:rPr>
                  </w:pPr>
                </w:p>
              </w:tc>
              <w:tc>
                <w:tcPr>
                  <w:tcW w:w="949" w:type="dxa"/>
                  <w:vMerge w:val="continue"/>
                  <w:vAlign w:val="center"/>
                </w:tcPr>
                <w:p w14:paraId="432039E2">
                  <w:pPr>
                    <w:jc w:val="center"/>
                    <w:textAlignment w:val="center"/>
                    <w:rPr>
                      <w:kern w:val="0"/>
                      <w:sz w:val="18"/>
                      <w:szCs w:val="18"/>
                      <w:lang w:bidi="ar"/>
                    </w:rPr>
                  </w:pPr>
                </w:p>
              </w:tc>
              <w:tc>
                <w:tcPr>
                  <w:tcW w:w="540" w:type="dxa"/>
                  <w:vMerge w:val="continue"/>
                  <w:vAlign w:val="center"/>
                </w:tcPr>
                <w:p w14:paraId="3C868E61">
                  <w:pPr>
                    <w:jc w:val="center"/>
                    <w:textAlignment w:val="center"/>
                    <w:rPr>
                      <w:kern w:val="0"/>
                      <w:sz w:val="18"/>
                      <w:szCs w:val="18"/>
                      <w:lang w:bidi="ar"/>
                    </w:rPr>
                  </w:pPr>
                </w:p>
              </w:tc>
            </w:tr>
            <w:tr w14:paraId="7FD837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76" w:type="dxa"/>
                  <w:vMerge w:val="continue"/>
                  <w:vAlign w:val="center"/>
                </w:tcPr>
                <w:p w14:paraId="0DCED9E3">
                  <w:pPr>
                    <w:jc w:val="center"/>
                    <w:textAlignment w:val="center"/>
                    <w:rPr>
                      <w:kern w:val="0"/>
                      <w:sz w:val="18"/>
                      <w:szCs w:val="18"/>
                      <w:lang w:bidi="ar"/>
                    </w:rPr>
                  </w:pPr>
                </w:p>
              </w:tc>
              <w:tc>
                <w:tcPr>
                  <w:tcW w:w="683" w:type="dxa"/>
                  <w:vMerge w:val="continue"/>
                  <w:vAlign w:val="center"/>
                </w:tcPr>
                <w:p w14:paraId="4FA0ED67">
                  <w:pPr>
                    <w:jc w:val="center"/>
                    <w:textAlignment w:val="center"/>
                    <w:rPr>
                      <w:kern w:val="0"/>
                      <w:sz w:val="18"/>
                      <w:szCs w:val="18"/>
                      <w:lang w:bidi="ar"/>
                    </w:rPr>
                  </w:pPr>
                </w:p>
              </w:tc>
              <w:tc>
                <w:tcPr>
                  <w:tcW w:w="773" w:type="dxa"/>
                  <w:vMerge w:val="continue"/>
                  <w:vAlign w:val="center"/>
                </w:tcPr>
                <w:p w14:paraId="7CC08F8A">
                  <w:pPr>
                    <w:jc w:val="center"/>
                    <w:textAlignment w:val="center"/>
                    <w:rPr>
                      <w:kern w:val="0"/>
                      <w:sz w:val="18"/>
                      <w:szCs w:val="18"/>
                      <w:lang w:bidi="ar"/>
                    </w:rPr>
                  </w:pPr>
                </w:p>
              </w:tc>
              <w:tc>
                <w:tcPr>
                  <w:tcW w:w="840" w:type="dxa"/>
                  <w:vAlign w:val="center"/>
                </w:tcPr>
                <w:p w14:paraId="3CBA25B2">
                  <w:pPr>
                    <w:jc w:val="center"/>
                    <w:rPr>
                      <w:kern w:val="0"/>
                      <w:sz w:val="18"/>
                      <w:szCs w:val="18"/>
                      <w:lang w:bidi="ar"/>
                    </w:rPr>
                  </w:pPr>
                  <w:r>
                    <w:rPr>
                      <w:sz w:val="18"/>
                      <w:szCs w:val="18"/>
                    </w:rPr>
                    <w:t>TP</w:t>
                  </w:r>
                </w:p>
              </w:tc>
              <w:tc>
                <w:tcPr>
                  <w:tcW w:w="963" w:type="dxa"/>
                  <w:vAlign w:val="center"/>
                </w:tcPr>
                <w:p w14:paraId="6E96AA41">
                  <w:pPr>
                    <w:jc w:val="center"/>
                    <w:textAlignment w:val="center"/>
                    <w:rPr>
                      <w:rFonts w:hint="eastAsia" w:eastAsia="宋体"/>
                      <w:kern w:val="0"/>
                      <w:sz w:val="18"/>
                      <w:szCs w:val="18"/>
                      <w:lang w:eastAsia="zh-CN" w:bidi="ar"/>
                    </w:rPr>
                  </w:pPr>
                  <w:r>
                    <w:rPr>
                      <w:rFonts w:hint="eastAsia"/>
                      <w:sz w:val="18"/>
                      <w:szCs w:val="18"/>
                      <w:lang w:val="en-US" w:eastAsia="zh-CN"/>
                    </w:rPr>
                    <w:t>3</w:t>
                  </w:r>
                </w:p>
              </w:tc>
              <w:tc>
                <w:tcPr>
                  <w:tcW w:w="996" w:type="dxa"/>
                  <w:vAlign w:val="center"/>
                </w:tcPr>
                <w:p w14:paraId="547980E4">
                  <w:pPr>
                    <w:jc w:val="center"/>
                    <w:textAlignment w:val="center"/>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0.0007</w:t>
                  </w:r>
                </w:p>
              </w:tc>
              <w:tc>
                <w:tcPr>
                  <w:tcW w:w="869" w:type="dxa"/>
                  <w:vAlign w:val="center"/>
                </w:tcPr>
                <w:p w14:paraId="75BD240A">
                  <w:pPr>
                    <w:jc w:val="center"/>
                    <w:textAlignment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3</w:t>
                  </w:r>
                </w:p>
              </w:tc>
              <w:tc>
                <w:tcPr>
                  <w:tcW w:w="917" w:type="dxa"/>
                  <w:vAlign w:val="center"/>
                </w:tcPr>
                <w:p w14:paraId="43D84376">
                  <w:pPr>
                    <w:jc w:val="center"/>
                    <w:textAlignment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0.0007</w:t>
                  </w:r>
                </w:p>
              </w:tc>
              <w:tc>
                <w:tcPr>
                  <w:tcW w:w="749" w:type="dxa"/>
                  <w:vMerge w:val="continue"/>
                  <w:vAlign w:val="center"/>
                </w:tcPr>
                <w:p w14:paraId="15E62376">
                  <w:pPr>
                    <w:jc w:val="center"/>
                    <w:textAlignment w:val="center"/>
                    <w:rPr>
                      <w:kern w:val="0"/>
                      <w:sz w:val="18"/>
                      <w:szCs w:val="18"/>
                      <w:lang w:bidi="ar"/>
                    </w:rPr>
                  </w:pPr>
                </w:p>
              </w:tc>
              <w:tc>
                <w:tcPr>
                  <w:tcW w:w="762" w:type="dxa"/>
                  <w:vMerge w:val="continue"/>
                  <w:vAlign w:val="center"/>
                </w:tcPr>
                <w:p w14:paraId="13DC378B">
                  <w:pPr>
                    <w:jc w:val="center"/>
                    <w:textAlignment w:val="center"/>
                    <w:rPr>
                      <w:kern w:val="0"/>
                      <w:sz w:val="18"/>
                      <w:szCs w:val="18"/>
                      <w:lang w:bidi="ar"/>
                    </w:rPr>
                  </w:pPr>
                </w:p>
              </w:tc>
              <w:tc>
                <w:tcPr>
                  <w:tcW w:w="645" w:type="dxa"/>
                  <w:vMerge w:val="continue"/>
                  <w:vAlign w:val="center"/>
                </w:tcPr>
                <w:p w14:paraId="6166165C">
                  <w:pPr>
                    <w:jc w:val="center"/>
                    <w:textAlignment w:val="center"/>
                    <w:rPr>
                      <w:kern w:val="0"/>
                      <w:sz w:val="18"/>
                      <w:szCs w:val="18"/>
                      <w:lang w:bidi="ar"/>
                    </w:rPr>
                  </w:pPr>
                </w:p>
              </w:tc>
              <w:tc>
                <w:tcPr>
                  <w:tcW w:w="945" w:type="dxa"/>
                  <w:vAlign w:val="center"/>
                </w:tcPr>
                <w:p w14:paraId="2B6447B2">
                  <w:pPr>
                    <w:jc w:val="center"/>
                    <w:textAlignment w:val="center"/>
                    <w:rPr>
                      <w:rFonts w:hint="eastAsia" w:eastAsia="宋体"/>
                      <w:kern w:val="0"/>
                      <w:sz w:val="18"/>
                      <w:szCs w:val="18"/>
                      <w:lang w:val="en-US" w:eastAsia="zh-CN" w:bidi="ar"/>
                    </w:rPr>
                  </w:pPr>
                  <w:r>
                    <w:rPr>
                      <w:rFonts w:hint="eastAsia"/>
                      <w:kern w:val="0"/>
                      <w:sz w:val="18"/>
                      <w:szCs w:val="18"/>
                      <w:lang w:val="en-US" w:eastAsia="zh-CN" w:bidi="ar"/>
                    </w:rPr>
                    <w:t>0</w:t>
                  </w:r>
                </w:p>
              </w:tc>
              <w:tc>
                <w:tcPr>
                  <w:tcW w:w="1043" w:type="dxa"/>
                  <w:vMerge w:val="continue"/>
                  <w:vAlign w:val="center"/>
                </w:tcPr>
                <w:p w14:paraId="39F90CD3">
                  <w:pPr>
                    <w:jc w:val="center"/>
                    <w:textAlignment w:val="center"/>
                    <w:rPr>
                      <w:kern w:val="0"/>
                      <w:sz w:val="18"/>
                      <w:szCs w:val="18"/>
                      <w:lang w:bidi="ar"/>
                    </w:rPr>
                  </w:pPr>
                </w:p>
              </w:tc>
              <w:tc>
                <w:tcPr>
                  <w:tcW w:w="625" w:type="dxa"/>
                  <w:vMerge w:val="continue"/>
                  <w:vAlign w:val="center"/>
                </w:tcPr>
                <w:p w14:paraId="01683C19">
                  <w:pPr>
                    <w:jc w:val="center"/>
                    <w:textAlignment w:val="center"/>
                    <w:rPr>
                      <w:kern w:val="0"/>
                      <w:sz w:val="18"/>
                      <w:szCs w:val="18"/>
                      <w:lang w:bidi="ar"/>
                    </w:rPr>
                  </w:pPr>
                </w:p>
              </w:tc>
              <w:tc>
                <w:tcPr>
                  <w:tcW w:w="949" w:type="dxa"/>
                  <w:vMerge w:val="continue"/>
                  <w:vAlign w:val="center"/>
                </w:tcPr>
                <w:p w14:paraId="317AA47E">
                  <w:pPr>
                    <w:jc w:val="center"/>
                    <w:textAlignment w:val="center"/>
                    <w:rPr>
                      <w:kern w:val="0"/>
                      <w:sz w:val="18"/>
                      <w:szCs w:val="18"/>
                      <w:lang w:bidi="ar"/>
                    </w:rPr>
                  </w:pPr>
                </w:p>
              </w:tc>
              <w:tc>
                <w:tcPr>
                  <w:tcW w:w="540" w:type="dxa"/>
                  <w:vMerge w:val="continue"/>
                  <w:vAlign w:val="center"/>
                </w:tcPr>
                <w:p w14:paraId="4536CD88">
                  <w:pPr>
                    <w:jc w:val="center"/>
                    <w:textAlignment w:val="center"/>
                    <w:rPr>
                      <w:kern w:val="0"/>
                      <w:sz w:val="18"/>
                      <w:szCs w:val="18"/>
                      <w:lang w:bidi="ar"/>
                    </w:rPr>
                  </w:pPr>
                </w:p>
              </w:tc>
            </w:tr>
            <w:tr w14:paraId="7471EA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7C8FD1A6">
                  <w:pPr>
                    <w:jc w:val="center"/>
                    <w:textAlignment w:val="center"/>
                    <w:rPr>
                      <w:kern w:val="0"/>
                      <w:sz w:val="18"/>
                      <w:szCs w:val="18"/>
                      <w:lang w:bidi="ar"/>
                    </w:rPr>
                  </w:pPr>
                </w:p>
              </w:tc>
              <w:tc>
                <w:tcPr>
                  <w:tcW w:w="683" w:type="dxa"/>
                  <w:vMerge w:val="continue"/>
                  <w:vAlign w:val="center"/>
                </w:tcPr>
                <w:p w14:paraId="643F1B04">
                  <w:pPr>
                    <w:jc w:val="center"/>
                    <w:textAlignment w:val="center"/>
                    <w:rPr>
                      <w:kern w:val="0"/>
                      <w:sz w:val="18"/>
                      <w:szCs w:val="18"/>
                      <w:lang w:bidi="ar"/>
                    </w:rPr>
                  </w:pPr>
                </w:p>
              </w:tc>
              <w:tc>
                <w:tcPr>
                  <w:tcW w:w="773" w:type="dxa"/>
                  <w:vMerge w:val="continue"/>
                  <w:vAlign w:val="center"/>
                </w:tcPr>
                <w:p w14:paraId="48754DD3">
                  <w:pPr>
                    <w:jc w:val="center"/>
                    <w:textAlignment w:val="center"/>
                    <w:rPr>
                      <w:kern w:val="0"/>
                      <w:sz w:val="18"/>
                      <w:szCs w:val="18"/>
                      <w:lang w:bidi="ar"/>
                    </w:rPr>
                  </w:pPr>
                </w:p>
              </w:tc>
              <w:tc>
                <w:tcPr>
                  <w:tcW w:w="840" w:type="dxa"/>
                  <w:vAlign w:val="center"/>
                </w:tcPr>
                <w:p w14:paraId="24DB9DCB">
                  <w:pPr>
                    <w:jc w:val="center"/>
                    <w:rPr>
                      <w:kern w:val="0"/>
                      <w:sz w:val="18"/>
                      <w:szCs w:val="18"/>
                      <w:lang w:bidi="ar"/>
                    </w:rPr>
                  </w:pPr>
                  <w:r>
                    <w:rPr>
                      <w:sz w:val="18"/>
                      <w:szCs w:val="18"/>
                    </w:rPr>
                    <w:t>TN</w:t>
                  </w:r>
                </w:p>
              </w:tc>
              <w:tc>
                <w:tcPr>
                  <w:tcW w:w="963" w:type="dxa"/>
                  <w:vAlign w:val="center"/>
                </w:tcPr>
                <w:p w14:paraId="0009C269">
                  <w:pPr>
                    <w:jc w:val="center"/>
                    <w:textAlignment w:val="center"/>
                    <w:rPr>
                      <w:rFonts w:hint="default" w:eastAsia="宋体"/>
                      <w:kern w:val="0"/>
                      <w:sz w:val="18"/>
                      <w:szCs w:val="18"/>
                      <w:lang w:val="en-US" w:eastAsia="zh-CN" w:bidi="ar"/>
                    </w:rPr>
                  </w:pPr>
                  <w:r>
                    <w:rPr>
                      <w:rFonts w:hint="eastAsia"/>
                      <w:sz w:val="18"/>
                      <w:szCs w:val="18"/>
                      <w:lang w:val="en-US" w:eastAsia="zh-CN"/>
                    </w:rPr>
                    <w:t>30</w:t>
                  </w:r>
                </w:p>
              </w:tc>
              <w:tc>
                <w:tcPr>
                  <w:tcW w:w="996" w:type="dxa"/>
                  <w:vAlign w:val="center"/>
                </w:tcPr>
                <w:p w14:paraId="20079747">
                  <w:pPr>
                    <w:jc w:val="center"/>
                    <w:textAlignment w:val="center"/>
                    <w:rPr>
                      <w:rFonts w:hint="default" w:ascii="Times New Roman" w:hAnsi="Times New Roman" w:eastAsia="宋体" w:cs="Times New Roman"/>
                      <w:sz w:val="18"/>
                      <w:szCs w:val="18"/>
                      <w:lang w:val="en-US"/>
                    </w:rPr>
                  </w:pPr>
                  <w:r>
                    <w:rPr>
                      <w:rFonts w:hint="eastAsia" w:ascii="Times New Roman" w:hAnsi="Times New Roman" w:eastAsia="宋体" w:cs="Times New Roman"/>
                      <w:sz w:val="18"/>
                      <w:szCs w:val="18"/>
                      <w:lang w:val="en-US" w:eastAsia="zh-CN"/>
                    </w:rPr>
                    <w:t>0.0072</w:t>
                  </w:r>
                </w:p>
              </w:tc>
              <w:tc>
                <w:tcPr>
                  <w:tcW w:w="869" w:type="dxa"/>
                  <w:vAlign w:val="center"/>
                </w:tcPr>
                <w:p w14:paraId="3CDA969C">
                  <w:pPr>
                    <w:jc w:val="center"/>
                    <w:textAlignment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30</w:t>
                  </w:r>
                </w:p>
              </w:tc>
              <w:tc>
                <w:tcPr>
                  <w:tcW w:w="917" w:type="dxa"/>
                  <w:vAlign w:val="center"/>
                </w:tcPr>
                <w:p w14:paraId="4E3D4CA4">
                  <w:pPr>
                    <w:jc w:val="center"/>
                    <w:textAlignment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0.0072</w:t>
                  </w:r>
                </w:p>
              </w:tc>
              <w:tc>
                <w:tcPr>
                  <w:tcW w:w="749" w:type="dxa"/>
                  <w:vMerge w:val="continue"/>
                  <w:vAlign w:val="center"/>
                </w:tcPr>
                <w:p w14:paraId="4266EB49">
                  <w:pPr>
                    <w:jc w:val="center"/>
                    <w:textAlignment w:val="center"/>
                    <w:rPr>
                      <w:kern w:val="0"/>
                      <w:sz w:val="18"/>
                      <w:szCs w:val="18"/>
                      <w:lang w:bidi="ar"/>
                    </w:rPr>
                  </w:pPr>
                </w:p>
              </w:tc>
              <w:tc>
                <w:tcPr>
                  <w:tcW w:w="762" w:type="dxa"/>
                  <w:vMerge w:val="continue"/>
                  <w:vAlign w:val="center"/>
                </w:tcPr>
                <w:p w14:paraId="4D5BBBEB">
                  <w:pPr>
                    <w:jc w:val="center"/>
                    <w:textAlignment w:val="center"/>
                    <w:rPr>
                      <w:kern w:val="0"/>
                      <w:sz w:val="18"/>
                      <w:szCs w:val="18"/>
                      <w:lang w:bidi="ar"/>
                    </w:rPr>
                  </w:pPr>
                </w:p>
              </w:tc>
              <w:tc>
                <w:tcPr>
                  <w:tcW w:w="645" w:type="dxa"/>
                  <w:vMerge w:val="continue"/>
                  <w:vAlign w:val="center"/>
                </w:tcPr>
                <w:p w14:paraId="4CA4CB44">
                  <w:pPr>
                    <w:jc w:val="center"/>
                    <w:textAlignment w:val="center"/>
                    <w:rPr>
                      <w:kern w:val="0"/>
                      <w:sz w:val="18"/>
                      <w:szCs w:val="18"/>
                      <w:lang w:bidi="ar"/>
                    </w:rPr>
                  </w:pPr>
                </w:p>
              </w:tc>
              <w:tc>
                <w:tcPr>
                  <w:tcW w:w="945" w:type="dxa"/>
                  <w:vAlign w:val="center"/>
                </w:tcPr>
                <w:p w14:paraId="7A080AE5">
                  <w:pPr>
                    <w:jc w:val="center"/>
                    <w:textAlignment w:val="center"/>
                    <w:rPr>
                      <w:kern w:val="0"/>
                      <w:sz w:val="18"/>
                      <w:szCs w:val="18"/>
                      <w:lang w:bidi="ar"/>
                    </w:rPr>
                  </w:pPr>
                  <w:r>
                    <w:rPr>
                      <w:kern w:val="0"/>
                      <w:sz w:val="18"/>
                      <w:szCs w:val="18"/>
                      <w:lang w:bidi="ar"/>
                    </w:rPr>
                    <w:t>0</w:t>
                  </w:r>
                </w:p>
              </w:tc>
              <w:tc>
                <w:tcPr>
                  <w:tcW w:w="1043" w:type="dxa"/>
                  <w:vMerge w:val="continue"/>
                  <w:vAlign w:val="center"/>
                </w:tcPr>
                <w:p w14:paraId="62BF9334">
                  <w:pPr>
                    <w:jc w:val="center"/>
                    <w:textAlignment w:val="center"/>
                    <w:rPr>
                      <w:kern w:val="0"/>
                      <w:sz w:val="18"/>
                      <w:szCs w:val="18"/>
                      <w:lang w:bidi="ar"/>
                    </w:rPr>
                  </w:pPr>
                </w:p>
              </w:tc>
              <w:tc>
                <w:tcPr>
                  <w:tcW w:w="625" w:type="dxa"/>
                  <w:vMerge w:val="continue"/>
                  <w:vAlign w:val="center"/>
                </w:tcPr>
                <w:p w14:paraId="5C3480C8">
                  <w:pPr>
                    <w:jc w:val="center"/>
                    <w:textAlignment w:val="center"/>
                    <w:rPr>
                      <w:kern w:val="0"/>
                      <w:sz w:val="18"/>
                      <w:szCs w:val="18"/>
                      <w:lang w:bidi="ar"/>
                    </w:rPr>
                  </w:pPr>
                </w:p>
              </w:tc>
              <w:tc>
                <w:tcPr>
                  <w:tcW w:w="949" w:type="dxa"/>
                  <w:vMerge w:val="continue"/>
                  <w:vAlign w:val="center"/>
                </w:tcPr>
                <w:p w14:paraId="1CA057D0">
                  <w:pPr>
                    <w:jc w:val="center"/>
                    <w:textAlignment w:val="center"/>
                    <w:rPr>
                      <w:kern w:val="0"/>
                      <w:sz w:val="18"/>
                      <w:szCs w:val="18"/>
                      <w:lang w:bidi="ar"/>
                    </w:rPr>
                  </w:pPr>
                </w:p>
              </w:tc>
              <w:tc>
                <w:tcPr>
                  <w:tcW w:w="540" w:type="dxa"/>
                  <w:vMerge w:val="continue"/>
                  <w:vAlign w:val="center"/>
                </w:tcPr>
                <w:p w14:paraId="7DF4FC8B">
                  <w:pPr>
                    <w:jc w:val="center"/>
                    <w:textAlignment w:val="center"/>
                    <w:rPr>
                      <w:kern w:val="0"/>
                      <w:sz w:val="18"/>
                      <w:szCs w:val="18"/>
                      <w:lang w:bidi="ar"/>
                    </w:rPr>
                  </w:pPr>
                </w:p>
              </w:tc>
            </w:tr>
            <w:tr w14:paraId="68F5FB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restart"/>
                  <w:vAlign w:val="center"/>
                </w:tcPr>
                <w:p w14:paraId="4154FC5D">
                  <w:pPr>
                    <w:jc w:val="center"/>
                    <w:textAlignment w:val="center"/>
                    <w:rPr>
                      <w:kern w:val="0"/>
                      <w:sz w:val="18"/>
                      <w:szCs w:val="18"/>
                      <w:lang w:bidi="ar"/>
                    </w:rPr>
                  </w:pPr>
                  <w:r>
                    <w:rPr>
                      <w:rFonts w:hint="eastAsia"/>
                      <w:kern w:val="0"/>
                      <w:sz w:val="18"/>
                      <w:szCs w:val="18"/>
                      <w:lang w:eastAsia="zh-CN" w:bidi="ar"/>
                    </w:rPr>
                    <w:t>循环冷却水</w:t>
                  </w:r>
                </w:p>
              </w:tc>
              <w:tc>
                <w:tcPr>
                  <w:tcW w:w="683" w:type="dxa"/>
                  <w:vMerge w:val="restart"/>
                  <w:vAlign w:val="center"/>
                </w:tcPr>
                <w:p w14:paraId="3B0E51EB">
                  <w:pPr>
                    <w:jc w:val="center"/>
                    <w:textAlignment w:val="center"/>
                    <w:rPr>
                      <w:rFonts w:hint="eastAsia" w:eastAsia="宋体"/>
                      <w:kern w:val="0"/>
                      <w:sz w:val="18"/>
                      <w:szCs w:val="18"/>
                      <w:lang w:eastAsia="zh-CN" w:bidi="ar"/>
                    </w:rPr>
                  </w:pPr>
                  <w:r>
                    <w:rPr>
                      <w:rFonts w:hint="eastAsia"/>
                      <w:kern w:val="0"/>
                      <w:sz w:val="18"/>
                      <w:szCs w:val="18"/>
                      <w:lang w:eastAsia="zh-CN" w:bidi="ar"/>
                    </w:rPr>
                    <w:t>循环冷却水</w:t>
                  </w:r>
                </w:p>
              </w:tc>
              <w:tc>
                <w:tcPr>
                  <w:tcW w:w="773" w:type="dxa"/>
                  <w:vMerge w:val="restart"/>
                  <w:vAlign w:val="center"/>
                </w:tcPr>
                <w:p w14:paraId="44F6BAB2">
                  <w:pPr>
                    <w:jc w:val="center"/>
                    <w:textAlignment w:val="center"/>
                    <w:rPr>
                      <w:rFonts w:hint="default" w:eastAsia="宋体"/>
                      <w:kern w:val="0"/>
                      <w:sz w:val="18"/>
                      <w:szCs w:val="18"/>
                      <w:lang w:val="en-US" w:eastAsia="zh-CN" w:bidi="ar"/>
                    </w:rPr>
                  </w:pPr>
                  <w:r>
                    <w:rPr>
                      <w:rFonts w:hint="eastAsia"/>
                      <w:kern w:val="0"/>
                      <w:sz w:val="18"/>
                      <w:szCs w:val="18"/>
                      <w:lang w:val="en-US" w:eastAsia="zh-CN" w:bidi="ar"/>
                    </w:rPr>
                    <w:t>100</w:t>
                  </w:r>
                </w:p>
              </w:tc>
              <w:tc>
                <w:tcPr>
                  <w:tcW w:w="840" w:type="dxa"/>
                  <w:vAlign w:val="center"/>
                </w:tcPr>
                <w:p w14:paraId="5083028D">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COD</w:t>
                  </w:r>
                </w:p>
              </w:tc>
              <w:tc>
                <w:tcPr>
                  <w:tcW w:w="963" w:type="dxa"/>
                  <w:vAlign w:val="center"/>
                </w:tcPr>
                <w:p w14:paraId="4CEA8DB0">
                  <w:pPr>
                    <w:jc w:val="center"/>
                    <w:textAlignment w:val="center"/>
                    <w:rPr>
                      <w:rFonts w:hint="default"/>
                      <w:sz w:val="18"/>
                      <w:szCs w:val="18"/>
                      <w:lang w:val="en-US" w:eastAsia="zh-CN"/>
                    </w:rPr>
                  </w:pPr>
                  <w:r>
                    <w:rPr>
                      <w:rFonts w:hint="eastAsia"/>
                      <w:sz w:val="18"/>
                      <w:szCs w:val="18"/>
                      <w:lang w:val="en-US" w:eastAsia="zh-CN"/>
                    </w:rPr>
                    <w:t>40</w:t>
                  </w:r>
                </w:p>
              </w:tc>
              <w:tc>
                <w:tcPr>
                  <w:tcW w:w="996" w:type="dxa"/>
                  <w:vAlign w:val="center"/>
                </w:tcPr>
                <w:p w14:paraId="473F75B0">
                  <w:pPr>
                    <w:jc w:val="center"/>
                    <w:textAlignment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0.004</w:t>
                  </w:r>
                </w:p>
              </w:tc>
              <w:tc>
                <w:tcPr>
                  <w:tcW w:w="869" w:type="dxa"/>
                  <w:vAlign w:val="center"/>
                </w:tcPr>
                <w:p w14:paraId="3D027B97">
                  <w:pPr>
                    <w:jc w:val="center"/>
                    <w:textAlignment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40</w:t>
                  </w:r>
                </w:p>
              </w:tc>
              <w:tc>
                <w:tcPr>
                  <w:tcW w:w="917" w:type="dxa"/>
                  <w:vAlign w:val="center"/>
                </w:tcPr>
                <w:p w14:paraId="2A344B69">
                  <w:pPr>
                    <w:jc w:val="center"/>
                    <w:textAlignment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0.004</w:t>
                  </w:r>
                </w:p>
              </w:tc>
              <w:tc>
                <w:tcPr>
                  <w:tcW w:w="749" w:type="dxa"/>
                  <w:vMerge w:val="restart"/>
                  <w:vAlign w:val="center"/>
                </w:tcPr>
                <w:p w14:paraId="30F76741">
                  <w:pPr>
                    <w:jc w:val="center"/>
                    <w:textAlignment w:val="center"/>
                    <w:rPr>
                      <w:rFonts w:hint="eastAsia" w:eastAsia="宋体"/>
                      <w:kern w:val="0"/>
                      <w:sz w:val="18"/>
                      <w:szCs w:val="18"/>
                      <w:lang w:eastAsia="zh-CN" w:bidi="ar"/>
                    </w:rPr>
                  </w:pPr>
                  <w:r>
                    <w:rPr>
                      <w:rFonts w:hint="eastAsia"/>
                      <w:kern w:val="0"/>
                      <w:sz w:val="18"/>
                      <w:szCs w:val="18"/>
                      <w:lang w:eastAsia="zh-CN" w:bidi="ar"/>
                    </w:rPr>
                    <w:t>沉淀</w:t>
                  </w:r>
                </w:p>
              </w:tc>
              <w:tc>
                <w:tcPr>
                  <w:tcW w:w="762" w:type="dxa"/>
                  <w:vMerge w:val="restart"/>
                  <w:vAlign w:val="center"/>
                </w:tcPr>
                <w:p w14:paraId="5093EA52">
                  <w:pPr>
                    <w:jc w:val="center"/>
                    <w:textAlignment w:val="center"/>
                    <w:rPr>
                      <w:rFonts w:hint="default" w:eastAsia="宋体"/>
                      <w:kern w:val="0"/>
                      <w:sz w:val="18"/>
                      <w:szCs w:val="18"/>
                      <w:lang w:val="en-US" w:eastAsia="zh-CN" w:bidi="ar"/>
                    </w:rPr>
                  </w:pPr>
                  <w:r>
                    <w:rPr>
                      <w:rFonts w:hint="eastAsia"/>
                      <w:kern w:val="0"/>
                      <w:sz w:val="18"/>
                      <w:szCs w:val="18"/>
                      <w:lang w:val="en-US" w:eastAsia="zh-CN" w:bidi="ar"/>
                    </w:rPr>
                    <w:t>50m</w:t>
                  </w:r>
                  <w:r>
                    <w:rPr>
                      <w:rFonts w:hint="eastAsia"/>
                      <w:kern w:val="0"/>
                      <w:sz w:val="18"/>
                      <w:szCs w:val="18"/>
                      <w:vertAlign w:val="superscript"/>
                      <w:lang w:val="en-US" w:eastAsia="zh-CN" w:bidi="ar"/>
                    </w:rPr>
                    <w:t>3</w:t>
                  </w:r>
                </w:p>
              </w:tc>
              <w:tc>
                <w:tcPr>
                  <w:tcW w:w="645" w:type="dxa"/>
                  <w:vMerge w:val="restart"/>
                  <w:vAlign w:val="center"/>
                </w:tcPr>
                <w:p w14:paraId="10E473AB">
                  <w:pPr>
                    <w:jc w:val="center"/>
                    <w:textAlignment w:val="center"/>
                    <w:rPr>
                      <w:rFonts w:hint="eastAsia" w:eastAsia="宋体"/>
                      <w:kern w:val="0"/>
                      <w:sz w:val="18"/>
                      <w:szCs w:val="18"/>
                      <w:lang w:val="en-US" w:eastAsia="zh-CN" w:bidi="ar"/>
                    </w:rPr>
                  </w:pPr>
                  <w:r>
                    <w:rPr>
                      <w:rFonts w:hint="eastAsia"/>
                      <w:kern w:val="0"/>
                      <w:sz w:val="18"/>
                      <w:szCs w:val="18"/>
                      <w:lang w:val="en-US" w:eastAsia="zh-CN" w:bidi="ar"/>
                    </w:rPr>
                    <w:t>/</w:t>
                  </w:r>
                </w:p>
              </w:tc>
              <w:tc>
                <w:tcPr>
                  <w:tcW w:w="945" w:type="dxa"/>
                  <w:vAlign w:val="center"/>
                </w:tcPr>
                <w:p w14:paraId="51C94824">
                  <w:pPr>
                    <w:jc w:val="center"/>
                    <w:textAlignment w:val="center"/>
                    <w:rPr>
                      <w:rFonts w:hint="eastAsia" w:eastAsia="宋体"/>
                      <w:kern w:val="0"/>
                      <w:sz w:val="18"/>
                      <w:szCs w:val="18"/>
                      <w:lang w:val="en-US" w:eastAsia="zh-CN" w:bidi="ar"/>
                    </w:rPr>
                  </w:pPr>
                  <w:r>
                    <w:rPr>
                      <w:rFonts w:hint="eastAsia"/>
                      <w:kern w:val="0"/>
                      <w:sz w:val="18"/>
                      <w:szCs w:val="18"/>
                      <w:lang w:val="en-US" w:eastAsia="zh-CN" w:bidi="ar"/>
                    </w:rPr>
                    <w:t>0</w:t>
                  </w:r>
                </w:p>
              </w:tc>
              <w:tc>
                <w:tcPr>
                  <w:tcW w:w="1043" w:type="dxa"/>
                  <w:vMerge w:val="restart"/>
                  <w:vAlign w:val="center"/>
                </w:tcPr>
                <w:p w14:paraId="49570DFB">
                  <w:pPr>
                    <w:jc w:val="center"/>
                    <w:textAlignment w:val="center"/>
                    <w:rPr>
                      <w:kern w:val="0"/>
                      <w:sz w:val="18"/>
                      <w:szCs w:val="18"/>
                      <w:lang w:bidi="ar"/>
                    </w:rPr>
                  </w:pPr>
                  <w:r>
                    <w:rPr>
                      <w:kern w:val="0"/>
                      <w:sz w:val="18"/>
                      <w:szCs w:val="18"/>
                      <w:lang w:bidi="ar"/>
                    </w:rPr>
                    <w:t>是</w:t>
                  </w:r>
                </w:p>
              </w:tc>
              <w:tc>
                <w:tcPr>
                  <w:tcW w:w="625" w:type="dxa"/>
                  <w:vMerge w:val="restart"/>
                  <w:vAlign w:val="center"/>
                </w:tcPr>
                <w:p w14:paraId="3B401591">
                  <w:pPr>
                    <w:jc w:val="center"/>
                    <w:textAlignment w:val="center"/>
                    <w:rPr>
                      <w:kern w:val="0"/>
                      <w:sz w:val="18"/>
                      <w:szCs w:val="18"/>
                      <w:lang w:bidi="ar"/>
                    </w:rPr>
                  </w:pPr>
                  <w:r>
                    <w:rPr>
                      <w:kern w:val="0"/>
                      <w:sz w:val="18"/>
                      <w:szCs w:val="18"/>
                      <w:lang w:bidi="ar"/>
                    </w:rPr>
                    <w:t>间接排放</w:t>
                  </w:r>
                </w:p>
              </w:tc>
              <w:tc>
                <w:tcPr>
                  <w:tcW w:w="949" w:type="dxa"/>
                  <w:vMerge w:val="restart"/>
                  <w:vAlign w:val="center"/>
                </w:tcPr>
                <w:p w14:paraId="7BF12043">
                  <w:pPr>
                    <w:jc w:val="center"/>
                    <w:textAlignment w:val="center"/>
                    <w:rPr>
                      <w:kern w:val="0"/>
                      <w:sz w:val="18"/>
                      <w:szCs w:val="18"/>
                      <w:lang w:bidi="ar"/>
                    </w:rPr>
                  </w:pPr>
                  <w:r>
                    <w:rPr>
                      <w:rFonts w:hint="eastAsia"/>
                      <w:kern w:val="0"/>
                      <w:sz w:val="18"/>
                      <w:szCs w:val="18"/>
                      <w:lang w:eastAsia="zh-CN" w:bidi="ar"/>
                    </w:rPr>
                    <w:t>南通市东港排水有限公司</w:t>
                  </w:r>
                </w:p>
              </w:tc>
              <w:tc>
                <w:tcPr>
                  <w:tcW w:w="540" w:type="dxa"/>
                  <w:vMerge w:val="restart"/>
                  <w:vAlign w:val="center"/>
                </w:tcPr>
                <w:p w14:paraId="3314A4EA">
                  <w:pPr>
                    <w:jc w:val="center"/>
                    <w:textAlignment w:val="center"/>
                    <w:rPr>
                      <w:kern w:val="0"/>
                      <w:sz w:val="18"/>
                      <w:szCs w:val="18"/>
                      <w:lang w:bidi="ar"/>
                    </w:rPr>
                  </w:pPr>
                  <w:r>
                    <w:rPr>
                      <w:kern w:val="0"/>
                      <w:sz w:val="18"/>
                      <w:szCs w:val="18"/>
                      <w:lang w:bidi="ar"/>
                    </w:rPr>
                    <w:t>间歇排放</w:t>
                  </w:r>
                </w:p>
              </w:tc>
            </w:tr>
            <w:tr w14:paraId="4D7973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3F0F9419">
                  <w:pPr>
                    <w:jc w:val="center"/>
                    <w:textAlignment w:val="center"/>
                    <w:rPr>
                      <w:kern w:val="0"/>
                      <w:sz w:val="18"/>
                      <w:szCs w:val="18"/>
                      <w:lang w:bidi="ar"/>
                    </w:rPr>
                  </w:pPr>
                </w:p>
              </w:tc>
              <w:tc>
                <w:tcPr>
                  <w:tcW w:w="683" w:type="dxa"/>
                  <w:vMerge w:val="continue"/>
                  <w:vAlign w:val="center"/>
                </w:tcPr>
                <w:p w14:paraId="29A19F8F">
                  <w:pPr>
                    <w:jc w:val="center"/>
                    <w:textAlignment w:val="center"/>
                    <w:rPr>
                      <w:kern w:val="0"/>
                      <w:sz w:val="18"/>
                      <w:szCs w:val="18"/>
                      <w:lang w:bidi="ar"/>
                    </w:rPr>
                  </w:pPr>
                </w:p>
              </w:tc>
              <w:tc>
                <w:tcPr>
                  <w:tcW w:w="773" w:type="dxa"/>
                  <w:vMerge w:val="continue"/>
                  <w:vAlign w:val="center"/>
                </w:tcPr>
                <w:p w14:paraId="73A3EF6C">
                  <w:pPr>
                    <w:jc w:val="center"/>
                    <w:textAlignment w:val="center"/>
                    <w:rPr>
                      <w:kern w:val="0"/>
                      <w:sz w:val="18"/>
                      <w:szCs w:val="18"/>
                      <w:lang w:bidi="ar"/>
                    </w:rPr>
                  </w:pPr>
                </w:p>
              </w:tc>
              <w:tc>
                <w:tcPr>
                  <w:tcW w:w="840" w:type="dxa"/>
                  <w:vAlign w:val="center"/>
                </w:tcPr>
                <w:p w14:paraId="3AF243F0">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SS</w:t>
                  </w:r>
                </w:p>
              </w:tc>
              <w:tc>
                <w:tcPr>
                  <w:tcW w:w="963" w:type="dxa"/>
                  <w:vAlign w:val="center"/>
                </w:tcPr>
                <w:p w14:paraId="1F62165F">
                  <w:pPr>
                    <w:jc w:val="center"/>
                    <w:textAlignment w:val="center"/>
                    <w:rPr>
                      <w:rFonts w:hint="default"/>
                      <w:sz w:val="18"/>
                      <w:szCs w:val="18"/>
                      <w:lang w:val="en-US" w:eastAsia="zh-CN"/>
                    </w:rPr>
                  </w:pPr>
                  <w:r>
                    <w:rPr>
                      <w:rFonts w:hint="eastAsia"/>
                      <w:sz w:val="18"/>
                      <w:szCs w:val="18"/>
                      <w:lang w:val="en-US" w:eastAsia="zh-CN"/>
                    </w:rPr>
                    <w:t>20</w:t>
                  </w:r>
                </w:p>
              </w:tc>
              <w:tc>
                <w:tcPr>
                  <w:tcW w:w="996" w:type="dxa"/>
                  <w:vAlign w:val="center"/>
                </w:tcPr>
                <w:p w14:paraId="42BB315A">
                  <w:pPr>
                    <w:jc w:val="center"/>
                    <w:textAlignment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0.002</w:t>
                  </w:r>
                </w:p>
              </w:tc>
              <w:tc>
                <w:tcPr>
                  <w:tcW w:w="869" w:type="dxa"/>
                  <w:vAlign w:val="center"/>
                </w:tcPr>
                <w:p w14:paraId="47FF7961">
                  <w:pPr>
                    <w:jc w:val="center"/>
                    <w:textAlignment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917" w:type="dxa"/>
                  <w:vAlign w:val="center"/>
                </w:tcPr>
                <w:p w14:paraId="72BD1140">
                  <w:pPr>
                    <w:jc w:val="center"/>
                    <w:textAlignment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0.001</w:t>
                  </w:r>
                </w:p>
              </w:tc>
              <w:tc>
                <w:tcPr>
                  <w:tcW w:w="749" w:type="dxa"/>
                  <w:vMerge w:val="continue"/>
                  <w:vAlign w:val="center"/>
                </w:tcPr>
                <w:p w14:paraId="3FB420A0">
                  <w:pPr>
                    <w:jc w:val="center"/>
                    <w:textAlignment w:val="center"/>
                    <w:rPr>
                      <w:kern w:val="0"/>
                      <w:sz w:val="18"/>
                      <w:szCs w:val="18"/>
                      <w:lang w:bidi="ar"/>
                    </w:rPr>
                  </w:pPr>
                </w:p>
              </w:tc>
              <w:tc>
                <w:tcPr>
                  <w:tcW w:w="762" w:type="dxa"/>
                  <w:vMerge w:val="continue"/>
                  <w:vAlign w:val="center"/>
                </w:tcPr>
                <w:p w14:paraId="0266D0E5">
                  <w:pPr>
                    <w:jc w:val="center"/>
                    <w:textAlignment w:val="center"/>
                    <w:rPr>
                      <w:kern w:val="0"/>
                      <w:sz w:val="18"/>
                      <w:szCs w:val="18"/>
                      <w:lang w:bidi="ar"/>
                    </w:rPr>
                  </w:pPr>
                </w:p>
              </w:tc>
              <w:tc>
                <w:tcPr>
                  <w:tcW w:w="645" w:type="dxa"/>
                  <w:vMerge w:val="continue"/>
                  <w:vAlign w:val="center"/>
                </w:tcPr>
                <w:p w14:paraId="42482840">
                  <w:pPr>
                    <w:jc w:val="center"/>
                    <w:textAlignment w:val="center"/>
                    <w:rPr>
                      <w:kern w:val="0"/>
                      <w:sz w:val="18"/>
                      <w:szCs w:val="18"/>
                      <w:lang w:bidi="ar"/>
                    </w:rPr>
                  </w:pPr>
                </w:p>
              </w:tc>
              <w:tc>
                <w:tcPr>
                  <w:tcW w:w="945" w:type="dxa"/>
                  <w:vAlign w:val="center"/>
                </w:tcPr>
                <w:p w14:paraId="043A0A53">
                  <w:pPr>
                    <w:jc w:val="center"/>
                    <w:textAlignment w:val="center"/>
                    <w:rPr>
                      <w:rFonts w:hint="default" w:eastAsia="宋体"/>
                      <w:kern w:val="0"/>
                      <w:sz w:val="18"/>
                      <w:szCs w:val="18"/>
                      <w:lang w:val="en-US" w:eastAsia="zh-CN" w:bidi="ar"/>
                    </w:rPr>
                  </w:pPr>
                  <w:r>
                    <w:rPr>
                      <w:rFonts w:hint="eastAsia"/>
                      <w:kern w:val="0"/>
                      <w:sz w:val="18"/>
                      <w:szCs w:val="18"/>
                      <w:lang w:val="en-US" w:eastAsia="zh-CN" w:bidi="ar"/>
                    </w:rPr>
                    <w:t>50</w:t>
                  </w:r>
                </w:p>
              </w:tc>
              <w:tc>
                <w:tcPr>
                  <w:tcW w:w="1043" w:type="dxa"/>
                  <w:vMerge w:val="continue"/>
                  <w:vAlign w:val="center"/>
                </w:tcPr>
                <w:p w14:paraId="46E8CBC4">
                  <w:pPr>
                    <w:jc w:val="center"/>
                    <w:textAlignment w:val="center"/>
                    <w:rPr>
                      <w:kern w:val="0"/>
                      <w:sz w:val="18"/>
                      <w:szCs w:val="18"/>
                      <w:lang w:bidi="ar"/>
                    </w:rPr>
                  </w:pPr>
                </w:p>
              </w:tc>
              <w:tc>
                <w:tcPr>
                  <w:tcW w:w="625" w:type="dxa"/>
                  <w:vMerge w:val="continue"/>
                  <w:vAlign w:val="center"/>
                </w:tcPr>
                <w:p w14:paraId="2D26FFDB">
                  <w:pPr>
                    <w:jc w:val="center"/>
                    <w:textAlignment w:val="center"/>
                    <w:rPr>
                      <w:kern w:val="0"/>
                      <w:sz w:val="18"/>
                      <w:szCs w:val="18"/>
                      <w:lang w:bidi="ar"/>
                    </w:rPr>
                  </w:pPr>
                </w:p>
              </w:tc>
              <w:tc>
                <w:tcPr>
                  <w:tcW w:w="949" w:type="dxa"/>
                  <w:vMerge w:val="continue"/>
                  <w:vAlign w:val="center"/>
                </w:tcPr>
                <w:p w14:paraId="3FD6646B">
                  <w:pPr>
                    <w:jc w:val="center"/>
                    <w:textAlignment w:val="center"/>
                    <w:rPr>
                      <w:kern w:val="0"/>
                      <w:sz w:val="18"/>
                      <w:szCs w:val="18"/>
                      <w:lang w:bidi="ar"/>
                    </w:rPr>
                  </w:pPr>
                </w:p>
              </w:tc>
              <w:tc>
                <w:tcPr>
                  <w:tcW w:w="540" w:type="dxa"/>
                  <w:vMerge w:val="continue"/>
                  <w:vAlign w:val="center"/>
                </w:tcPr>
                <w:p w14:paraId="1148A5AD">
                  <w:pPr>
                    <w:jc w:val="center"/>
                    <w:textAlignment w:val="center"/>
                    <w:rPr>
                      <w:kern w:val="0"/>
                      <w:sz w:val="18"/>
                      <w:szCs w:val="18"/>
                      <w:lang w:bidi="ar"/>
                    </w:rPr>
                  </w:pPr>
                </w:p>
              </w:tc>
            </w:tr>
            <w:tr w14:paraId="4B1E5D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restart"/>
                  <w:vAlign w:val="center"/>
                </w:tcPr>
                <w:p w14:paraId="71874815">
                  <w:pPr>
                    <w:jc w:val="center"/>
                    <w:textAlignment w:val="center"/>
                    <w:rPr>
                      <w:rFonts w:hint="eastAsia" w:eastAsia="宋体"/>
                      <w:kern w:val="0"/>
                      <w:sz w:val="18"/>
                      <w:szCs w:val="18"/>
                      <w:lang w:eastAsia="zh-CN" w:bidi="ar"/>
                    </w:rPr>
                  </w:pPr>
                  <w:r>
                    <w:rPr>
                      <w:rFonts w:hint="eastAsia"/>
                      <w:kern w:val="0"/>
                      <w:sz w:val="18"/>
                      <w:szCs w:val="18"/>
                      <w:lang w:eastAsia="zh-CN" w:bidi="ar"/>
                    </w:rPr>
                    <w:t>综合废水</w:t>
                  </w:r>
                </w:p>
              </w:tc>
              <w:tc>
                <w:tcPr>
                  <w:tcW w:w="683" w:type="dxa"/>
                  <w:vMerge w:val="restart"/>
                  <w:vAlign w:val="center"/>
                </w:tcPr>
                <w:p w14:paraId="2BACEC08">
                  <w:pPr>
                    <w:jc w:val="center"/>
                    <w:textAlignment w:val="center"/>
                    <w:rPr>
                      <w:rFonts w:hint="eastAsia" w:eastAsia="宋体"/>
                      <w:kern w:val="0"/>
                      <w:sz w:val="18"/>
                      <w:szCs w:val="18"/>
                      <w:lang w:eastAsia="zh-CN" w:bidi="ar"/>
                    </w:rPr>
                  </w:pPr>
                  <w:r>
                    <w:rPr>
                      <w:rFonts w:hint="eastAsia"/>
                      <w:kern w:val="0"/>
                      <w:sz w:val="18"/>
                      <w:szCs w:val="18"/>
                      <w:lang w:eastAsia="zh-CN" w:bidi="ar"/>
                    </w:rPr>
                    <w:t>综合废水</w:t>
                  </w:r>
                </w:p>
              </w:tc>
              <w:tc>
                <w:tcPr>
                  <w:tcW w:w="773" w:type="dxa"/>
                  <w:vMerge w:val="restart"/>
                  <w:vAlign w:val="center"/>
                </w:tcPr>
                <w:p w14:paraId="5517352B">
                  <w:pPr>
                    <w:jc w:val="center"/>
                    <w:textAlignment w:val="center"/>
                    <w:rPr>
                      <w:rFonts w:hint="default" w:eastAsia="宋体"/>
                      <w:kern w:val="0"/>
                      <w:sz w:val="18"/>
                      <w:szCs w:val="18"/>
                      <w:lang w:val="en-US" w:eastAsia="zh-CN" w:bidi="ar"/>
                    </w:rPr>
                  </w:pPr>
                  <w:r>
                    <w:rPr>
                      <w:rFonts w:hint="eastAsia"/>
                      <w:kern w:val="0"/>
                      <w:sz w:val="18"/>
                      <w:szCs w:val="18"/>
                      <w:lang w:val="en-US" w:eastAsia="zh-CN" w:bidi="ar"/>
                    </w:rPr>
                    <w:t>340</w:t>
                  </w:r>
                </w:p>
              </w:tc>
              <w:tc>
                <w:tcPr>
                  <w:tcW w:w="840" w:type="dxa"/>
                  <w:vAlign w:val="center"/>
                </w:tcPr>
                <w:p w14:paraId="5B4A92A0">
                  <w:pPr>
                    <w:jc w:val="center"/>
                    <w:rPr>
                      <w:rFonts w:hint="eastAsia" w:ascii="Times New Roman" w:hAnsi="Times New Roman" w:cs="Times New Roman"/>
                      <w:sz w:val="18"/>
                      <w:szCs w:val="18"/>
                      <w:lang w:val="en-US" w:eastAsia="zh-CN"/>
                    </w:rPr>
                  </w:pPr>
                  <w:r>
                    <w:rPr>
                      <w:sz w:val="18"/>
                      <w:szCs w:val="18"/>
                    </w:rPr>
                    <w:t>COD</w:t>
                  </w:r>
                </w:p>
              </w:tc>
              <w:tc>
                <w:tcPr>
                  <w:tcW w:w="963" w:type="dxa"/>
                  <w:vAlign w:val="center"/>
                </w:tcPr>
                <w:p w14:paraId="633BE71D">
                  <w:pPr>
                    <w:jc w:val="center"/>
                    <w:textAlignment w:val="center"/>
                    <w:rPr>
                      <w:rFonts w:hint="default" w:eastAsia="宋体"/>
                      <w:kern w:val="0"/>
                      <w:sz w:val="18"/>
                      <w:szCs w:val="18"/>
                      <w:lang w:val="en-US" w:eastAsia="zh-CN" w:bidi="ar"/>
                    </w:rPr>
                  </w:pPr>
                  <w:r>
                    <w:rPr>
                      <w:rFonts w:hint="eastAsia" w:eastAsia="宋体"/>
                      <w:kern w:val="0"/>
                      <w:sz w:val="18"/>
                      <w:szCs w:val="18"/>
                      <w:lang w:val="en-US" w:eastAsia="zh-CN" w:bidi="ar"/>
                    </w:rPr>
                    <w:t xml:space="preserve">258.82 </w:t>
                  </w:r>
                </w:p>
              </w:tc>
              <w:tc>
                <w:tcPr>
                  <w:tcW w:w="996" w:type="dxa"/>
                  <w:vAlign w:val="center"/>
                </w:tcPr>
                <w:p w14:paraId="182386BC">
                  <w:pPr>
                    <w:jc w:val="center"/>
                    <w:textAlignment w:val="center"/>
                    <w:rPr>
                      <w:rFonts w:hint="eastAsia" w:eastAsia="宋体"/>
                      <w:kern w:val="0"/>
                      <w:sz w:val="18"/>
                      <w:szCs w:val="18"/>
                      <w:lang w:val="en-US" w:eastAsia="zh-CN" w:bidi="ar"/>
                    </w:rPr>
                  </w:pPr>
                  <w:r>
                    <w:rPr>
                      <w:rFonts w:hint="eastAsia" w:eastAsia="宋体"/>
                      <w:kern w:val="0"/>
                      <w:sz w:val="18"/>
                      <w:szCs w:val="18"/>
                      <w:lang w:val="en-US" w:eastAsia="zh-CN" w:bidi="ar"/>
                    </w:rPr>
                    <w:t>0.088</w:t>
                  </w:r>
                </w:p>
              </w:tc>
              <w:tc>
                <w:tcPr>
                  <w:tcW w:w="869" w:type="dxa"/>
                  <w:vAlign w:val="center"/>
                </w:tcPr>
                <w:p w14:paraId="6349F3EA">
                  <w:pPr>
                    <w:jc w:val="center"/>
                    <w:textAlignment w:val="center"/>
                    <w:rPr>
                      <w:rFonts w:hint="default" w:eastAsia="宋体"/>
                      <w:kern w:val="0"/>
                      <w:sz w:val="18"/>
                      <w:szCs w:val="18"/>
                      <w:lang w:val="en-US" w:eastAsia="zh-CN" w:bidi="ar"/>
                    </w:rPr>
                  </w:pPr>
                  <w:r>
                    <w:rPr>
                      <w:rFonts w:hint="eastAsia" w:eastAsia="宋体"/>
                      <w:kern w:val="0"/>
                      <w:sz w:val="18"/>
                      <w:szCs w:val="18"/>
                      <w:lang w:val="en-US" w:eastAsia="zh-CN" w:bidi="ar"/>
                    </w:rPr>
                    <w:t xml:space="preserve">223.53 </w:t>
                  </w:r>
                </w:p>
              </w:tc>
              <w:tc>
                <w:tcPr>
                  <w:tcW w:w="917" w:type="dxa"/>
                  <w:vAlign w:val="center"/>
                </w:tcPr>
                <w:p w14:paraId="39DFB08E">
                  <w:pPr>
                    <w:jc w:val="center"/>
                    <w:textAlignment w:val="center"/>
                    <w:rPr>
                      <w:rFonts w:hint="eastAsia" w:eastAsia="宋体"/>
                      <w:kern w:val="0"/>
                      <w:sz w:val="18"/>
                      <w:szCs w:val="18"/>
                      <w:lang w:val="en-US" w:eastAsia="zh-CN" w:bidi="ar"/>
                    </w:rPr>
                  </w:pPr>
                  <w:r>
                    <w:rPr>
                      <w:rFonts w:hint="eastAsia" w:eastAsia="宋体"/>
                      <w:kern w:val="0"/>
                      <w:sz w:val="18"/>
                      <w:szCs w:val="18"/>
                      <w:lang w:val="en-US" w:eastAsia="zh-CN" w:bidi="ar"/>
                    </w:rPr>
                    <w:t>0.076</w:t>
                  </w:r>
                </w:p>
              </w:tc>
              <w:tc>
                <w:tcPr>
                  <w:tcW w:w="749" w:type="dxa"/>
                  <w:vMerge w:val="restart"/>
                  <w:vAlign w:val="center"/>
                </w:tcPr>
                <w:p w14:paraId="617DCDAC">
                  <w:pPr>
                    <w:jc w:val="center"/>
                    <w:textAlignment w:val="center"/>
                    <w:rPr>
                      <w:rFonts w:hint="eastAsia" w:eastAsia="宋体"/>
                      <w:kern w:val="0"/>
                      <w:sz w:val="18"/>
                      <w:szCs w:val="18"/>
                      <w:lang w:val="en-US" w:eastAsia="zh-CN" w:bidi="ar"/>
                    </w:rPr>
                  </w:pPr>
                  <w:r>
                    <w:rPr>
                      <w:rFonts w:hint="eastAsia"/>
                      <w:kern w:val="0"/>
                      <w:sz w:val="18"/>
                      <w:szCs w:val="18"/>
                      <w:lang w:val="en-US" w:eastAsia="zh-CN" w:bidi="ar"/>
                    </w:rPr>
                    <w:t>/</w:t>
                  </w:r>
                </w:p>
              </w:tc>
              <w:tc>
                <w:tcPr>
                  <w:tcW w:w="762" w:type="dxa"/>
                  <w:vMerge w:val="restart"/>
                  <w:vAlign w:val="center"/>
                </w:tcPr>
                <w:p w14:paraId="13C3BB26">
                  <w:pPr>
                    <w:jc w:val="center"/>
                    <w:textAlignment w:val="center"/>
                    <w:rPr>
                      <w:rFonts w:hint="eastAsia" w:eastAsia="宋体"/>
                      <w:kern w:val="0"/>
                      <w:sz w:val="18"/>
                      <w:szCs w:val="18"/>
                      <w:lang w:val="en-US" w:eastAsia="zh-CN" w:bidi="ar"/>
                    </w:rPr>
                  </w:pPr>
                  <w:r>
                    <w:rPr>
                      <w:rFonts w:hint="eastAsia"/>
                      <w:kern w:val="0"/>
                      <w:sz w:val="18"/>
                      <w:szCs w:val="18"/>
                      <w:lang w:val="en-US" w:eastAsia="zh-CN" w:bidi="ar"/>
                    </w:rPr>
                    <w:t>/</w:t>
                  </w:r>
                </w:p>
              </w:tc>
              <w:tc>
                <w:tcPr>
                  <w:tcW w:w="645" w:type="dxa"/>
                  <w:vMerge w:val="restart"/>
                  <w:vAlign w:val="center"/>
                </w:tcPr>
                <w:p w14:paraId="2A0E55D2">
                  <w:pPr>
                    <w:jc w:val="center"/>
                    <w:textAlignment w:val="center"/>
                    <w:rPr>
                      <w:rFonts w:hint="eastAsia" w:eastAsia="宋体"/>
                      <w:kern w:val="0"/>
                      <w:sz w:val="18"/>
                      <w:szCs w:val="18"/>
                      <w:lang w:val="en-US" w:eastAsia="zh-CN" w:bidi="ar"/>
                    </w:rPr>
                  </w:pPr>
                  <w:r>
                    <w:rPr>
                      <w:rFonts w:hint="eastAsia"/>
                      <w:kern w:val="0"/>
                      <w:sz w:val="18"/>
                      <w:szCs w:val="18"/>
                      <w:lang w:val="en-US" w:eastAsia="zh-CN" w:bidi="ar"/>
                    </w:rPr>
                    <w:t>/</w:t>
                  </w:r>
                </w:p>
              </w:tc>
              <w:tc>
                <w:tcPr>
                  <w:tcW w:w="945" w:type="dxa"/>
                  <w:vMerge w:val="restart"/>
                  <w:vAlign w:val="center"/>
                </w:tcPr>
                <w:p w14:paraId="66DC428A">
                  <w:pPr>
                    <w:jc w:val="center"/>
                    <w:textAlignment w:val="center"/>
                    <w:rPr>
                      <w:rFonts w:hint="default"/>
                      <w:kern w:val="0"/>
                      <w:sz w:val="18"/>
                      <w:szCs w:val="18"/>
                      <w:lang w:val="en-US" w:eastAsia="zh-CN" w:bidi="ar"/>
                    </w:rPr>
                  </w:pPr>
                  <w:r>
                    <w:rPr>
                      <w:rFonts w:hint="eastAsia"/>
                      <w:kern w:val="0"/>
                      <w:sz w:val="18"/>
                      <w:szCs w:val="18"/>
                      <w:lang w:val="en-US" w:eastAsia="zh-CN" w:bidi="ar"/>
                    </w:rPr>
                    <w:t>/</w:t>
                  </w:r>
                </w:p>
              </w:tc>
              <w:tc>
                <w:tcPr>
                  <w:tcW w:w="1043" w:type="dxa"/>
                  <w:vMerge w:val="restart"/>
                  <w:vAlign w:val="center"/>
                </w:tcPr>
                <w:p w14:paraId="52802273">
                  <w:pPr>
                    <w:jc w:val="center"/>
                    <w:textAlignment w:val="center"/>
                    <w:rPr>
                      <w:kern w:val="0"/>
                      <w:sz w:val="18"/>
                      <w:szCs w:val="18"/>
                      <w:lang w:bidi="ar"/>
                    </w:rPr>
                  </w:pPr>
                  <w:r>
                    <w:rPr>
                      <w:kern w:val="0"/>
                      <w:sz w:val="18"/>
                      <w:szCs w:val="18"/>
                      <w:lang w:bidi="ar"/>
                    </w:rPr>
                    <w:t>是</w:t>
                  </w:r>
                </w:p>
              </w:tc>
              <w:tc>
                <w:tcPr>
                  <w:tcW w:w="625" w:type="dxa"/>
                  <w:vMerge w:val="restart"/>
                  <w:vAlign w:val="center"/>
                </w:tcPr>
                <w:p w14:paraId="2FC73496">
                  <w:pPr>
                    <w:jc w:val="center"/>
                    <w:textAlignment w:val="center"/>
                    <w:rPr>
                      <w:kern w:val="0"/>
                      <w:sz w:val="18"/>
                      <w:szCs w:val="18"/>
                      <w:lang w:bidi="ar"/>
                    </w:rPr>
                  </w:pPr>
                  <w:r>
                    <w:rPr>
                      <w:kern w:val="0"/>
                      <w:sz w:val="18"/>
                      <w:szCs w:val="18"/>
                      <w:lang w:bidi="ar"/>
                    </w:rPr>
                    <w:t>间接排放</w:t>
                  </w:r>
                </w:p>
              </w:tc>
              <w:tc>
                <w:tcPr>
                  <w:tcW w:w="949" w:type="dxa"/>
                  <w:vMerge w:val="restart"/>
                  <w:vAlign w:val="center"/>
                </w:tcPr>
                <w:p w14:paraId="7FE7150E">
                  <w:pPr>
                    <w:jc w:val="center"/>
                    <w:textAlignment w:val="center"/>
                    <w:rPr>
                      <w:kern w:val="0"/>
                      <w:sz w:val="18"/>
                      <w:szCs w:val="18"/>
                      <w:lang w:bidi="ar"/>
                    </w:rPr>
                  </w:pPr>
                  <w:r>
                    <w:rPr>
                      <w:rFonts w:hint="eastAsia"/>
                      <w:kern w:val="0"/>
                      <w:sz w:val="18"/>
                      <w:szCs w:val="18"/>
                      <w:lang w:eastAsia="zh-CN" w:bidi="ar"/>
                    </w:rPr>
                    <w:t>南通市东港排水有限公司</w:t>
                  </w:r>
                </w:p>
              </w:tc>
              <w:tc>
                <w:tcPr>
                  <w:tcW w:w="540" w:type="dxa"/>
                  <w:vMerge w:val="restart"/>
                  <w:vAlign w:val="center"/>
                </w:tcPr>
                <w:p w14:paraId="7DC80778">
                  <w:pPr>
                    <w:jc w:val="center"/>
                    <w:textAlignment w:val="center"/>
                    <w:rPr>
                      <w:kern w:val="0"/>
                      <w:sz w:val="18"/>
                      <w:szCs w:val="18"/>
                      <w:lang w:bidi="ar"/>
                    </w:rPr>
                  </w:pPr>
                  <w:r>
                    <w:rPr>
                      <w:kern w:val="0"/>
                      <w:sz w:val="18"/>
                      <w:szCs w:val="18"/>
                      <w:lang w:bidi="ar"/>
                    </w:rPr>
                    <w:t>间歇排放</w:t>
                  </w:r>
                </w:p>
              </w:tc>
            </w:tr>
            <w:tr w14:paraId="361B12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1DFAA0FC">
                  <w:pPr>
                    <w:jc w:val="center"/>
                    <w:textAlignment w:val="center"/>
                    <w:rPr>
                      <w:kern w:val="0"/>
                      <w:sz w:val="18"/>
                      <w:szCs w:val="18"/>
                      <w:lang w:bidi="ar"/>
                    </w:rPr>
                  </w:pPr>
                </w:p>
              </w:tc>
              <w:tc>
                <w:tcPr>
                  <w:tcW w:w="683" w:type="dxa"/>
                  <w:vMerge w:val="continue"/>
                  <w:vAlign w:val="center"/>
                </w:tcPr>
                <w:p w14:paraId="36309218">
                  <w:pPr>
                    <w:jc w:val="center"/>
                    <w:textAlignment w:val="center"/>
                    <w:rPr>
                      <w:kern w:val="0"/>
                      <w:sz w:val="18"/>
                      <w:szCs w:val="18"/>
                      <w:lang w:bidi="ar"/>
                    </w:rPr>
                  </w:pPr>
                </w:p>
              </w:tc>
              <w:tc>
                <w:tcPr>
                  <w:tcW w:w="773" w:type="dxa"/>
                  <w:vMerge w:val="continue"/>
                  <w:vAlign w:val="center"/>
                </w:tcPr>
                <w:p w14:paraId="7FEE09C1">
                  <w:pPr>
                    <w:jc w:val="center"/>
                    <w:textAlignment w:val="center"/>
                    <w:rPr>
                      <w:kern w:val="0"/>
                      <w:sz w:val="18"/>
                      <w:szCs w:val="18"/>
                      <w:lang w:bidi="ar"/>
                    </w:rPr>
                  </w:pPr>
                </w:p>
              </w:tc>
              <w:tc>
                <w:tcPr>
                  <w:tcW w:w="840" w:type="dxa"/>
                  <w:vAlign w:val="center"/>
                </w:tcPr>
                <w:p w14:paraId="4146D854">
                  <w:pPr>
                    <w:jc w:val="center"/>
                    <w:rPr>
                      <w:rFonts w:hint="eastAsia" w:ascii="Times New Roman" w:hAnsi="Times New Roman" w:cs="Times New Roman"/>
                      <w:sz w:val="18"/>
                      <w:szCs w:val="18"/>
                      <w:lang w:val="en-US" w:eastAsia="zh-CN"/>
                    </w:rPr>
                  </w:pPr>
                  <w:r>
                    <w:rPr>
                      <w:sz w:val="18"/>
                      <w:szCs w:val="18"/>
                    </w:rPr>
                    <w:t>SS</w:t>
                  </w:r>
                </w:p>
              </w:tc>
              <w:tc>
                <w:tcPr>
                  <w:tcW w:w="963" w:type="dxa"/>
                  <w:vAlign w:val="center"/>
                </w:tcPr>
                <w:p w14:paraId="4B8D4EB7">
                  <w:pPr>
                    <w:jc w:val="center"/>
                    <w:textAlignment w:val="center"/>
                    <w:rPr>
                      <w:rFonts w:hint="default" w:eastAsia="宋体"/>
                      <w:kern w:val="0"/>
                      <w:sz w:val="18"/>
                      <w:szCs w:val="18"/>
                      <w:lang w:val="en-US" w:eastAsia="zh-CN" w:bidi="ar"/>
                    </w:rPr>
                  </w:pPr>
                  <w:r>
                    <w:rPr>
                      <w:rFonts w:hint="eastAsia" w:eastAsia="宋体"/>
                      <w:kern w:val="0"/>
                      <w:sz w:val="18"/>
                      <w:szCs w:val="18"/>
                      <w:lang w:val="en-US" w:eastAsia="zh-CN" w:bidi="ar"/>
                    </w:rPr>
                    <w:t xml:space="preserve">147.06 </w:t>
                  </w:r>
                </w:p>
              </w:tc>
              <w:tc>
                <w:tcPr>
                  <w:tcW w:w="996" w:type="dxa"/>
                  <w:vAlign w:val="center"/>
                </w:tcPr>
                <w:p w14:paraId="301D117C">
                  <w:pPr>
                    <w:jc w:val="center"/>
                    <w:textAlignment w:val="center"/>
                    <w:rPr>
                      <w:rFonts w:hint="eastAsia" w:eastAsia="宋体"/>
                      <w:kern w:val="0"/>
                      <w:sz w:val="18"/>
                      <w:szCs w:val="18"/>
                      <w:lang w:val="en-US" w:eastAsia="zh-CN" w:bidi="ar"/>
                    </w:rPr>
                  </w:pPr>
                  <w:r>
                    <w:rPr>
                      <w:rFonts w:hint="eastAsia" w:eastAsia="宋体"/>
                      <w:kern w:val="0"/>
                      <w:sz w:val="18"/>
                      <w:szCs w:val="18"/>
                      <w:lang w:val="en-US" w:eastAsia="zh-CN" w:bidi="ar"/>
                    </w:rPr>
                    <w:t>0.05</w:t>
                  </w:r>
                </w:p>
              </w:tc>
              <w:tc>
                <w:tcPr>
                  <w:tcW w:w="869" w:type="dxa"/>
                  <w:vAlign w:val="center"/>
                </w:tcPr>
                <w:p w14:paraId="6629ED32">
                  <w:pPr>
                    <w:jc w:val="center"/>
                    <w:textAlignment w:val="center"/>
                    <w:rPr>
                      <w:rFonts w:hint="default" w:eastAsia="宋体"/>
                      <w:kern w:val="0"/>
                      <w:sz w:val="18"/>
                      <w:szCs w:val="18"/>
                      <w:lang w:val="en-US" w:eastAsia="zh-CN" w:bidi="ar"/>
                    </w:rPr>
                  </w:pPr>
                  <w:r>
                    <w:rPr>
                      <w:rFonts w:hint="eastAsia" w:eastAsia="宋体"/>
                      <w:kern w:val="0"/>
                      <w:sz w:val="18"/>
                      <w:szCs w:val="18"/>
                      <w:lang w:val="en-US" w:eastAsia="zh-CN" w:bidi="ar"/>
                    </w:rPr>
                    <w:t xml:space="preserve">108.82 </w:t>
                  </w:r>
                </w:p>
              </w:tc>
              <w:tc>
                <w:tcPr>
                  <w:tcW w:w="917" w:type="dxa"/>
                  <w:vAlign w:val="center"/>
                </w:tcPr>
                <w:p w14:paraId="00AC4BF5">
                  <w:pPr>
                    <w:jc w:val="center"/>
                    <w:textAlignment w:val="center"/>
                    <w:rPr>
                      <w:rFonts w:hint="eastAsia" w:eastAsia="宋体"/>
                      <w:kern w:val="0"/>
                      <w:sz w:val="18"/>
                      <w:szCs w:val="18"/>
                      <w:lang w:val="en-US" w:eastAsia="zh-CN" w:bidi="ar"/>
                    </w:rPr>
                  </w:pPr>
                  <w:r>
                    <w:rPr>
                      <w:rFonts w:hint="eastAsia" w:eastAsia="宋体"/>
                      <w:kern w:val="0"/>
                      <w:sz w:val="18"/>
                      <w:szCs w:val="18"/>
                      <w:lang w:val="en-US" w:eastAsia="zh-CN" w:bidi="ar"/>
                    </w:rPr>
                    <w:t>0.037</w:t>
                  </w:r>
                </w:p>
              </w:tc>
              <w:tc>
                <w:tcPr>
                  <w:tcW w:w="749" w:type="dxa"/>
                  <w:vMerge w:val="continue"/>
                  <w:vAlign w:val="center"/>
                </w:tcPr>
                <w:p w14:paraId="39B2A740">
                  <w:pPr>
                    <w:jc w:val="center"/>
                    <w:textAlignment w:val="center"/>
                    <w:rPr>
                      <w:kern w:val="0"/>
                      <w:sz w:val="18"/>
                      <w:szCs w:val="18"/>
                      <w:lang w:bidi="ar"/>
                    </w:rPr>
                  </w:pPr>
                </w:p>
              </w:tc>
              <w:tc>
                <w:tcPr>
                  <w:tcW w:w="762" w:type="dxa"/>
                  <w:vMerge w:val="continue"/>
                  <w:vAlign w:val="center"/>
                </w:tcPr>
                <w:p w14:paraId="3C5C3868">
                  <w:pPr>
                    <w:jc w:val="center"/>
                    <w:textAlignment w:val="center"/>
                    <w:rPr>
                      <w:kern w:val="0"/>
                      <w:sz w:val="18"/>
                      <w:szCs w:val="18"/>
                      <w:lang w:bidi="ar"/>
                    </w:rPr>
                  </w:pPr>
                </w:p>
              </w:tc>
              <w:tc>
                <w:tcPr>
                  <w:tcW w:w="645" w:type="dxa"/>
                  <w:vMerge w:val="continue"/>
                  <w:vAlign w:val="center"/>
                </w:tcPr>
                <w:p w14:paraId="3FED48D1">
                  <w:pPr>
                    <w:jc w:val="center"/>
                    <w:textAlignment w:val="center"/>
                    <w:rPr>
                      <w:kern w:val="0"/>
                      <w:sz w:val="18"/>
                      <w:szCs w:val="18"/>
                      <w:lang w:bidi="ar"/>
                    </w:rPr>
                  </w:pPr>
                </w:p>
              </w:tc>
              <w:tc>
                <w:tcPr>
                  <w:tcW w:w="945" w:type="dxa"/>
                  <w:vMerge w:val="continue"/>
                  <w:vAlign w:val="center"/>
                </w:tcPr>
                <w:p w14:paraId="3DE5D66E">
                  <w:pPr>
                    <w:jc w:val="center"/>
                    <w:textAlignment w:val="center"/>
                    <w:rPr>
                      <w:rFonts w:hint="eastAsia"/>
                      <w:kern w:val="0"/>
                      <w:sz w:val="18"/>
                      <w:szCs w:val="18"/>
                      <w:lang w:val="en-US" w:eastAsia="zh-CN" w:bidi="ar"/>
                    </w:rPr>
                  </w:pPr>
                </w:p>
              </w:tc>
              <w:tc>
                <w:tcPr>
                  <w:tcW w:w="1043" w:type="dxa"/>
                  <w:vMerge w:val="continue"/>
                  <w:vAlign w:val="center"/>
                </w:tcPr>
                <w:p w14:paraId="51550A22">
                  <w:pPr>
                    <w:jc w:val="center"/>
                    <w:textAlignment w:val="center"/>
                    <w:rPr>
                      <w:kern w:val="0"/>
                      <w:sz w:val="18"/>
                      <w:szCs w:val="18"/>
                      <w:lang w:bidi="ar"/>
                    </w:rPr>
                  </w:pPr>
                </w:p>
              </w:tc>
              <w:tc>
                <w:tcPr>
                  <w:tcW w:w="625" w:type="dxa"/>
                  <w:vMerge w:val="continue"/>
                  <w:vAlign w:val="center"/>
                </w:tcPr>
                <w:p w14:paraId="39FFFDB4">
                  <w:pPr>
                    <w:jc w:val="center"/>
                    <w:textAlignment w:val="center"/>
                    <w:rPr>
                      <w:kern w:val="0"/>
                      <w:sz w:val="18"/>
                      <w:szCs w:val="18"/>
                      <w:lang w:bidi="ar"/>
                    </w:rPr>
                  </w:pPr>
                </w:p>
              </w:tc>
              <w:tc>
                <w:tcPr>
                  <w:tcW w:w="949" w:type="dxa"/>
                  <w:vMerge w:val="continue"/>
                  <w:vAlign w:val="center"/>
                </w:tcPr>
                <w:p w14:paraId="5BE9258D">
                  <w:pPr>
                    <w:jc w:val="center"/>
                    <w:textAlignment w:val="center"/>
                    <w:rPr>
                      <w:kern w:val="0"/>
                      <w:sz w:val="18"/>
                      <w:szCs w:val="18"/>
                      <w:lang w:bidi="ar"/>
                    </w:rPr>
                  </w:pPr>
                </w:p>
              </w:tc>
              <w:tc>
                <w:tcPr>
                  <w:tcW w:w="540" w:type="dxa"/>
                  <w:vMerge w:val="continue"/>
                  <w:vAlign w:val="center"/>
                </w:tcPr>
                <w:p w14:paraId="14022138">
                  <w:pPr>
                    <w:jc w:val="center"/>
                    <w:textAlignment w:val="center"/>
                    <w:rPr>
                      <w:kern w:val="0"/>
                      <w:sz w:val="18"/>
                      <w:szCs w:val="18"/>
                      <w:lang w:bidi="ar"/>
                    </w:rPr>
                  </w:pPr>
                </w:p>
              </w:tc>
            </w:tr>
            <w:tr w14:paraId="1B5C5B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18A5845E">
                  <w:pPr>
                    <w:jc w:val="center"/>
                    <w:textAlignment w:val="center"/>
                    <w:rPr>
                      <w:kern w:val="0"/>
                      <w:sz w:val="18"/>
                      <w:szCs w:val="18"/>
                      <w:lang w:bidi="ar"/>
                    </w:rPr>
                  </w:pPr>
                </w:p>
              </w:tc>
              <w:tc>
                <w:tcPr>
                  <w:tcW w:w="683" w:type="dxa"/>
                  <w:vMerge w:val="continue"/>
                  <w:vAlign w:val="center"/>
                </w:tcPr>
                <w:p w14:paraId="3190B307">
                  <w:pPr>
                    <w:jc w:val="center"/>
                    <w:textAlignment w:val="center"/>
                    <w:rPr>
                      <w:kern w:val="0"/>
                      <w:sz w:val="18"/>
                      <w:szCs w:val="18"/>
                      <w:lang w:bidi="ar"/>
                    </w:rPr>
                  </w:pPr>
                </w:p>
              </w:tc>
              <w:tc>
                <w:tcPr>
                  <w:tcW w:w="773" w:type="dxa"/>
                  <w:vMerge w:val="continue"/>
                  <w:vAlign w:val="center"/>
                </w:tcPr>
                <w:p w14:paraId="59E30F89">
                  <w:pPr>
                    <w:jc w:val="center"/>
                    <w:textAlignment w:val="center"/>
                    <w:rPr>
                      <w:kern w:val="0"/>
                      <w:sz w:val="18"/>
                      <w:szCs w:val="18"/>
                      <w:lang w:bidi="ar"/>
                    </w:rPr>
                  </w:pPr>
                </w:p>
              </w:tc>
              <w:tc>
                <w:tcPr>
                  <w:tcW w:w="840" w:type="dxa"/>
                  <w:vAlign w:val="center"/>
                </w:tcPr>
                <w:p w14:paraId="4CFE71F4">
                  <w:pPr>
                    <w:jc w:val="center"/>
                    <w:rPr>
                      <w:rFonts w:hint="eastAsia" w:ascii="Times New Roman" w:hAnsi="Times New Roman" w:cs="Times New Roman"/>
                      <w:sz w:val="18"/>
                      <w:szCs w:val="18"/>
                      <w:lang w:val="en-US" w:eastAsia="zh-CN"/>
                    </w:rPr>
                  </w:pPr>
                  <w:r>
                    <w:rPr>
                      <w:sz w:val="18"/>
                      <w:szCs w:val="18"/>
                    </w:rPr>
                    <w:t>NH</w:t>
                  </w:r>
                  <w:r>
                    <w:rPr>
                      <w:sz w:val="18"/>
                      <w:szCs w:val="18"/>
                      <w:vertAlign w:val="subscript"/>
                    </w:rPr>
                    <w:t>3</w:t>
                  </w:r>
                  <w:r>
                    <w:rPr>
                      <w:sz w:val="18"/>
                      <w:szCs w:val="18"/>
                    </w:rPr>
                    <w:t>-N</w:t>
                  </w:r>
                </w:p>
              </w:tc>
              <w:tc>
                <w:tcPr>
                  <w:tcW w:w="963" w:type="dxa"/>
                  <w:vAlign w:val="center"/>
                </w:tcPr>
                <w:p w14:paraId="53DD607D">
                  <w:pPr>
                    <w:jc w:val="center"/>
                    <w:textAlignment w:val="center"/>
                    <w:rPr>
                      <w:rFonts w:hint="default" w:eastAsia="宋体"/>
                      <w:kern w:val="0"/>
                      <w:sz w:val="18"/>
                      <w:szCs w:val="18"/>
                      <w:lang w:val="en-US" w:eastAsia="zh-CN" w:bidi="ar"/>
                    </w:rPr>
                  </w:pPr>
                  <w:r>
                    <w:rPr>
                      <w:rFonts w:hint="eastAsia" w:eastAsia="宋体"/>
                      <w:kern w:val="0"/>
                      <w:sz w:val="18"/>
                      <w:szCs w:val="18"/>
                      <w:lang w:val="en-US" w:eastAsia="zh-CN" w:bidi="ar"/>
                    </w:rPr>
                    <w:t xml:space="preserve">17.65 </w:t>
                  </w:r>
                </w:p>
              </w:tc>
              <w:tc>
                <w:tcPr>
                  <w:tcW w:w="996" w:type="dxa"/>
                  <w:vAlign w:val="center"/>
                </w:tcPr>
                <w:p w14:paraId="17D58679">
                  <w:pPr>
                    <w:jc w:val="center"/>
                    <w:textAlignment w:val="center"/>
                    <w:rPr>
                      <w:rFonts w:hint="eastAsia" w:eastAsia="宋体"/>
                      <w:kern w:val="0"/>
                      <w:sz w:val="18"/>
                      <w:szCs w:val="18"/>
                      <w:lang w:val="en-US" w:eastAsia="zh-CN" w:bidi="ar"/>
                    </w:rPr>
                  </w:pPr>
                  <w:r>
                    <w:rPr>
                      <w:rFonts w:hint="eastAsia" w:eastAsia="宋体"/>
                      <w:kern w:val="0"/>
                      <w:sz w:val="18"/>
                      <w:szCs w:val="18"/>
                      <w:lang w:val="en-US" w:eastAsia="zh-CN" w:bidi="ar"/>
                    </w:rPr>
                    <w:t>0.006</w:t>
                  </w:r>
                </w:p>
              </w:tc>
              <w:tc>
                <w:tcPr>
                  <w:tcW w:w="869" w:type="dxa"/>
                  <w:vAlign w:val="center"/>
                </w:tcPr>
                <w:p w14:paraId="432A51D1">
                  <w:pPr>
                    <w:jc w:val="center"/>
                    <w:textAlignment w:val="center"/>
                    <w:rPr>
                      <w:rFonts w:hint="default" w:eastAsia="宋体"/>
                      <w:kern w:val="0"/>
                      <w:sz w:val="18"/>
                      <w:szCs w:val="18"/>
                      <w:lang w:val="en-US" w:eastAsia="zh-CN" w:bidi="ar"/>
                    </w:rPr>
                  </w:pPr>
                  <w:r>
                    <w:rPr>
                      <w:rFonts w:hint="eastAsia" w:eastAsia="宋体"/>
                      <w:kern w:val="0"/>
                      <w:sz w:val="18"/>
                      <w:szCs w:val="18"/>
                      <w:lang w:val="en-US" w:eastAsia="zh-CN" w:bidi="ar"/>
                    </w:rPr>
                    <w:t xml:space="preserve">17.65 </w:t>
                  </w:r>
                </w:p>
              </w:tc>
              <w:tc>
                <w:tcPr>
                  <w:tcW w:w="917" w:type="dxa"/>
                  <w:vAlign w:val="center"/>
                </w:tcPr>
                <w:p w14:paraId="1C38DF4C">
                  <w:pPr>
                    <w:jc w:val="center"/>
                    <w:textAlignment w:val="center"/>
                    <w:rPr>
                      <w:rFonts w:hint="eastAsia" w:eastAsia="宋体"/>
                      <w:kern w:val="0"/>
                      <w:sz w:val="18"/>
                      <w:szCs w:val="18"/>
                      <w:lang w:val="en-US" w:eastAsia="zh-CN" w:bidi="ar"/>
                    </w:rPr>
                  </w:pPr>
                  <w:r>
                    <w:rPr>
                      <w:rFonts w:hint="eastAsia" w:eastAsia="宋体"/>
                      <w:kern w:val="0"/>
                      <w:sz w:val="18"/>
                      <w:szCs w:val="18"/>
                      <w:lang w:val="en-US" w:eastAsia="zh-CN" w:bidi="ar"/>
                    </w:rPr>
                    <w:t>0.006</w:t>
                  </w:r>
                </w:p>
              </w:tc>
              <w:tc>
                <w:tcPr>
                  <w:tcW w:w="749" w:type="dxa"/>
                  <w:vMerge w:val="continue"/>
                  <w:vAlign w:val="center"/>
                </w:tcPr>
                <w:p w14:paraId="2115DB2C">
                  <w:pPr>
                    <w:jc w:val="center"/>
                    <w:textAlignment w:val="center"/>
                    <w:rPr>
                      <w:kern w:val="0"/>
                      <w:sz w:val="18"/>
                      <w:szCs w:val="18"/>
                      <w:lang w:bidi="ar"/>
                    </w:rPr>
                  </w:pPr>
                </w:p>
              </w:tc>
              <w:tc>
                <w:tcPr>
                  <w:tcW w:w="762" w:type="dxa"/>
                  <w:vMerge w:val="continue"/>
                  <w:vAlign w:val="center"/>
                </w:tcPr>
                <w:p w14:paraId="763C817D">
                  <w:pPr>
                    <w:jc w:val="center"/>
                    <w:textAlignment w:val="center"/>
                    <w:rPr>
                      <w:kern w:val="0"/>
                      <w:sz w:val="18"/>
                      <w:szCs w:val="18"/>
                      <w:lang w:bidi="ar"/>
                    </w:rPr>
                  </w:pPr>
                </w:p>
              </w:tc>
              <w:tc>
                <w:tcPr>
                  <w:tcW w:w="645" w:type="dxa"/>
                  <w:vMerge w:val="continue"/>
                  <w:vAlign w:val="center"/>
                </w:tcPr>
                <w:p w14:paraId="68626D8A">
                  <w:pPr>
                    <w:jc w:val="center"/>
                    <w:textAlignment w:val="center"/>
                    <w:rPr>
                      <w:kern w:val="0"/>
                      <w:sz w:val="18"/>
                      <w:szCs w:val="18"/>
                      <w:lang w:bidi="ar"/>
                    </w:rPr>
                  </w:pPr>
                </w:p>
              </w:tc>
              <w:tc>
                <w:tcPr>
                  <w:tcW w:w="945" w:type="dxa"/>
                  <w:vMerge w:val="continue"/>
                  <w:vAlign w:val="center"/>
                </w:tcPr>
                <w:p w14:paraId="73D9B0C5">
                  <w:pPr>
                    <w:jc w:val="center"/>
                    <w:textAlignment w:val="center"/>
                    <w:rPr>
                      <w:rFonts w:hint="eastAsia"/>
                      <w:kern w:val="0"/>
                      <w:sz w:val="18"/>
                      <w:szCs w:val="18"/>
                      <w:lang w:val="en-US" w:eastAsia="zh-CN" w:bidi="ar"/>
                    </w:rPr>
                  </w:pPr>
                </w:p>
              </w:tc>
              <w:tc>
                <w:tcPr>
                  <w:tcW w:w="1043" w:type="dxa"/>
                  <w:vMerge w:val="continue"/>
                  <w:vAlign w:val="center"/>
                </w:tcPr>
                <w:p w14:paraId="6538D0ED">
                  <w:pPr>
                    <w:jc w:val="center"/>
                    <w:textAlignment w:val="center"/>
                    <w:rPr>
                      <w:kern w:val="0"/>
                      <w:sz w:val="18"/>
                      <w:szCs w:val="18"/>
                      <w:lang w:bidi="ar"/>
                    </w:rPr>
                  </w:pPr>
                </w:p>
              </w:tc>
              <w:tc>
                <w:tcPr>
                  <w:tcW w:w="625" w:type="dxa"/>
                  <w:vMerge w:val="continue"/>
                  <w:vAlign w:val="center"/>
                </w:tcPr>
                <w:p w14:paraId="77BD017A">
                  <w:pPr>
                    <w:jc w:val="center"/>
                    <w:textAlignment w:val="center"/>
                    <w:rPr>
                      <w:kern w:val="0"/>
                      <w:sz w:val="18"/>
                      <w:szCs w:val="18"/>
                      <w:lang w:bidi="ar"/>
                    </w:rPr>
                  </w:pPr>
                </w:p>
              </w:tc>
              <w:tc>
                <w:tcPr>
                  <w:tcW w:w="949" w:type="dxa"/>
                  <w:vMerge w:val="continue"/>
                  <w:vAlign w:val="center"/>
                </w:tcPr>
                <w:p w14:paraId="3C8C5EDF">
                  <w:pPr>
                    <w:jc w:val="center"/>
                    <w:textAlignment w:val="center"/>
                    <w:rPr>
                      <w:kern w:val="0"/>
                      <w:sz w:val="18"/>
                      <w:szCs w:val="18"/>
                      <w:lang w:bidi="ar"/>
                    </w:rPr>
                  </w:pPr>
                </w:p>
              </w:tc>
              <w:tc>
                <w:tcPr>
                  <w:tcW w:w="540" w:type="dxa"/>
                  <w:vMerge w:val="continue"/>
                  <w:vAlign w:val="center"/>
                </w:tcPr>
                <w:p w14:paraId="2D2F222A">
                  <w:pPr>
                    <w:jc w:val="center"/>
                    <w:textAlignment w:val="center"/>
                    <w:rPr>
                      <w:kern w:val="0"/>
                      <w:sz w:val="18"/>
                      <w:szCs w:val="18"/>
                      <w:lang w:bidi="ar"/>
                    </w:rPr>
                  </w:pPr>
                </w:p>
              </w:tc>
            </w:tr>
            <w:tr w14:paraId="2F63DB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686B8078">
                  <w:pPr>
                    <w:jc w:val="center"/>
                    <w:textAlignment w:val="center"/>
                    <w:rPr>
                      <w:kern w:val="0"/>
                      <w:sz w:val="18"/>
                      <w:szCs w:val="18"/>
                      <w:lang w:bidi="ar"/>
                    </w:rPr>
                  </w:pPr>
                </w:p>
              </w:tc>
              <w:tc>
                <w:tcPr>
                  <w:tcW w:w="683" w:type="dxa"/>
                  <w:vMerge w:val="continue"/>
                  <w:vAlign w:val="center"/>
                </w:tcPr>
                <w:p w14:paraId="3EFA2818">
                  <w:pPr>
                    <w:jc w:val="center"/>
                    <w:textAlignment w:val="center"/>
                    <w:rPr>
                      <w:kern w:val="0"/>
                      <w:sz w:val="18"/>
                      <w:szCs w:val="18"/>
                      <w:lang w:bidi="ar"/>
                    </w:rPr>
                  </w:pPr>
                </w:p>
              </w:tc>
              <w:tc>
                <w:tcPr>
                  <w:tcW w:w="773" w:type="dxa"/>
                  <w:vMerge w:val="continue"/>
                  <w:vAlign w:val="center"/>
                </w:tcPr>
                <w:p w14:paraId="7F4540E8">
                  <w:pPr>
                    <w:jc w:val="center"/>
                    <w:textAlignment w:val="center"/>
                    <w:rPr>
                      <w:kern w:val="0"/>
                      <w:sz w:val="18"/>
                      <w:szCs w:val="18"/>
                      <w:lang w:bidi="ar"/>
                    </w:rPr>
                  </w:pPr>
                </w:p>
              </w:tc>
              <w:tc>
                <w:tcPr>
                  <w:tcW w:w="840" w:type="dxa"/>
                  <w:vAlign w:val="center"/>
                </w:tcPr>
                <w:p w14:paraId="68BF3BC6">
                  <w:pPr>
                    <w:jc w:val="center"/>
                    <w:rPr>
                      <w:rFonts w:hint="eastAsia" w:ascii="Times New Roman" w:hAnsi="Times New Roman" w:cs="Times New Roman"/>
                      <w:sz w:val="18"/>
                      <w:szCs w:val="18"/>
                      <w:lang w:val="en-US" w:eastAsia="zh-CN"/>
                    </w:rPr>
                  </w:pPr>
                  <w:r>
                    <w:rPr>
                      <w:sz w:val="18"/>
                      <w:szCs w:val="18"/>
                    </w:rPr>
                    <w:t>TP</w:t>
                  </w:r>
                </w:p>
              </w:tc>
              <w:tc>
                <w:tcPr>
                  <w:tcW w:w="963" w:type="dxa"/>
                  <w:vAlign w:val="center"/>
                </w:tcPr>
                <w:p w14:paraId="03A50C52">
                  <w:pPr>
                    <w:jc w:val="center"/>
                    <w:textAlignment w:val="center"/>
                    <w:rPr>
                      <w:rFonts w:hint="default" w:eastAsia="宋体"/>
                      <w:kern w:val="0"/>
                      <w:sz w:val="18"/>
                      <w:szCs w:val="18"/>
                      <w:lang w:val="en-US" w:eastAsia="zh-CN" w:bidi="ar"/>
                    </w:rPr>
                  </w:pPr>
                  <w:r>
                    <w:rPr>
                      <w:rFonts w:hint="eastAsia" w:eastAsia="宋体"/>
                      <w:kern w:val="0"/>
                      <w:sz w:val="18"/>
                      <w:szCs w:val="18"/>
                      <w:lang w:val="en-US" w:eastAsia="zh-CN" w:bidi="ar"/>
                    </w:rPr>
                    <w:t xml:space="preserve">2.06 </w:t>
                  </w:r>
                </w:p>
              </w:tc>
              <w:tc>
                <w:tcPr>
                  <w:tcW w:w="996" w:type="dxa"/>
                  <w:vAlign w:val="center"/>
                </w:tcPr>
                <w:p w14:paraId="51FCE099">
                  <w:pPr>
                    <w:jc w:val="center"/>
                    <w:textAlignment w:val="center"/>
                    <w:rPr>
                      <w:rFonts w:hint="eastAsia" w:eastAsia="宋体"/>
                      <w:kern w:val="0"/>
                      <w:sz w:val="18"/>
                      <w:szCs w:val="18"/>
                      <w:lang w:val="en-US" w:eastAsia="zh-CN" w:bidi="ar"/>
                    </w:rPr>
                  </w:pPr>
                  <w:r>
                    <w:rPr>
                      <w:rFonts w:hint="eastAsia" w:eastAsia="宋体"/>
                      <w:kern w:val="0"/>
                      <w:sz w:val="18"/>
                      <w:szCs w:val="18"/>
                      <w:lang w:val="en-US" w:eastAsia="zh-CN" w:bidi="ar"/>
                    </w:rPr>
                    <w:t>0.0007</w:t>
                  </w:r>
                </w:p>
              </w:tc>
              <w:tc>
                <w:tcPr>
                  <w:tcW w:w="869" w:type="dxa"/>
                  <w:vAlign w:val="center"/>
                </w:tcPr>
                <w:p w14:paraId="6900F93C">
                  <w:pPr>
                    <w:jc w:val="center"/>
                    <w:textAlignment w:val="center"/>
                    <w:rPr>
                      <w:rFonts w:hint="default" w:eastAsia="宋体"/>
                      <w:kern w:val="0"/>
                      <w:sz w:val="18"/>
                      <w:szCs w:val="18"/>
                      <w:lang w:val="en-US" w:eastAsia="zh-CN" w:bidi="ar"/>
                    </w:rPr>
                  </w:pPr>
                  <w:r>
                    <w:rPr>
                      <w:rFonts w:hint="eastAsia" w:eastAsia="宋体"/>
                      <w:kern w:val="0"/>
                      <w:sz w:val="18"/>
                      <w:szCs w:val="18"/>
                      <w:lang w:val="en-US" w:eastAsia="zh-CN" w:bidi="ar"/>
                    </w:rPr>
                    <w:t xml:space="preserve">2.06 </w:t>
                  </w:r>
                </w:p>
              </w:tc>
              <w:tc>
                <w:tcPr>
                  <w:tcW w:w="917" w:type="dxa"/>
                  <w:vAlign w:val="center"/>
                </w:tcPr>
                <w:p w14:paraId="2876CC4E">
                  <w:pPr>
                    <w:jc w:val="center"/>
                    <w:textAlignment w:val="center"/>
                    <w:rPr>
                      <w:rFonts w:hint="eastAsia" w:eastAsia="宋体"/>
                      <w:kern w:val="0"/>
                      <w:sz w:val="18"/>
                      <w:szCs w:val="18"/>
                      <w:lang w:val="en-US" w:eastAsia="zh-CN" w:bidi="ar"/>
                    </w:rPr>
                  </w:pPr>
                  <w:r>
                    <w:rPr>
                      <w:rFonts w:hint="eastAsia" w:eastAsia="宋体"/>
                      <w:kern w:val="0"/>
                      <w:sz w:val="18"/>
                      <w:szCs w:val="18"/>
                      <w:lang w:val="en-US" w:eastAsia="zh-CN" w:bidi="ar"/>
                    </w:rPr>
                    <w:t>0.0007</w:t>
                  </w:r>
                </w:p>
              </w:tc>
              <w:tc>
                <w:tcPr>
                  <w:tcW w:w="749" w:type="dxa"/>
                  <w:vMerge w:val="continue"/>
                  <w:vAlign w:val="center"/>
                </w:tcPr>
                <w:p w14:paraId="54CCC80C">
                  <w:pPr>
                    <w:jc w:val="center"/>
                    <w:textAlignment w:val="center"/>
                    <w:rPr>
                      <w:kern w:val="0"/>
                      <w:sz w:val="18"/>
                      <w:szCs w:val="18"/>
                      <w:lang w:bidi="ar"/>
                    </w:rPr>
                  </w:pPr>
                </w:p>
              </w:tc>
              <w:tc>
                <w:tcPr>
                  <w:tcW w:w="762" w:type="dxa"/>
                  <w:vMerge w:val="continue"/>
                  <w:vAlign w:val="center"/>
                </w:tcPr>
                <w:p w14:paraId="0DE76BB5">
                  <w:pPr>
                    <w:jc w:val="center"/>
                    <w:textAlignment w:val="center"/>
                    <w:rPr>
                      <w:kern w:val="0"/>
                      <w:sz w:val="18"/>
                      <w:szCs w:val="18"/>
                      <w:lang w:bidi="ar"/>
                    </w:rPr>
                  </w:pPr>
                </w:p>
              </w:tc>
              <w:tc>
                <w:tcPr>
                  <w:tcW w:w="645" w:type="dxa"/>
                  <w:vMerge w:val="continue"/>
                  <w:vAlign w:val="center"/>
                </w:tcPr>
                <w:p w14:paraId="54E0435A">
                  <w:pPr>
                    <w:jc w:val="center"/>
                    <w:textAlignment w:val="center"/>
                    <w:rPr>
                      <w:kern w:val="0"/>
                      <w:sz w:val="18"/>
                      <w:szCs w:val="18"/>
                      <w:lang w:bidi="ar"/>
                    </w:rPr>
                  </w:pPr>
                </w:p>
              </w:tc>
              <w:tc>
                <w:tcPr>
                  <w:tcW w:w="945" w:type="dxa"/>
                  <w:vMerge w:val="continue"/>
                  <w:vAlign w:val="center"/>
                </w:tcPr>
                <w:p w14:paraId="249219F7">
                  <w:pPr>
                    <w:jc w:val="center"/>
                    <w:textAlignment w:val="center"/>
                    <w:rPr>
                      <w:rFonts w:hint="eastAsia"/>
                      <w:kern w:val="0"/>
                      <w:sz w:val="18"/>
                      <w:szCs w:val="18"/>
                      <w:lang w:val="en-US" w:eastAsia="zh-CN" w:bidi="ar"/>
                    </w:rPr>
                  </w:pPr>
                </w:p>
              </w:tc>
              <w:tc>
                <w:tcPr>
                  <w:tcW w:w="1043" w:type="dxa"/>
                  <w:vMerge w:val="continue"/>
                  <w:vAlign w:val="center"/>
                </w:tcPr>
                <w:p w14:paraId="0F5BCFD4">
                  <w:pPr>
                    <w:jc w:val="center"/>
                    <w:textAlignment w:val="center"/>
                    <w:rPr>
                      <w:kern w:val="0"/>
                      <w:sz w:val="18"/>
                      <w:szCs w:val="18"/>
                      <w:lang w:bidi="ar"/>
                    </w:rPr>
                  </w:pPr>
                </w:p>
              </w:tc>
              <w:tc>
                <w:tcPr>
                  <w:tcW w:w="625" w:type="dxa"/>
                  <w:vMerge w:val="continue"/>
                  <w:vAlign w:val="center"/>
                </w:tcPr>
                <w:p w14:paraId="4524DA0C">
                  <w:pPr>
                    <w:jc w:val="center"/>
                    <w:textAlignment w:val="center"/>
                    <w:rPr>
                      <w:kern w:val="0"/>
                      <w:sz w:val="18"/>
                      <w:szCs w:val="18"/>
                      <w:lang w:bidi="ar"/>
                    </w:rPr>
                  </w:pPr>
                </w:p>
              </w:tc>
              <w:tc>
                <w:tcPr>
                  <w:tcW w:w="949" w:type="dxa"/>
                  <w:vMerge w:val="continue"/>
                  <w:vAlign w:val="center"/>
                </w:tcPr>
                <w:p w14:paraId="42C92110">
                  <w:pPr>
                    <w:jc w:val="center"/>
                    <w:textAlignment w:val="center"/>
                    <w:rPr>
                      <w:kern w:val="0"/>
                      <w:sz w:val="18"/>
                      <w:szCs w:val="18"/>
                      <w:lang w:bidi="ar"/>
                    </w:rPr>
                  </w:pPr>
                </w:p>
              </w:tc>
              <w:tc>
                <w:tcPr>
                  <w:tcW w:w="540" w:type="dxa"/>
                  <w:vMerge w:val="continue"/>
                  <w:vAlign w:val="center"/>
                </w:tcPr>
                <w:p w14:paraId="083CD1F2">
                  <w:pPr>
                    <w:jc w:val="center"/>
                    <w:textAlignment w:val="center"/>
                    <w:rPr>
                      <w:kern w:val="0"/>
                      <w:sz w:val="18"/>
                      <w:szCs w:val="18"/>
                      <w:lang w:bidi="ar"/>
                    </w:rPr>
                  </w:pPr>
                </w:p>
              </w:tc>
            </w:tr>
            <w:tr w14:paraId="18B43B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7BADA752">
                  <w:pPr>
                    <w:jc w:val="center"/>
                    <w:textAlignment w:val="center"/>
                    <w:rPr>
                      <w:kern w:val="0"/>
                      <w:sz w:val="18"/>
                      <w:szCs w:val="18"/>
                      <w:lang w:bidi="ar"/>
                    </w:rPr>
                  </w:pPr>
                </w:p>
              </w:tc>
              <w:tc>
                <w:tcPr>
                  <w:tcW w:w="683" w:type="dxa"/>
                  <w:vMerge w:val="continue"/>
                  <w:vAlign w:val="center"/>
                </w:tcPr>
                <w:p w14:paraId="38CA12C7">
                  <w:pPr>
                    <w:jc w:val="center"/>
                    <w:textAlignment w:val="center"/>
                    <w:rPr>
                      <w:kern w:val="0"/>
                      <w:sz w:val="18"/>
                      <w:szCs w:val="18"/>
                      <w:lang w:bidi="ar"/>
                    </w:rPr>
                  </w:pPr>
                </w:p>
              </w:tc>
              <w:tc>
                <w:tcPr>
                  <w:tcW w:w="773" w:type="dxa"/>
                  <w:vMerge w:val="continue"/>
                  <w:vAlign w:val="center"/>
                </w:tcPr>
                <w:p w14:paraId="2D4869EC">
                  <w:pPr>
                    <w:jc w:val="center"/>
                    <w:textAlignment w:val="center"/>
                    <w:rPr>
                      <w:kern w:val="0"/>
                      <w:sz w:val="18"/>
                      <w:szCs w:val="18"/>
                      <w:lang w:bidi="ar"/>
                    </w:rPr>
                  </w:pPr>
                </w:p>
              </w:tc>
              <w:tc>
                <w:tcPr>
                  <w:tcW w:w="840" w:type="dxa"/>
                  <w:vAlign w:val="center"/>
                </w:tcPr>
                <w:p w14:paraId="17B94894">
                  <w:pPr>
                    <w:jc w:val="center"/>
                    <w:rPr>
                      <w:rFonts w:hint="eastAsia" w:ascii="Times New Roman" w:hAnsi="Times New Roman" w:cs="Times New Roman"/>
                      <w:sz w:val="18"/>
                      <w:szCs w:val="18"/>
                      <w:lang w:val="en-US" w:eastAsia="zh-CN"/>
                    </w:rPr>
                  </w:pPr>
                  <w:r>
                    <w:rPr>
                      <w:sz w:val="18"/>
                      <w:szCs w:val="18"/>
                    </w:rPr>
                    <w:t>TN</w:t>
                  </w:r>
                </w:p>
              </w:tc>
              <w:tc>
                <w:tcPr>
                  <w:tcW w:w="963" w:type="dxa"/>
                  <w:vAlign w:val="center"/>
                </w:tcPr>
                <w:p w14:paraId="17DB16F1">
                  <w:pPr>
                    <w:jc w:val="center"/>
                    <w:textAlignment w:val="center"/>
                    <w:rPr>
                      <w:rFonts w:hint="default" w:eastAsia="宋体"/>
                      <w:kern w:val="0"/>
                      <w:sz w:val="18"/>
                      <w:szCs w:val="18"/>
                      <w:lang w:val="en-US" w:eastAsia="zh-CN" w:bidi="ar"/>
                    </w:rPr>
                  </w:pPr>
                  <w:r>
                    <w:rPr>
                      <w:rFonts w:hint="eastAsia" w:eastAsia="宋体"/>
                      <w:kern w:val="0"/>
                      <w:sz w:val="18"/>
                      <w:szCs w:val="18"/>
                      <w:lang w:val="en-US" w:eastAsia="zh-CN" w:bidi="ar"/>
                    </w:rPr>
                    <w:t xml:space="preserve">21.18 </w:t>
                  </w:r>
                </w:p>
              </w:tc>
              <w:tc>
                <w:tcPr>
                  <w:tcW w:w="996" w:type="dxa"/>
                  <w:vAlign w:val="center"/>
                </w:tcPr>
                <w:p w14:paraId="661D1CE1">
                  <w:pPr>
                    <w:jc w:val="center"/>
                    <w:textAlignment w:val="center"/>
                    <w:rPr>
                      <w:rFonts w:hint="eastAsia" w:eastAsia="宋体"/>
                      <w:kern w:val="0"/>
                      <w:sz w:val="18"/>
                      <w:szCs w:val="18"/>
                      <w:lang w:val="en-US" w:eastAsia="zh-CN" w:bidi="ar"/>
                    </w:rPr>
                  </w:pPr>
                  <w:r>
                    <w:rPr>
                      <w:rFonts w:hint="eastAsia" w:eastAsia="宋体"/>
                      <w:kern w:val="0"/>
                      <w:sz w:val="18"/>
                      <w:szCs w:val="18"/>
                      <w:lang w:val="en-US" w:eastAsia="zh-CN" w:bidi="ar"/>
                    </w:rPr>
                    <w:t>0.0072</w:t>
                  </w:r>
                </w:p>
              </w:tc>
              <w:tc>
                <w:tcPr>
                  <w:tcW w:w="869" w:type="dxa"/>
                  <w:vAlign w:val="center"/>
                </w:tcPr>
                <w:p w14:paraId="1F407C57">
                  <w:pPr>
                    <w:jc w:val="center"/>
                    <w:textAlignment w:val="center"/>
                    <w:rPr>
                      <w:rFonts w:hint="default" w:eastAsia="宋体"/>
                      <w:kern w:val="0"/>
                      <w:sz w:val="18"/>
                      <w:szCs w:val="18"/>
                      <w:lang w:val="en-US" w:eastAsia="zh-CN" w:bidi="ar"/>
                    </w:rPr>
                  </w:pPr>
                  <w:r>
                    <w:rPr>
                      <w:rFonts w:hint="eastAsia" w:eastAsia="宋体"/>
                      <w:kern w:val="0"/>
                      <w:sz w:val="18"/>
                      <w:szCs w:val="18"/>
                      <w:lang w:val="en-US" w:eastAsia="zh-CN" w:bidi="ar"/>
                    </w:rPr>
                    <w:t xml:space="preserve">21.18 </w:t>
                  </w:r>
                </w:p>
              </w:tc>
              <w:tc>
                <w:tcPr>
                  <w:tcW w:w="917" w:type="dxa"/>
                  <w:vAlign w:val="center"/>
                </w:tcPr>
                <w:p w14:paraId="321AA5B2">
                  <w:pPr>
                    <w:jc w:val="center"/>
                    <w:textAlignment w:val="center"/>
                    <w:rPr>
                      <w:rFonts w:hint="eastAsia" w:eastAsia="宋体"/>
                      <w:kern w:val="0"/>
                      <w:sz w:val="18"/>
                      <w:szCs w:val="18"/>
                      <w:lang w:val="en-US" w:eastAsia="zh-CN" w:bidi="ar"/>
                    </w:rPr>
                  </w:pPr>
                  <w:r>
                    <w:rPr>
                      <w:rFonts w:hint="eastAsia" w:eastAsia="宋体"/>
                      <w:kern w:val="0"/>
                      <w:sz w:val="18"/>
                      <w:szCs w:val="18"/>
                      <w:lang w:val="en-US" w:eastAsia="zh-CN" w:bidi="ar"/>
                    </w:rPr>
                    <w:t>0.0072</w:t>
                  </w:r>
                </w:p>
              </w:tc>
              <w:tc>
                <w:tcPr>
                  <w:tcW w:w="749" w:type="dxa"/>
                  <w:vMerge w:val="continue"/>
                  <w:vAlign w:val="center"/>
                </w:tcPr>
                <w:p w14:paraId="093C7389">
                  <w:pPr>
                    <w:jc w:val="center"/>
                    <w:textAlignment w:val="center"/>
                    <w:rPr>
                      <w:kern w:val="0"/>
                      <w:sz w:val="18"/>
                      <w:szCs w:val="18"/>
                      <w:lang w:bidi="ar"/>
                    </w:rPr>
                  </w:pPr>
                </w:p>
              </w:tc>
              <w:tc>
                <w:tcPr>
                  <w:tcW w:w="762" w:type="dxa"/>
                  <w:vMerge w:val="continue"/>
                  <w:vAlign w:val="center"/>
                </w:tcPr>
                <w:p w14:paraId="4C5C9C0C">
                  <w:pPr>
                    <w:jc w:val="center"/>
                    <w:textAlignment w:val="center"/>
                    <w:rPr>
                      <w:kern w:val="0"/>
                      <w:sz w:val="18"/>
                      <w:szCs w:val="18"/>
                      <w:lang w:bidi="ar"/>
                    </w:rPr>
                  </w:pPr>
                </w:p>
              </w:tc>
              <w:tc>
                <w:tcPr>
                  <w:tcW w:w="645" w:type="dxa"/>
                  <w:vMerge w:val="continue"/>
                  <w:vAlign w:val="center"/>
                </w:tcPr>
                <w:p w14:paraId="3B1D97DC">
                  <w:pPr>
                    <w:jc w:val="center"/>
                    <w:textAlignment w:val="center"/>
                    <w:rPr>
                      <w:kern w:val="0"/>
                      <w:sz w:val="18"/>
                      <w:szCs w:val="18"/>
                      <w:lang w:bidi="ar"/>
                    </w:rPr>
                  </w:pPr>
                </w:p>
              </w:tc>
              <w:tc>
                <w:tcPr>
                  <w:tcW w:w="945" w:type="dxa"/>
                  <w:vMerge w:val="continue"/>
                  <w:vAlign w:val="center"/>
                </w:tcPr>
                <w:p w14:paraId="6DC34F2B">
                  <w:pPr>
                    <w:jc w:val="center"/>
                    <w:textAlignment w:val="center"/>
                    <w:rPr>
                      <w:rFonts w:hint="eastAsia"/>
                      <w:kern w:val="0"/>
                      <w:sz w:val="18"/>
                      <w:szCs w:val="18"/>
                      <w:lang w:val="en-US" w:eastAsia="zh-CN" w:bidi="ar"/>
                    </w:rPr>
                  </w:pPr>
                </w:p>
              </w:tc>
              <w:tc>
                <w:tcPr>
                  <w:tcW w:w="1043" w:type="dxa"/>
                  <w:vMerge w:val="continue"/>
                  <w:vAlign w:val="center"/>
                </w:tcPr>
                <w:p w14:paraId="0045AA28">
                  <w:pPr>
                    <w:jc w:val="center"/>
                    <w:textAlignment w:val="center"/>
                    <w:rPr>
                      <w:kern w:val="0"/>
                      <w:sz w:val="18"/>
                      <w:szCs w:val="18"/>
                      <w:lang w:bidi="ar"/>
                    </w:rPr>
                  </w:pPr>
                </w:p>
              </w:tc>
              <w:tc>
                <w:tcPr>
                  <w:tcW w:w="625" w:type="dxa"/>
                  <w:vMerge w:val="continue"/>
                  <w:vAlign w:val="center"/>
                </w:tcPr>
                <w:p w14:paraId="16C02447">
                  <w:pPr>
                    <w:jc w:val="center"/>
                    <w:textAlignment w:val="center"/>
                    <w:rPr>
                      <w:kern w:val="0"/>
                      <w:sz w:val="18"/>
                      <w:szCs w:val="18"/>
                      <w:lang w:bidi="ar"/>
                    </w:rPr>
                  </w:pPr>
                </w:p>
              </w:tc>
              <w:tc>
                <w:tcPr>
                  <w:tcW w:w="949" w:type="dxa"/>
                  <w:vMerge w:val="continue"/>
                  <w:vAlign w:val="center"/>
                </w:tcPr>
                <w:p w14:paraId="62750C7F">
                  <w:pPr>
                    <w:jc w:val="center"/>
                    <w:textAlignment w:val="center"/>
                    <w:rPr>
                      <w:kern w:val="0"/>
                      <w:sz w:val="18"/>
                      <w:szCs w:val="18"/>
                      <w:lang w:bidi="ar"/>
                    </w:rPr>
                  </w:pPr>
                </w:p>
              </w:tc>
              <w:tc>
                <w:tcPr>
                  <w:tcW w:w="540" w:type="dxa"/>
                  <w:vMerge w:val="continue"/>
                  <w:vAlign w:val="center"/>
                </w:tcPr>
                <w:p w14:paraId="33A0446B">
                  <w:pPr>
                    <w:jc w:val="center"/>
                    <w:textAlignment w:val="center"/>
                    <w:rPr>
                      <w:kern w:val="0"/>
                      <w:sz w:val="18"/>
                      <w:szCs w:val="18"/>
                      <w:lang w:bidi="ar"/>
                    </w:rPr>
                  </w:pPr>
                </w:p>
              </w:tc>
            </w:tr>
            <w:bookmarkEnd w:id="7"/>
          </w:tbl>
          <w:p w14:paraId="26C6FDB2">
            <w:pPr>
              <w:spacing w:line="500" w:lineRule="exact"/>
              <w:ind w:firstLine="420" w:firstLineChars="200"/>
            </w:pPr>
            <w:r>
              <w:t>（2）废水类别、污染物及污染治理设施信息</w:t>
            </w:r>
          </w:p>
          <w:p w14:paraId="3B843FDD">
            <w:pPr>
              <w:spacing w:line="500" w:lineRule="exact"/>
              <w:ind w:firstLine="420" w:firstLineChars="200"/>
              <w:rPr>
                <w:rFonts w:hint="eastAsia" w:eastAsia="宋体"/>
                <w:lang w:eastAsia="zh-CN"/>
              </w:rPr>
            </w:pPr>
            <w:r>
              <w:t>废水类别、污染物及污染治理设施信息表见4-1</w:t>
            </w:r>
            <w:r>
              <w:rPr>
                <w:rFonts w:hint="eastAsia"/>
                <w:lang w:val="en-US" w:eastAsia="zh-CN"/>
              </w:rPr>
              <w:t>3</w:t>
            </w:r>
          </w:p>
          <w:p w14:paraId="6EAB3AC6">
            <w:pPr>
              <w:pStyle w:val="2"/>
              <w:spacing w:after="0"/>
              <w:jc w:val="center"/>
              <w:rPr>
                <w:rFonts w:ascii="Times New Roman" w:hAnsi="Times New Roman"/>
                <w:b/>
                <w:bCs/>
                <w:sz w:val="21"/>
                <w:szCs w:val="21"/>
              </w:rPr>
            </w:pPr>
            <w:r>
              <w:rPr>
                <w:rFonts w:ascii="Times New Roman" w:hAnsi="Times New Roman"/>
                <w:b/>
                <w:bCs/>
                <w:sz w:val="21"/>
                <w:szCs w:val="21"/>
              </w:rPr>
              <w:t>表4-1</w:t>
            </w:r>
            <w:r>
              <w:rPr>
                <w:rFonts w:hint="eastAsia" w:ascii="Times New Roman" w:hAnsi="Times New Roman"/>
                <w:b/>
                <w:bCs/>
                <w:sz w:val="21"/>
                <w:szCs w:val="21"/>
                <w:lang w:val="en-US" w:eastAsia="zh-CN"/>
              </w:rPr>
              <w:t>3</w:t>
            </w:r>
            <w:r>
              <w:rPr>
                <w:rFonts w:ascii="Times New Roman" w:hAnsi="Times New Roman"/>
                <w:b/>
                <w:bCs/>
                <w:sz w:val="21"/>
                <w:szCs w:val="21"/>
              </w:rPr>
              <w:t>废水类别及污染治理设施信息表</w:t>
            </w:r>
          </w:p>
          <w:tbl>
            <w:tblPr>
              <w:tblStyle w:val="16"/>
              <w:tblW w:w="1304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035"/>
              <w:gridCol w:w="1740"/>
              <w:gridCol w:w="870"/>
              <w:gridCol w:w="930"/>
              <w:gridCol w:w="1275"/>
              <w:gridCol w:w="1425"/>
              <w:gridCol w:w="1288"/>
              <w:gridCol w:w="825"/>
              <w:gridCol w:w="1350"/>
              <w:gridCol w:w="1704"/>
            </w:tblGrid>
            <w:tr w14:paraId="26026B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02" w:type="dxa"/>
                  <w:vMerge w:val="restart"/>
                  <w:vAlign w:val="center"/>
                </w:tcPr>
                <w:p w14:paraId="326C87FC">
                  <w:pPr>
                    <w:jc w:val="center"/>
                    <w:rPr>
                      <w:sz w:val="18"/>
                      <w:szCs w:val="18"/>
                    </w:rPr>
                  </w:pPr>
                  <w:r>
                    <w:rPr>
                      <w:sz w:val="18"/>
                      <w:szCs w:val="18"/>
                    </w:rPr>
                    <w:t>序号</w:t>
                  </w:r>
                </w:p>
              </w:tc>
              <w:tc>
                <w:tcPr>
                  <w:tcW w:w="1035" w:type="dxa"/>
                  <w:vMerge w:val="restart"/>
                  <w:vAlign w:val="center"/>
                </w:tcPr>
                <w:p w14:paraId="3B027E69">
                  <w:pPr>
                    <w:jc w:val="center"/>
                    <w:rPr>
                      <w:sz w:val="18"/>
                      <w:szCs w:val="18"/>
                    </w:rPr>
                  </w:pPr>
                  <w:r>
                    <w:rPr>
                      <w:sz w:val="18"/>
                      <w:szCs w:val="18"/>
                    </w:rPr>
                    <w:t>废水类别</w:t>
                  </w:r>
                </w:p>
              </w:tc>
              <w:tc>
                <w:tcPr>
                  <w:tcW w:w="1740" w:type="dxa"/>
                  <w:vMerge w:val="restart"/>
                  <w:vAlign w:val="center"/>
                </w:tcPr>
                <w:p w14:paraId="6D170DD9">
                  <w:pPr>
                    <w:jc w:val="center"/>
                    <w:rPr>
                      <w:sz w:val="18"/>
                      <w:szCs w:val="18"/>
                    </w:rPr>
                  </w:pPr>
                  <w:r>
                    <w:rPr>
                      <w:sz w:val="18"/>
                      <w:szCs w:val="18"/>
                    </w:rPr>
                    <w:t>污染物种类</w:t>
                  </w:r>
                </w:p>
              </w:tc>
              <w:tc>
                <w:tcPr>
                  <w:tcW w:w="870" w:type="dxa"/>
                  <w:vMerge w:val="restart"/>
                  <w:vAlign w:val="center"/>
                </w:tcPr>
                <w:p w14:paraId="1B02B628">
                  <w:pPr>
                    <w:jc w:val="center"/>
                    <w:rPr>
                      <w:sz w:val="18"/>
                      <w:szCs w:val="18"/>
                    </w:rPr>
                  </w:pPr>
                  <w:r>
                    <w:rPr>
                      <w:sz w:val="18"/>
                      <w:szCs w:val="18"/>
                    </w:rPr>
                    <w:t>排放去向</w:t>
                  </w:r>
                </w:p>
              </w:tc>
              <w:tc>
                <w:tcPr>
                  <w:tcW w:w="930" w:type="dxa"/>
                  <w:vMerge w:val="restart"/>
                  <w:vAlign w:val="center"/>
                </w:tcPr>
                <w:p w14:paraId="122D0089">
                  <w:pPr>
                    <w:jc w:val="center"/>
                    <w:rPr>
                      <w:sz w:val="18"/>
                      <w:szCs w:val="18"/>
                    </w:rPr>
                  </w:pPr>
                  <w:r>
                    <w:rPr>
                      <w:sz w:val="18"/>
                      <w:szCs w:val="18"/>
                    </w:rPr>
                    <w:t>排放规律</w:t>
                  </w:r>
                </w:p>
              </w:tc>
              <w:tc>
                <w:tcPr>
                  <w:tcW w:w="3988" w:type="dxa"/>
                  <w:gridSpan w:val="3"/>
                  <w:vAlign w:val="center"/>
                </w:tcPr>
                <w:p w14:paraId="14071F5A">
                  <w:pPr>
                    <w:jc w:val="center"/>
                    <w:rPr>
                      <w:sz w:val="18"/>
                      <w:szCs w:val="18"/>
                    </w:rPr>
                  </w:pPr>
                  <w:r>
                    <w:rPr>
                      <w:sz w:val="18"/>
                      <w:szCs w:val="18"/>
                    </w:rPr>
                    <w:t>污染治理设施</w:t>
                  </w:r>
                </w:p>
              </w:tc>
              <w:tc>
                <w:tcPr>
                  <w:tcW w:w="825" w:type="dxa"/>
                  <w:vMerge w:val="restart"/>
                  <w:vAlign w:val="center"/>
                </w:tcPr>
                <w:p w14:paraId="109EF935">
                  <w:pPr>
                    <w:jc w:val="center"/>
                    <w:rPr>
                      <w:sz w:val="18"/>
                      <w:szCs w:val="18"/>
                    </w:rPr>
                  </w:pPr>
                  <w:r>
                    <w:rPr>
                      <w:sz w:val="18"/>
                      <w:szCs w:val="18"/>
                    </w:rPr>
                    <w:t>排放口编号</w:t>
                  </w:r>
                </w:p>
              </w:tc>
              <w:tc>
                <w:tcPr>
                  <w:tcW w:w="1350" w:type="dxa"/>
                  <w:vMerge w:val="restart"/>
                  <w:vAlign w:val="center"/>
                </w:tcPr>
                <w:p w14:paraId="1EAD9A2A">
                  <w:pPr>
                    <w:jc w:val="center"/>
                    <w:rPr>
                      <w:sz w:val="18"/>
                      <w:szCs w:val="18"/>
                    </w:rPr>
                  </w:pPr>
                  <w:r>
                    <w:rPr>
                      <w:sz w:val="18"/>
                      <w:szCs w:val="18"/>
                    </w:rPr>
                    <w:t>排放设置是否符合要求</w:t>
                  </w:r>
                </w:p>
              </w:tc>
              <w:tc>
                <w:tcPr>
                  <w:tcW w:w="1704" w:type="dxa"/>
                  <w:vMerge w:val="restart"/>
                  <w:vAlign w:val="center"/>
                </w:tcPr>
                <w:p w14:paraId="7225BC19">
                  <w:pPr>
                    <w:jc w:val="center"/>
                    <w:rPr>
                      <w:sz w:val="18"/>
                      <w:szCs w:val="18"/>
                    </w:rPr>
                  </w:pPr>
                  <w:r>
                    <w:rPr>
                      <w:sz w:val="18"/>
                      <w:szCs w:val="18"/>
                    </w:rPr>
                    <w:t>排放口类型</w:t>
                  </w:r>
                </w:p>
              </w:tc>
            </w:tr>
            <w:tr w14:paraId="63E1C6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02" w:type="dxa"/>
                  <w:vMerge w:val="continue"/>
                  <w:vAlign w:val="center"/>
                </w:tcPr>
                <w:p w14:paraId="4AF3AE58">
                  <w:pPr>
                    <w:jc w:val="center"/>
                    <w:rPr>
                      <w:sz w:val="18"/>
                      <w:szCs w:val="18"/>
                    </w:rPr>
                  </w:pPr>
                </w:p>
              </w:tc>
              <w:tc>
                <w:tcPr>
                  <w:tcW w:w="1035" w:type="dxa"/>
                  <w:vMerge w:val="continue"/>
                  <w:vAlign w:val="center"/>
                </w:tcPr>
                <w:p w14:paraId="3DD9EDCD">
                  <w:pPr>
                    <w:jc w:val="center"/>
                    <w:rPr>
                      <w:sz w:val="18"/>
                      <w:szCs w:val="18"/>
                    </w:rPr>
                  </w:pPr>
                </w:p>
              </w:tc>
              <w:tc>
                <w:tcPr>
                  <w:tcW w:w="1740" w:type="dxa"/>
                  <w:vMerge w:val="continue"/>
                  <w:vAlign w:val="center"/>
                </w:tcPr>
                <w:p w14:paraId="5D5CF546">
                  <w:pPr>
                    <w:jc w:val="center"/>
                    <w:rPr>
                      <w:sz w:val="18"/>
                      <w:szCs w:val="18"/>
                    </w:rPr>
                  </w:pPr>
                </w:p>
              </w:tc>
              <w:tc>
                <w:tcPr>
                  <w:tcW w:w="870" w:type="dxa"/>
                  <w:vMerge w:val="continue"/>
                  <w:vAlign w:val="center"/>
                </w:tcPr>
                <w:p w14:paraId="1C53714A">
                  <w:pPr>
                    <w:jc w:val="center"/>
                    <w:rPr>
                      <w:sz w:val="18"/>
                      <w:szCs w:val="18"/>
                    </w:rPr>
                  </w:pPr>
                </w:p>
              </w:tc>
              <w:tc>
                <w:tcPr>
                  <w:tcW w:w="930" w:type="dxa"/>
                  <w:vMerge w:val="continue"/>
                  <w:vAlign w:val="center"/>
                </w:tcPr>
                <w:p w14:paraId="28B6CD63">
                  <w:pPr>
                    <w:jc w:val="center"/>
                    <w:rPr>
                      <w:sz w:val="18"/>
                      <w:szCs w:val="18"/>
                    </w:rPr>
                  </w:pPr>
                </w:p>
              </w:tc>
              <w:tc>
                <w:tcPr>
                  <w:tcW w:w="1275" w:type="dxa"/>
                  <w:vAlign w:val="center"/>
                </w:tcPr>
                <w:p w14:paraId="4FBC0FBE">
                  <w:pPr>
                    <w:jc w:val="center"/>
                    <w:rPr>
                      <w:sz w:val="18"/>
                      <w:szCs w:val="18"/>
                    </w:rPr>
                  </w:pPr>
                  <w:r>
                    <w:rPr>
                      <w:sz w:val="18"/>
                      <w:szCs w:val="18"/>
                    </w:rPr>
                    <w:t>污染治理设施编号</w:t>
                  </w:r>
                </w:p>
              </w:tc>
              <w:tc>
                <w:tcPr>
                  <w:tcW w:w="1425" w:type="dxa"/>
                  <w:vAlign w:val="center"/>
                </w:tcPr>
                <w:p w14:paraId="05CCA77F">
                  <w:pPr>
                    <w:jc w:val="center"/>
                    <w:rPr>
                      <w:sz w:val="18"/>
                      <w:szCs w:val="18"/>
                    </w:rPr>
                  </w:pPr>
                  <w:r>
                    <w:rPr>
                      <w:sz w:val="18"/>
                      <w:szCs w:val="18"/>
                    </w:rPr>
                    <w:t>污染治理设施名称</w:t>
                  </w:r>
                </w:p>
              </w:tc>
              <w:tc>
                <w:tcPr>
                  <w:tcW w:w="1288" w:type="dxa"/>
                  <w:vAlign w:val="center"/>
                </w:tcPr>
                <w:p w14:paraId="58F8B40B">
                  <w:pPr>
                    <w:jc w:val="center"/>
                    <w:rPr>
                      <w:sz w:val="18"/>
                      <w:szCs w:val="18"/>
                    </w:rPr>
                  </w:pPr>
                  <w:r>
                    <w:rPr>
                      <w:sz w:val="18"/>
                      <w:szCs w:val="18"/>
                    </w:rPr>
                    <w:t>污染治理设施工艺</w:t>
                  </w:r>
                </w:p>
              </w:tc>
              <w:tc>
                <w:tcPr>
                  <w:tcW w:w="825" w:type="dxa"/>
                  <w:vMerge w:val="continue"/>
                  <w:vAlign w:val="center"/>
                </w:tcPr>
                <w:p w14:paraId="594DCABE">
                  <w:pPr>
                    <w:jc w:val="center"/>
                    <w:rPr>
                      <w:sz w:val="18"/>
                      <w:szCs w:val="18"/>
                    </w:rPr>
                  </w:pPr>
                </w:p>
              </w:tc>
              <w:tc>
                <w:tcPr>
                  <w:tcW w:w="1350" w:type="dxa"/>
                  <w:vMerge w:val="continue"/>
                  <w:vAlign w:val="center"/>
                </w:tcPr>
                <w:p w14:paraId="6AFABB52">
                  <w:pPr>
                    <w:jc w:val="center"/>
                    <w:rPr>
                      <w:sz w:val="18"/>
                      <w:szCs w:val="18"/>
                    </w:rPr>
                  </w:pPr>
                </w:p>
              </w:tc>
              <w:tc>
                <w:tcPr>
                  <w:tcW w:w="1704" w:type="dxa"/>
                  <w:vMerge w:val="continue"/>
                  <w:vAlign w:val="center"/>
                </w:tcPr>
                <w:p w14:paraId="0B37AF15">
                  <w:pPr>
                    <w:jc w:val="center"/>
                    <w:rPr>
                      <w:sz w:val="18"/>
                      <w:szCs w:val="18"/>
                    </w:rPr>
                  </w:pPr>
                </w:p>
              </w:tc>
            </w:tr>
            <w:tr w14:paraId="07E884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02" w:type="dxa"/>
                  <w:vMerge w:val="restart"/>
                  <w:vAlign w:val="center"/>
                </w:tcPr>
                <w:p w14:paraId="4E7004E7">
                  <w:pPr>
                    <w:jc w:val="center"/>
                    <w:rPr>
                      <w:sz w:val="18"/>
                      <w:szCs w:val="18"/>
                    </w:rPr>
                  </w:pPr>
                  <w:r>
                    <w:rPr>
                      <w:sz w:val="18"/>
                      <w:szCs w:val="18"/>
                    </w:rPr>
                    <w:t>1</w:t>
                  </w:r>
                </w:p>
              </w:tc>
              <w:tc>
                <w:tcPr>
                  <w:tcW w:w="1035" w:type="dxa"/>
                  <w:vAlign w:val="center"/>
                </w:tcPr>
                <w:p w14:paraId="5E96BF61">
                  <w:pPr>
                    <w:jc w:val="center"/>
                    <w:rPr>
                      <w:sz w:val="18"/>
                      <w:szCs w:val="18"/>
                    </w:rPr>
                  </w:pPr>
                  <w:r>
                    <w:rPr>
                      <w:sz w:val="18"/>
                      <w:szCs w:val="18"/>
                    </w:rPr>
                    <w:t>生活污水</w:t>
                  </w:r>
                </w:p>
              </w:tc>
              <w:tc>
                <w:tcPr>
                  <w:tcW w:w="1740" w:type="dxa"/>
                  <w:vAlign w:val="center"/>
                </w:tcPr>
                <w:p w14:paraId="1E512CC0">
                  <w:pPr>
                    <w:jc w:val="center"/>
                    <w:rPr>
                      <w:sz w:val="18"/>
                      <w:szCs w:val="18"/>
                    </w:rPr>
                  </w:pPr>
                  <w:r>
                    <w:rPr>
                      <w:sz w:val="18"/>
                      <w:szCs w:val="18"/>
                    </w:rPr>
                    <w:t>COD、SS、TP、TN、NH</w:t>
                  </w:r>
                  <w:r>
                    <w:rPr>
                      <w:sz w:val="18"/>
                      <w:szCs w:val="18"/>
                      <w:vertAlign w:val="subscript"/>
                    </w:rPr>
                    <w:t>3</w:t>
                  </w:r>
                  <w:r>
                    <w:rPr>
                      <w:sz w:val="18"/>
                      <w:szCs w:val="18"/>
                    </w:rPr>
                    <w:t>-N</w:t>
                  </w:r>
                </w:p>
              </w:tc>
              <w:tc>
                <w:tcPr>
                  <w:tcW w:w="870" w:type="dxa"/>
                  <w:vMerge w:val="restart"/>
                  <w:vAlign w:val="center"/>
                </w:tcPr>
                <w:p w14:paraId="2E8E5447">
                  <w:pPr>
                    <w:jc w:val="center"/>
                    <w:rPr>
                      <w:sz w:val="18"/>
                      <w:szCs w:val="18"/>
                    </w:rPr>
                  </w:pPr>
                  <w:r>
                    <w:rPr>
                      <w:rFonts w:hint="eastAsia"/>
                      <w:sz w:val="18"/>
                      <w:szCs w:val="18"/>
                    </w:rPr>
                    <w:t>南通市东港排水有限公司</w:t>
                  </w:r>
                </w:p>
              </w:tc>
              <w:tc>
                <w:tcPr>
                  <w:tcW w:w="930" w:type="dxa"/>
                  <w:vMerge w:val="restart"/>
                  <w:vAlign w:val="center"/>
                </w:tcPr>
                <w:p w14:paraId="233D1491">
                  <w:pPr>
                    <w:jc w:val="center"/>
                    <w:rPr>
                      <w:sz w:val="18"/>
                      <w:szCs w:val="18"/>
                    </w:rPr>
                  </w:pPr>
                  <w:r>
                    <w:rPr>
                      <w:sz w:val="18"/>
                      <w:szCs w:val="18"/>
                    </w:rPr>
                    <w:t>间歇排放</w:t>
                  </w:r>
                </w:p>
              </w:tc>
              <w:tc>
                <w:tcPr>
                  <w:tcW w:w="1275" w:type="dxa"/>
                  <w:vAlign w:val="center"/>
                </w:tcPr>
                <w:p w14:paraId="4B3DD614">
                  <w:pPr>
                    <w:jc w:val="center"/>
                    <w:rPr>
                      <w:sz w:val="18"/>
                      <w:szCs w:val="18"/>
                    </w:rPr>
                  </w:pPr>
                  <w:r>
                    <w:rPr>
                      <w:sz w:val="18"/>
                      <w:szCs w:val="18"/>
                    </w:rPr>
                    <w:t>TW00</w:t>
                  </w:r>
                  <w:r>
                    <w:rPr>
                      <w:rFonts w:hint="eastAsia"/>
                      <w:sz w:val="18"/>
                      <w:szCs w:val="18"/>
                    </w:rPr>
                    <w:t>1</w:t>
                  </w:r>
                </w:p>
              </w:tc>
              <w:tc>
                <w:tcPr>
                  <w:tcW w:w="1425" w:type="dxa"/>
                  <w:vAlign w:val="center"/>
                </w:tcPr>
                <w:p w14:paraId="0208CB10">
                  <w:pPr>
                    <w:jc w:val="center"/>
                    <w:rPr>
                      <w:sz w:val="18"/>
                      <w:szCs w:val="18"/>
                    </w:rPr>
                  </w:pPr>
                  <w:r>
                    <w:rPr>
                      <w:sz w:val="18"/>
                      <w:szCs w:val="18"/>
                    </w:rPr>
                    <w:t>化粪池</w:t>
                  </w:r>
                </w:p>
              </w:tc>
              <w:tc>
                <w:tcPr>
                  <w:tcW w:w="1288" w:type="dxa"/>
                  <w:vAlign w:val="center"/>
                </w:tcPr>
                <w:p w14:paraId="35FE1237">
                  <w:pPr>
                    <w:jc w:val="center"/>
                    <w:rPr>
                      <w:sz w:val="18"/>
                      <w:szCs w:val="18"/>
                    </w:rPr>
                  </w:pPr>
                  <w:r>
                    <w:rPr>
                      <w:sz w:val="18"/>
                      <w:szCs w:val="18"/>
                    </w:rPr>
                    <w:t>厌氧发酵</w:t>
                  </w:r>
                </w:p>
              </w:tc>
              <w:tc>
                <w:tcPr>
                  <w:tcW w:w="825" w:type="dxa"/>
                  <w:vMerge w:val="restart"/>
                  <w:vAlign w:val="center"/>
                </w:tcPr>
                <w:p w14:paraId="6CF6DC56">
                  <w:pPr>
                    <w:jc w:val="center"/>
                    <w:rPr>
                      <w:sz w:val="18"/>
                      <w:szCs w:val="18"/>
                    </w:rPr>
                  </w:pPr>
                  <w:r>
                    <w:rPr>
                      <w:sz w:val="18"/>
                      <w:szCs w:val="18"/>
                    </w:rPr>
                    <w:t>DW001</w:t>
                  </w:r>
                </w:p>
              </w:tc>
              <w:tc>
                <w:tcPr>
                  <w:tcW w:w="1350" w:type="dxa"/>
                  <w:vMerge w:val="restart"/>
                  <w:vAlign w:val="center"/>
                </w:tcPr>
                <w:p w14:paraId="684CB4D7">
                  <w:pPr>
                    <w:jc w:val="center"/>
                    <w:rPr>
                      <w:sz w:val="18"/>
                      <w:szCs w:val="18"/>
                    </w:rPr>
                  </w:pPr>
                  <w:r>
                    <w:rPr>
                      <w:sz w:val="18"/>
                      <w:szCs w:val="18"/>
                    </w:rPr>
                    <w:sym w:font="Wingdings 2" w:char="0052"/>
                  </w:r>
                  <w:r>
                    <w:rPr>
                      <w:sz w:val="18"/>
                      <w:szCs w:val="18"/>
                    </w:rPr>
                    <w:t>是</w:t>
                  </w:r>
                </w:p>
                <w:p w14:paraId="78A5917C">
                  <w:pPr>
                    <w:jc w:val="center"/>
                    <w:rPr>
                      <w:sz w:val="18"/>
                      <w:szCs w:val="18"/>
                    </w:rPr>
                  </w:pPr>
                  <w:r>
                    <w:rPr>
                      <w:sz w:val="18"/>
                      <w:szCs w:val="18"/>
                    </w:rPr>
                    <w:sym w:font="Wingdings 2" w:char="00A3"/>
                  </w:r>
                  <w:r>
                    <w:rPr>
                      <w:sz w:val="18"/>
                      <w:szCs w:val="18"/>
                    </w:rPr>
                    <w:t>否</w:t>
                  </w:r>
                </w:p>
              </w:tc>
              <w:tc>
                <w:tcPr>
                  <w:tcW w:w="1704" w:type="dxa"/>
                  <w:vMerge w:val="restart"/>
                  <w:vAlign w:val="center"/>
                </w:tcPr>
                <w:p w14:paraId="33C1B716">
                  <w:pPr>
                    <w:jc w:val="center"/>
                    <w:rPr>
                      <w:sz w:val="18"/>
                      <w:szCs w:val="18"/>
                    </w:rPr>
                  </w:pPr>
                  <w:r>
                    <w:rPr>
                      <w:sz w:val="18"/>
                      <w:szCs w:val="18"/>
                    </w:rPr>
                    <w:sym w:font="Wingdings 2" w:char="0052"/>
                  </w:r>
                  <w:r>
                    <w:rPr>
                      <w:sz w:val="18"/>
                      <w:szCs w:val="18"/>
                    </w:rPr>
                    <w:t>企业总排放</w:t>
                  </w:r>
                </w:p>
                <w:p w14:paraId="14EAD971">
                  <w:pPr>
                    <w:jc w:val="center"/>
                    <w:rPr>
                      <w:sz w:val="18"/>
                      <w:szCs w:val="18"/>
                    </w:rPr>
                  </w:pPr>
                  <w:r>
                    <w:rPr>
                      <w:sz w:val="18"/>
                      <w:szCs w:val="18"/>
                    </w:rPr>
                    <w:sym w:font="Wingdings 2" w:char="00A3"/>
                  </w:r>
                  <w:r>
                    <w:rPr>
                      <w:sz w:val="18"/>
                      <w:szCs w:val="18"/>
                    </w:rPr>
                    <w:t>雨水排放</w:t>
                  </w:r>
                </w:p>
                <w:p w14:paraId="192A743A">
                  <w:pPr>
                    <w:jc w:val="center"/>
                    <w:rPr>
                      <w:sz w:val="18"/>
                      <w:szCs w:val="18"/>
                    </w:rPr>
                  </w:pPr>
                  <w:r>
                    <w:rPr>
                      <w:sz w:val="18"/>
                      <w:szCs w:val="18"/>
                    </w:rPr>
                    <w:sym w:font="Wingdings 2" w:char="00A3"/>
                  </w:r>
                  <w:r>
                    <w:rPr>
                      <w:sz w:val="18"/>
                      <w:szCs w:val="18"/>
                    </w:rPr>
                    <w:t>清净下水排放</w:t>
                  </w:r>
                </w:p>
                <w:p w14:paraId="4B01EE1B">
                  <w:pPr>
                    <w:jc w:val="center"/>
                    <w:rPr>
                      <w:sz w:val="18"/>
                      <w:szCs w:val="18"/>
                    </w:rPr>
                  </w:pPr>
                  <w:r>
                    <w:rPr>
                      <w:sz w:val="18"/>
                      <w:szCs w:val="18"/>
                    </w:rPr>
                    <w:sym w:font="Wingdings 2" w:char="00A3"/>
                  </w:r>
                  <w:r>
                    <w:rPr>
                      <w:sz w:val="18"/>
                      <w:szCs w:val="18"/>
                    </w:rPr>
                    <w:t>温排水排放</w:t>
                  </w:r>
                </w:p>
                <w:p w14:paraId="09597104">
                  <w:pPr>
                    <w:jc w:val="center"/>
                    <w:rPr>
                      <w:sz w:val="18"/>
                      <w:szCs w:val="18"/>
                    </w:rPr>
                  </w:pPr>
                  <w:r>
                    <w:rPr>
                      <w:sz w:val="18"/>
                      <w:szCs w:val="18"/>
                    </w:rPr>
                    <w:sym w:font="Wingdings 2" w:char="00A3"/>
                  </w:r>
                  <w:r>
                    <w:rPr>
                      <w:sz w:val="18"/>
                      <w:szCs w:val="18"/>
                    </w:rPr>
                    <w:t>车间或车间处</w:t>
                  </w:r>
                </w:p>
                <w:p w14:paraId="2ACA46B0">
                  <w:pPr>
                    <w:jc w:val="center"/>
                    <w:rPr>
                      <w:sz w:val="18"/>
                      <w:szCs w:val="18"/>
                    </w:rPr>
                  </w:pPr>
                  <w:r>
                    <w:rPr>
                      <w:sz w:val="18"/>
                      <w:szCs w:val="18"/>
                    </w:rPr>
                    <w:t>理设施排放</w:t>
                  </w:r>
                </w:p>
              </w:tc>
            </w:tr>
            <w:tr w14:paraId="36D777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02" w:type="dxa"/>
                  <w:vMerge w:val="continue"/>
                  <w:vAlign w:val="center"/>
                </w:tcPr>
                <w:p w14:paraId="7D460756">
                  <w:pPr>
                    <w:jc w:val="center"/>
                    <w:rPr>
                      <w:sz w:val="18"/>
                      <w:szCs w:val="18"/>
                    </w:rPr>
                  </w:pPr>
                </w:p>
              </w:tc>
              <w:tc>
                <w:tcPr>
                  <w:tcW w:w="1035" w:type="dxa"/>
                  <w:vAlign w:val="center"/>
                </w:tcPr>
                <w:p w14:paraId="0EC5508E">
                  <w:pPr>
                    <w:jc w:val="center"/>
                    <w:rPr>
                      <w:rFonts w:hint="eastAsia" w:eastAsia="宋体"/>
                      <w:sz w:val="18"/>
                      <w:szCs w:val="18"/>
                      <w:lang w:eastAsia="zh-CN"/>
                    </w:rPr>
                  </w:pPr>
                  <w:r>
                    <w:rPr>
                      <w:rFonts w:hint="eastAsia"/>
                      <w:sz w:val="18"/>
                      <w:szCs w:val="18"/>
                      <w:lang w:eastAsia="zh-CN"/>
                    </w:rPr>
                    <w:t>循环冷却</w:t>
                  </w:r>
                </w:p>
              </w:tc>
              <w:tc>
                <w:tcPr>
                  <w:tcW w:w="1740" w:type="dxa"/>
                  <w:vAlign w:val="center"/>
                </w:tcPr>
                <w:p w14:paraId="4DA06853">
                  <w:pPr>
                    <w:jc w:val="center"/>
                    <w:rPr>
                      <w:rFonts w:hint="default" w:eastAsia="宋体"/>
                      <w:sz w:val="18"/>
                      <w:szCs w:val="18"/>
                      <w:lang w:val="en-US" w:eastAsia="zh-CN"/>
                    </w:rPr>
                  </w:pPr>
                  <w:r>
                    <w:rPr>
                      <w:rFonts w:hint="eastAsia"/>
                      <w:sz w:val="18"/>
                      <w:szCs w:val="18"/>
                      <w:lang w:val="en-US" w:eastAsia="zh-CN"/>
                    </w:rPr>
                    <w:t>COD、SS</w:t>
                  </w:r>
                </w:p>
              </w:tc>
              <w:tc>
                <w:tcPr>
                  <w:tcW w:w="870" w:type="dxa"/>
                  <w:vMerge w:val="continue"/>
                  <w:vAlign w:val="center"/>
                </w:tcPr>
                <w:p w14:paraId="79534E44">
                  <w:pPr>
                    <w:jc w:val="center"/>
                    <w:rPr>
                      <w:sz w:val="18"/>
                      <w:szCs w:val="18"/>
                    </w:rPr>
                  </w:pPr>
                </w:p>
              </w:tc>
              <w:tc>
                <w:tcPr>
                  <w:tcW w:w="930" w:type="dxa"/>
                  <w:vMerge w:val="continue"/>
                  <w:vAlign w:val="center"/>
                </w:tcPr>
                <w:p w14:paraId="15A9A0CF">
                  <w:pPr>
                    <w:jc w:val="center"/>
                    <w:rPr>
                      <w:sz w:val="18"/>
                      <w:szCs w:val="18"/>
                    </w:rPr>
                  </w:pPr>
                </w:p>
              </w:tc>
              <w:tc>
                <w:tcPr>
                  <w:tcW w:w="1275" w:type="dxa"/>
                  <w:vAlign w:val="center"/>
                </w:tcPr>
                <w:p w14:paraId="30E024CA">
                  <w:pPr>
                    <w:jc w:val="center"/>
                    <w:rPr>
                      <w:rFonts w:hint="default" w:eastAsia="宋体"/>
                      <w:sz w:val="18"/>
                      <w:szCs w:val="18"/>
                      <w:lang w:val="en-US" w:eastAsia="zh-CN"/>
                    </w:rPr>
                  </w:pPr>
                  <w:r>
                    <w:rPr>
                      <w:rFonts w:hint="eastAsia"/>
                      <w:sz w:val="18"/>
                      <w:szCs w:val="18"/>
                      <w:lang w:val="en-US" w:eastAsia="zh-CN"/>
                    </w:rPr>
                    <w:t>TW002</w:t>
                  </w:r>
                </w:p>
              </w:tc>
              <w:tc>
                <w:tcPr>
                  <w:tcW w:w="1425" w:type="dxa"/>
                  <w:vAlign w:val="center"/>
                </w:tcPr>
                <w:p w14:paraId="5A3B8EB0">
                  <w:pPr>
                    <w:jc w:val="center"/>
                    <w:rPr>
                      <w:rFonts w:hint="eastAsia" w:eastAsia="宋体"/>
                      <w:sz w:val="18"/>
                      <w:szCs w:val="18"/>
                      <w:lang w:eastAsia="zh-CN"/>
                    </w:rPr>
                  </w:pPr>
                  <w:r>
                    <w:rPr>
                      <w:rFonts w:hint="eastAsia"/>
                      <w:sz w:val="18"/>
                      <w:szCs w:val="18"/>
                      <w:lang w:eastAsia="zh-CN"/>
                    </w:rPr>
                    <w:t>沉淀池</w:t>
                  </w:r>
                </w:p>
              </w:tc>
              <w:tc>
                <w:tcPr>
                  <w:tcW w:w="1288" w:type="dxa"/>
                  <w:vAlign w:val="center"/>
                </w:tcPr>
                <w:p w14:paraId="3CE65F36">
                  <w:pPr>
                    <w:jc w:val="center"/>
                    <w:rPr>
                      <w:rFonts w:hint="eastAsia" w:eastAsia="宋体"/>
                      <w:sz w:val="18"/>
                      <w:szCs w:val="18"/>
                      <w:lang w:eastAsia="zh-CN"/>
                    </w:rPr>
                  </w:pPr>
                  <w:r>
                    <w:rPr>
                      <w:rFonts w:hint="eastAsia"/>
                      <w:sz w:val="18"/>
                      <w:szCs w:val="18"/>
                      <w:lang w:eastAsia="zh-CN"/>
                    </w:rPr>
                    <w:t>沉淀</w:t>
                  </w:r>
                </w:p>
              </w:tc>
              <w:tc>
                <w:tcPr>
                  <w:tcW w:w="825" w:type="dxa"/>
                  <w:vMerge w:val="continue"/>
                  <w:vAlign w:val="center"/>
                </w:tcPr>
                <w:p w14:paraId="787AE2B8">
                  <w:pPr>
                    <w:jc w:val="center"/>
                    <w:rPr>
                      <w:sz w:val="18"/>
                      <w:szCs w:val="18"/>
                    </w:rPr>
                  </w:pPr>
                </w:p>
              </w:tc>
              <w:tc>
                <w:tcPr>
                  <w:tcW w:w="1350" w:type="dxa"/>
                  <w:vMerge w:val="continue"/>
                  <w:vAlign w:val="center"/>
                </w:tcPr>
                <w:p w14:paraId="0E919B54">
                  <w:pPr>
                    <w:jc w:val="center"/>
                    <w:rPr>
                      <w:sz w:val="18"/>
                      <w:szCs w:val="18"/>
                    </w:rPr>
                  </w:pPr>
                </w:p>
              </w:tc>
              <w:tc>
                <w:tcPr>
                  <w:tcW w:w="1704" w:type="dxa"/>
                  <w:vMerge w:val="continue"/>
                  <w:vAlign w:val="center"/>
                </w:tcPr>
                <w:p w14:paraId="65E4B93A">
                  <w:pPr>
                    <w:jc w:val="center"/>
                    <w:rPr>
                      <w:sz w:val="18"/>
                      <w:szCs w:val="18"/>
                    </w:rPr>
                  </w:pPr>
                </w:p>
              </w:tc>
            </w:tr>
          </w:tbl>
          <w:p w14:paraId="4059BB59">
            <w:pPr>
              <w:pStyle w:val="2"/>
              <w:spacing w:after="0" w:line="500" w:lineRule="exact"/>
              <w:ind w:firstLine="420" w:firstLineChars="200"/>
              <w:rPr>
                <w:rFonts w:hint="default" w:ascii="Times New Roman" w:hAnsi="Times New Roman" w:eastAsia="宋体"/>
                <w:sz w:val="21"/>
                <w:szCs w:val="21"/>
                <w:lang w:val="en-US" w:eastAsia="zh-CN"/>
              </w:rPr>
            </w:pPr>
            <w:r>
              <w:rPr>
                <w:rFonts w:ascii="Times New Roman" w:hAnsi="Times New Roman"/>
                <w:sz w:val="21"/>
                <w:szCs w:val="21"/>
              </w:rPr>
              <w:t>废水间接排放口基本情况见表4-1</w:t>
            </w:r>
            <w:r>
              <w:rPr>
                <w:rFonts w:hint="eastAsia" w:ascii="Times New Roman" w:hAnsi="Times New Roman"/>
                <w:sz w:val="21"/>
                <w:szCs w:val="21"/>
                <w:lang w:val="en-US" w:eastAsia="zh-CN"/>
              </w:rPr>
              <w:t>4</w:t>
            </w:r>
          </w:p>
          <w:p w14:paraId="60057916">
            <w:pPr>
              <w:spacing w:line="360" w:lineRule="auto"/>
              <w:jc w:val="center"/>
              <w:rPr>
                <w:b/>
                <w:bCs/>
              </w:rPr>
            </w:pPr>
            <w:r>
              <w:rPr>
                <w:b/>
                <w:bCs/>
              </w:rPr>
              <w:t>表4-1</w:t>
            </w:r>
            <w:r>
              <w:rPr>
                <w:rFonts w:hint="eastAsia"/>
                <w:b/>
                <w:bCs/>
                <w:lang w:val="en-US" w:eastAsia="zh-CN"/>
              </w:rPr>
              <w:t>4</w:t>
            </w:r>
            <w:r>
              <w:rPr>
                <w:rFonts w:hint="eastAsia"/>
                <w:b/>
                <w:bCs/>
              </w:rPr>
              <w:t xml:space="preserve"> </w:t>
            </w:r>
            <w:r>
              <w:rPr>
                <w:b/>
                <w:bCs/>
              </w:rPr>
              <w:t>废水排放口信息一览表</w:t>
            </w:r>
          </w:p>
          <w:tbl>
            <w:tblPr>
              <w:tblStyle w:val="16"/>
              <w:tblW w:w="12935"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065"/>
              <w:gridCol w:w="1275"/>
              <w:gridCol w:w="1200"/>
              <w:gridCol w:w="1061"/>
              <w:gridCol w:w="944"/>
              <w:gridCol w:w="1171"/>
              <w:gridCol w:w="1239"/>
              <w:gridCol w:w="1837"/>
              <w:gridCol w:w="978"/>
              <w:gridCol w:w="989"/>
            </w:tblGrid>
            <w:tr w14:paraId="27703F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176" w:type="dxa"/>
                  <w:vMerge w:val="restart"/>
                  <w:vAlign w:val="center"/>
                </w:tcPr>
                <w:p w14:paraId="3F5B1A43">
                  <w:pPr>
                    <w:jc w:val="center"/>
                    <w:rPr>
                      <w:sz w:val="18"/>
                      <w:szCs w:val="18"/>
                    </w:rPr>
                  </w:pPr>
                  <w:r>
                    <w:rPr>
                      <w:sz w:val="18"/>
                      <w:szCs w:val="18"/>
                    </w:rPr>
                    <w:t>排放口编号</w:t>
                  </w:r>
                </w:p>
              </w:tc>
              <w:tc>
                <w:tcPr>
                  <w:tcW w:w="1065" w:type="dxa"/>
                  <w:vMerge w:val="restart"/>
                  <w:vAlign w:val="center"/>
                </w:tcPr>
                <w:p w14:paraId="5C6DE00C">
                  <w:pPr>
                    <w:jc w:val="center"/>
                    <w:rPr>
                      <w:sz w:val="18"/>
                      <w:szCs w:val="18"/>
                    </w:rPr>
                  </w:pPr>
                  <w:r>
                    <w:rPr>
                      <w:sz w:val="18"/>
                      <w:szCs w:val="18"/>
                    </w:rPr>
                    <w:t>排放口名称</w:t>
                  </w:r>
                </w:p>
              </w:tc>
              <w:tc>
                <w:tcPr>
                  <w:tcW w:w="1275" w:type="dxa"/>
                  <w:vMerge w:val="restart"/>
                  <w:vAlign w:val="center"/>
                </w:tcPr>
                <w:p w14:paraId="18633AF9">
                  <w:pPr>
                    <w:jc w:val="center"/>
                    <w:rPr>
                      <w:sz w:val="18"/>
                      <w:szCs w:val="18"/>
                    </w:rPr>
                  </w:pPr>
                  <w:r>
                    <w:rPr>
                      <w:sz w:val="18"/>
                      <w:szCs w:val="18"/>
                    </w:rPr>
                    <w:t>污染物种类</w:t>
                  </w:r>
                </w:p>
              </w:tc>
              <w:tc>
                <w:tcPr>
                  <w:tcW w:w="2261" w:type="dxa"/>
                  <w:gridSpan w:val="2"/>
                  <w:vAlign w:val="center"/>
                </w:tcPr>
                <w:p w14:paraId="55FDEF18">
                  <w:pPr>
                    <w:jc w:val="center"/>
                    <w:rPr>
                      <w:sz w:val="18"/>
                      <w:szCs w:val="18"/>
                    </w:rPr>
                  </w:pPr>
                  <w:r>
                    <w:rPr>
                      <w:sz w:val="18"/>
                      <w:szCs w:val="18"/>
                    </w:rPr>
                    <w:t>地理坐标</w:t>
                  </w:r>
                </w:p>
              </w:tc>
              <w:tc>
                <w:tcPr>
                  <w:tcW w:w="944" w:type="dxa"/>
                  <w:vMerge w:val="restart"/>
                  <w:vAlign w:val="center"/>
                </w:tcPr>
                <w:p w14:paraId="46CCB927">
                  <w:pPr>
                    <w:jc w:val="center"/>
                    <w:rPr>
                      <w:sz w:val="18"/>
                      <w:szCs w:val="18"/>
                    </w:rPr>
                  </w:pPr>
                  <w:r>
                    <w:rPr>
                      <w:sz w:val="18"/>
                      <w:szCs w:val="18"/>
                    </w:rPr>
                    <w:t>排放口类型</w:t>
                  </w:r>
                </w:p>
              </w:tc>
              <w:tc>
                <w:tcPr>
                  <w:tcW w:w="1171" w:type="dxa"/>
                  <w:vMerge w:val="restart"/>
                  <w:vAlign w:val="center"/>
                </w:tcPr>
                <w:p w14:paraId="6F5B79F7">
                  <w:pPr>
                    <w:jc w:val="center"/>
                    <w:rPr>
                      <w:sz w:val="18"/>
                      <w:szCs w:val="18"/>
                    </w:rPr>
                  </w:pPr>
                  <w:r>
                    <w:rPr>
                      <w:sz w:val="18"/>
                      <w:szCs w:val="18"/>
                    </w:rPr>
                    <w:t>排放规律</w:t>
                  </w:r>
                </w:p>
              </w:tc>
              <w:tc>
                <w:tcPr>
                  <w:tcW w:w="3076" w:type="dxa"/>
                  <w:gridSpan w:val="2"/>
                  <w:vAlign w:val="center"/>
                </w:tcPr>
                <w:p w14:paraId="6C291D8B">
                  <w:pPr>
                    <w:jc w:val="center"/>
                    <w:rPr>
                      <w:sz w:val="18"/>
                      <w:szCs w:val="18"/>
                    </w:rPr>
                  </w:pPr>
                  <w:r>
                    <w:rPr>
                      <w:sz w:val="18"/>
                      <w:szCs w:val="18"/>
                    </w:rPr>
                    <w:t>排放标准</w:t>
                  </w:r>
                </w:p>
              </w:tc>
              <w:tc>
                <w:tcPr>
                  <w:tcW w:w="978" w:type="dxa"/>
                  <w:vMerge w:val="restart"/>
                  <w:vAlign w:val="center"/>
                </w:tcPr>
                <w:p w14:paraId="1ACFB471">
                  <w:pPr>
                    <w:jc w:val="center"/>
                    <w:rPr>
                      <w:sz w:val="18"/>
                      <w:szCs w:val="18"/>
                    </w:rPr>
                  </w:pPr>
                  <w:r>
                    <w:rPr>
                      <w:sz w:val="18"/>
                      <w:szCs w:val="18"/>
                    </w:rPr>
                    <w:t>排放方式</w:t>
                  </w:r>
                </w:p>
              </w:tc>
              <w:tc>
                <w:tcPr>
                  <w:tcW w:w="989" w:type="dxa"/>
                  <w:vMerge w:val="restart"/>
                  <w:vAlign w:val="center"/>
                </w:tcPr>
                <w:p w14:paraId="47D16670">
                  <w:pPr>
                    <w:jc w:val="center"/>
                    <w:rPr>
                      <w:sz w:val="18"/>
                      <w:szCs w:val="18"/>
                    </w:rPr>
                  </w:pPr>
                  <w:r>
                    <w:rPr>
                      <w:sz w:val="18"/>
                      <w:szCs w:val="18"/>
                    </w:rPr>
                    <w:t>排放去向</w:t>
                  </w:r>
                </w:p>
              </w:tc>
            </w:tr>
            <w:tr w14:paraId="724FF9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6" w:type="dxa"/>
                  <w:vMerge w:val="continue"/>
                  <w:vAlign w:val="center"/>
                </w:tcPr>
                <w:p w14:paraId="7348A2B1">
                  <w:pPr>
                    <w:jc w:val="center"/>
                    <w:rPr>
                      <w:sz w:val="18"/>
                      <w:szCs w:val="18"/>
                    </w:rPr>
                  </w:pPr>
                </w:p>
              </w:tc>
              <w:tc>
                <w:tcPr>
                  <w:tcW w:w="1065" w:type="dxa"/>
                  <w:vMerge w:val="continue"/>
                  <w:vAlign w:val="center"/>
                </w:tcPr>
                <w:p w14:paraId="38D88D35">
                  <w:pPr>
                    <w:jc w:val="center"/>
                    <w:rPr>
                      <w:sz w:val="18"/>
                      <w:szCs w:val="18"/>
                    </w:rPr>
                  </w:pPr>
                </w:p>
              </w:tc>
              <w:tc>
                <w:tcPr>
                  <w:tcW w:w="1275" w:type="dxa"/>
                  <w:vMerge w:val="continue"/>
                  <w:vAlign w:val="center"/>
                </w:tcPr>
                <w:p w14:paraId="272FD10D">
                  <w:pPr>
                    <w:jc w:val="center"/>
                    <w:rPr>
                      <w:sz w:val="18"/>
                      <w:szCs w:val="18"/>
                    </w:rPr>
                  </w:pPr>
                </w:p>
              </w:tc>
              <w:tc>
                <w:tcPr>
                  <w:tcW w:w="1200" w:type="dxa"/>
                  <w:vAlign w:val="center"/>
                </w:tcPr>
                <w:p w14:paraId="5B14BBBB">
                  <w:pPr>
                    <w:jc w:val="center"/>
                    <w:rPr>
                      <w:sz w:val="18"/>
                      <w:szCs w:val="18"/>
                    </w:rPr>
                  </w:pPr>
                  <w:r>
                    <w:rPr>
                      <w:sz w:val="18"/>
                      <w:szCs w:val="18"/>
                    </w:rPr>
                    <w:t>经度</w:t>
                  </w:r>
                </w:p>
              </w:tc>
              <w:tc>
                <w:tcPr>
                  <w:tcW w:w="1061" w:type="dxa"/>
                  <w:vAlign w:val="center"/>
                </w:tcPr>
                <w:p w14:paraId="6764B819">
                  <w:pPr>
                    <w:jc w:val="center"/>
                    <w:rPr>
                      <w:sz w:val="18"/>
                      <w:szCs w:val="18"/>
                    </w:rPr>
                  </w:pPr>
                  <w:r>
                    <w:rPr>
                      <w:sz w:val="18"/>
                      <w:szCs w:val="18"/>
                    </w:rPr>
                    <w:t>纬度</w:t>
                  </w:r>
                </w:p>
              </w:tc>
              <w:tc>
                <w:tcPr>
                  <w:tcW w:w="944" w:type="dxa"/>
                  <w:vMerge w:val="continue"/>
                  <w:vAlign w:val="center"/>
                </w:tcPr>
                <w:p w14:paraId="4FAECBA6">
                  <w:pPr>
                    <w:jc w:val="center"/>
                    <w:rPr>
                      <w:sz w:val="18"/>
                      <w:szCs w:val="18"/>
                    </w:rPr>
                  </w:pPr>
                </w:p>
              </w:tc>
              <w:tc>
                <w:tcPr>
                  <w:tcW w:w="1171" w:type="dxa"/>
                  <w:vMerge w:val="continue"/>
                  <w:vAlign w:val="center"/>
                </w:tcPr>
                <w:p w14:paraId="4294D045">
                  <w:pPr>
                    <w:jc w:val="center"/>
                    <w:rPr>
                      <w:sz w:val="18"/>
                      <w:szCs w:val="18"/>
                    </w:rPr>
                  </w:pPr>
                </w:p>
              </w:tc>
              <w:tc>
                <w:tcPr>
                  <w:tcW w:w="1239" w:type="dxa"/>
                  <w:vAlign w:val="center"/>
                </w:tcPr>
                <w:p w14:paraId="2EB516CA">
                  <w:pPr>
                    <w:jc w:val="center"/>
                    <w:rPr>
                      <w:sz w:val="18"/>
                      <w:szCs w:val="18"/>
                    </w:rPr>
                  </w:pPr>
                  <w:r>
                    <w:rPr>
                      <w:sz w:val="18"/>
                      <w:szCs w:val="18"/>
                    </w:rPr>
                    <w:t>浓度mg/L</w:t>
                  </w:r>
                </w:p>
              </w:tc>
              <w:tc>
                <w:tcPr>
                  <w:tcW w:w="1837" w:type="dxa"/>
                  <w:vAlign w:val="center"/>
                </w:tcPr>
                <w:p w14:paraId="489019F0">
                  <w:pPr>
                    <w:jc w:val="center"/>
                    <w:rPr>
                      <w:sz w:val="18"/>
                      <w:szCs w:val="18"/>
                    </w:rPr>
                  </w:pPr>
                  <w:r>
                    <w:rPr>
                      <w:sz w:val="18"/>
                      <w:szCs w:val="18"/>
                    </w:rPr>
                    <w:t>名称</w:t>
                  </w:r>
                </w:p>
              </w:tc>
              <w:tc>
                <w:tcPr>
                  <w:tcW w:w="978" w:type="dxa"/>
                  <w:vMerge w:val="continue"/>
                  <w:vAlign w:val="center"/>
                </w:tcPr>
                <w:p w14:paraId="12397603">
                  <w:pPr>
                    <w:jc w:val="center"/>
                    <w:rPr>
                      <w:sz w:val="18"/>
                      <w:szCs w:val="18"/>
                    </w:rPr>
                  </w:pPr>
                </w:p>
              </w:tc>
              <w:tc>
                <w:tcPr>
                  <w:tcW w:w="989" w:type="dxa"/>
                  <w:vMerge w:val="continue"/>
                  <w:vAlign w:val="center"/>
                </w:tcPr>
                <w:p w14:paraId="4F547644">
                  <w:pPr>
                    <w:jc w:val="center"/>
                    <w:rPr>
                      <w:sz w:val="18"/>
                      <w:szCs w:val="18"/>
                    </w:rPr>
                  </w:pPr>
                </w:p>
              </w:tc>
            </w:tr>
            <w:tr w14:paraId="39AE6F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76" w:type="dxa"/>
                  <w:vMerge w:val="restart"/>
                  <w:vAlign w:val="center"/>
                </w:tcPr>
                <w:p w14:paraId="1E8C7CEF">
                  <w:pPr>
                    <w:jc w:val="center"/>
                    <w:rPr>
                      <w:sz w:val="18"/>
                      <w:szCs w:val="18"/>
                    </w:rPr>
                  </w:pPr>
                  <w:r>
                    <w:rPr>
                      <w:sz w:val="18"/>
                      <w:szCs w:val="18"/>
                    </w:rPr>
                    <w:t>DW001</w:t>
                  </w:r>
                </w:p>
              </w:tc>
              <w:tc>
                <w:tcPr>
                  <w:tcW w:w="1065" w:type="dxa"/>
                  <w:vMerge w:val="restart"/>
                  <w:vAlign w:val="center"/>
                </w:tcPr>
                <w:p w14:paraId="53C00EDD">
                  <w:pPr>
                    <w:jc w:val="center"/>
                    <w:rPr>
                      <w:sz w:val="18"/>
                      <w:szCs w:val="18"/>
                    </w:rPr>
                  </w:pPr>
                  <w:r>
                    <w:rPr>
                      <w:sz w:val="18"/>
                      <w:szCs w:val="18"/>
                    </w:rPr>
                    <w:t>污水排放口</w:t>
                  </w:r>
                </w:p>
              </w:tc>
              <w:tc>
                <w:tcPr>
                  <w:tcW w:w="1275" w:type="dxa"/>
                  <w:vAlign w:val="center"/>
                </w:tcPr>
                <w:p w14:paraId="4411B51F">
                  <w:pPr>
                    <w:jc w:val="center"/>
                    <w:rPr>
                      <w:sz w:val="18"/>
                      <w:szCs w:val="18"/>
                    </w:rPr>
                  </w:pPr>
                  <w:r>
                    <w:rPr>
                      <w:sz w:val="18"/>
                      <w:szCs w:val="18"/>
                    </w:rPr>
                    <w:t>COD</w:t>
                  </w:r>
                </w:p>
              </w:tc>
              <w:tc>
                <w:tcPr>
                  <w:tcW w:w="1200" w:type="dxa"/>
                  <w:vMerge w:val="restart"/>
                  <w:vAlign w:val="center"/>
                </w:tcPr>
                <w:p w14:paraId="0C56BC2A">
                  <w:pPr>
                    <w:jc w:val="center"/>
                    <w:rPr>
                      <w:sz w:val="18"/>
                      <w:szCs w:val="18"/>
                    </w:rPr>
                  </w:pPr>
                  <w:r>
                    <w:rPr>
                      <w:rFonts w:hint="eastAsia"/>
                      <w:sz w:val="18"/>
                      <w:szCs w:val="18"/>
                    </w:rPr>
                    <w:t>120.861072</w:t>
                  </w:r>
                </w:p>
              </w:tc>
              <w:tc>
                <w:tcPr>
                  <w:tcW w:w="1061" w:type="dxa"/>
                  <w:vMerge w:val="restart"/>
                  <w:vAlign w:val="center"/>
                </w:tcPr>
                <w:p w14:paraId="738D5E95">
                  <w:pPr>
                    <w:jc w:val="center"/>
                    <w:rPr>
                      <w:sz w:val="18"/>
                      <w:szCs w:val="18"/>
                    </w:rPr>
                  </w:pPr>
                  <w:r>
                    <w:rPr>
                      <w:rFonts w:hint="eastAsia"/>
                      <w:sz w:val="18"/>
                      <w:szCs w:val="18"/>
                    </w:rPr>
                    <w:t>32.178676</w:t>
                  </w:r>
                </w:p>
              </w:tc>
              <w:tc>
                <w:tcPr>
                  <w:tcW w:w="944" w:type="dxa"/>
                  <w:vMerge w:val="restart"/>
                  <w:vAlign w:val="center"/>
                </w:tcPr>
                <w:p w14:paraId="4A9C3DC2">
                  <w:pPr>
                    <w:jc w:val="center"/>
                    <w:rPr>
                      <w:sz w:val="18"/>
                      <w:szCs w:val="18"/>
                    </w:rPr>
                  </w:pPr>
                  <w:r>
                    <w:rPr>
                      <w:sz w:val="18"/>
                      <w:szCs w:val="18"/>
                    </w:rPr>
                    <w:t>一般排放口</w:t>
                  </w:r>
                </w:p>
              </w:tc>
              <w:tc>
                <w:tcPr>
                  <w:tcW w:w="1171" w:type="dxa"/>
                  <w:vMerge w:val="restart"/>
                  <w:vAlign w:val="center"/>
                </w:tcPr>
                <w:p w14:paraId="43207E52">
                  <w:pPr>
                    <w:jc w:val="center"/>
                    <w:rPr>
                      <w:sz w:val="18"/>
                      <w:szCs w:val="18"/>
                    </w:rPr>
                  </w:pPr>
                  <w:r>
                    <w:rPr>
                      <w:sz w:val="18"/>
                      <w:szCs w:val="18"/>
                    </w:rPr>
                    <w:t>间接排放，排放期间流量不稳定</w:t>
                  </w:r>
                </w:p>
              </w:tc>
              <w:tc>
                <w:tcPr>
                  <w:tcW w:w="1239" w:type="dxa"/>
                  <w:vAlign w:val="center"/>
                </w:tcPr>
                <w:p w14:paraId="4DBB2E80">
                  <w:pPr>
                    <w:jc w:val="center"/>
                    <w:rPr>
                      <w:rFonts w:hint="default" w:eastAsia="宋体"/>
                      <w:sz w:val="18"/>
                      <w:szCs w:val="18"/>
                      <w:lang w:val="en-US" w:eastAsia="zh-CN"/>
                    </w:rPr>
                  </w:pPr>
                  <w:r>
                    <w:rPr>
                      <w:sz w:val="18"/>
                      <w:szCs w:val="18"/>
                    </w:rPr>
                    <w:t>500</w:t>
                  </w:r>
                </w:p>
              </w:tc>
              <w:tc>
                <w:tcPr>
                  <w:tcW w:w="1837" w:type="dxa"/>
                  <w:vMerge w:val="restart"/>
                  <w:vAlign w:val="center"/>
                </w:tcPr>
                <w:p w14:paraId="6AD2A652">
                  <w:pPr>
                    <w:jc w:val="center"/>
                    <w:rPr>
                      <w:rFonts w:hint="eastAsia" w:eastAsia="宋体"/>
                      <w:sz w:val="18"/>
                      <w:szCs w:val="18"/>
                      <w:lang w:eastAsia="zh-CN"/>
                    </w:rPr>
                  </w:pPr>
                  <w:r>
                    <w:rPr>
                      <w:rFonts w:hint="eastAsia"/>
                      <w:sz w:val="18"/>
                      <w:szCs w:val="18"/>
                      <w:lang w:eastAsia="zh-CN"/>
                    </w:rPr>
                    <w:t>《污水综合排放标准》（GB8978-1996）；《污水排入城镇下水道水质标准》(GB/T31962-2015)</w:t>
                  </w:r>
                </w:p>
              </w:tc>
              <w:tc>
                <w:tcPr>
                  <w:tcW w:w="978" w:type="dxa"/>
                  <w:vMerge w:val="restart"/>
                  <w:vAlign w:val="center"/>
                </w:tcPr>
                <w:p w14:paraId="7C556639">
                  <w:pPr>
                    <w:jc w:val="center"/>
                    <w:rPr>
                      <w:sz w:val="18"/>
                      <w:szCs w:val="18"/>
                    </w:rPr>
                  </w:pPr>
                  <w:r>
                    <w:rPr>
                      <w:sz w:val="18"/>
                      <w:szCs w:val="18"/>
                    </w:rPr>
                    <w:t>间接排放</w:t>
                  </w:r>
                </w:p>
              </w:tc>
              <w:tc>
                <w:tcPr>
                  <w:tcW w:w="989" w:type="dxa"/>
                  <w:vMerge w:val="restart"/>
                  <w:vAlign w:val="center"/>
                </w:tcPr>
                <w:p w14:paraId="061938AA">
                  <w:pPr>
                    <w:jc w:val="center"/>
                    <w:rPr>
                      <w:sz w:val="18"/>
                      <w:szCs w:val="18"/>
                    </w:rPr>
                  </w:pPr>
                  <w:r>
                    <w:rPr>
                      <w:rFonts w:hint="eastAsia"/>
                      <w:kern w:val="0"/>
                      <w:sz w:val="18"/>
                      <w:szCs w:val="18"/>
                      <w:lang w:bidi="ar"/>
                    </w:rPr>
                    <w:t>南通市东港排水有限公司</w:t>
                  </w:r>
                </w:p>
              </w:tc>
            </w:tr>
            <w:tr w14:paraId="6F8607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76" w:type="dxa"/>
                  <w:vMerge w:val="continue"/>
                  <w:vAlign w:val="center"/>
                </w:tcPr>
                <w:p w14:paraId="1CE95ECC">
                  <w:pPr>
                    <w:jc w:val="center"/>
                    <w:rPr>
                      <w:sz w:val="18"/>
                      <w:szCs w:val="18"/>
                    </w:rPr>
                  </w:pPr>
                </w:p>
              </w:tc>
              <w:tc>
                <w:tcPr>
                  <w:tcW w:w="1065" w:type="dxa"/>
                  <w:vMerge w:val="continue"/>
                  <w:vAlign w:val="center"/>
                </w:tcPr>
                <w:p w14:paraId="7C27F79A">
                  <w:pPr>
                    <w:jc w:val="center"/>
                    <w:rPr>
                      <w:sz w:val="18"/>
                      <w:szCs w:val="18"/>
                    </w:rPr>
                  </w:pPr>
                </w:p>
              </w:tc>
              <w:tc>
                <w:tcPr>
                  <w:tcW w:w="1275" w:type="dxa"/>
                  <w:vAlign w:val="center"/>
                </w:tcPr>
                <w:p w14:paraId="619B34A7">
                  <w:pPr>
                    <w:jc w:val="center"/>
                    <w:rPr>
                      <w:sz w:val="18"/>
                      <w:szCs w:val="18"/>
                    </w:rPr>
                  </w:pPr>
                  <w:r>
                    <w:rPr>
                      <w:sz w:val="18"/>
                      <w:szCs w:val="18"/>
                    </w:rPr>
                    <w:t>SS</w:t>
                  </w:r>
                </w:p>
              </w:tc>
              <w:tc>
                <w:tcPr>
                  <w:tcW w:w="1200" w:type="dxa"/>
                  <w:vMerge w:val="continue"/>
                  <w:vAlign w:val="center"/>
                </w:tcPr>
                <w:p w14:paraId="69D21041">
                  <w:pPr>
                    <w:jc w:val="center"/>
                    <w:rPr>
                      <w:sz w:val="18"/>
                      <w:szCs w:val="18"/>
                    </w:rPr>
                  </w:pPr>
                </w:p>
              </w:tc>
              <w:tc>
                <w:tcPr>
                  <w:tcW w:w="1061" w:type="dxa"/>
                  <w:vMerge w:val="continue"/>
                  <w:vAlign w:val="center"/>
                </w:tcPr>
                <w:p w14:paraId="1FA74D6B">
                  <w:pPr>
                    <w:jc w:val="center"/>
                    <w:rPr>
                      <w:sz w:val="18"/>
                      <w:szCs w:val="18"/>
                    </w:rPr>
                  </w:pPr>
                </w:p>
              </w:tc>
              <w:tc>
                <w:tcPr>
                  <w:tcW w:w="944" w:type="dxa"/>
                  <w:vMerge w:val="continue"/>
                  <w:vAlign w:val="center"/>
                </w:tcPr>
                <w:p w14:paraId="514A3E19">
                  <w:pPr>
                    <w:jc w:val="center"/>
                    <w:rPr>
                      <w:sz w:val="18"/>
                      <w:szCs w:val="18"/>
                    </w:rPr>
                  </w:pPr>
                </w:p>
              </w:tc>
              <w:tc>
                <w:tcPr>
                  <w:tcW w:w="1171" w:type="dxa"/>
                  <w:vMerge w:val="continue"/>
                  <w:vAlign w:val="center"/>
                </w:tcPr>
                <w:p w14:paraId="7ACF1BD8">
                  <w:pPr>
                    <w:jc w:val="center"/>
                    <w:rPr>
                      <w:sz w:val="18"/>
                      <w:szCs w:val="18"/>
                    </w:rPr>
                  </w:pPr>
                </w:p>
              </w:tc>
              <w:tc>
                <w:tcPr>
                  <w:tcW w:w="1239" w:type="dxa"/>
                  <w:vAlign w:val="center"/>
                </w:tcPr>
                <w:p w14:paraId="3D910964">
                  <w:pPr>
                    <w:jc w:val="center"/>
                    <w:rPr>
                      <w:rFonts w:hint="default" w:eastAsia="宋体"/>
                      <w:sz w:val="18"/>
                      <w:szCs w:val="18"/>
                      <w:lang w:val="en-US" w:eastAsia="zh-CN"/>
                    </w:rPr>
                  </w:pPr>
                  <w:r>
                    <w:rPr>
                      <w:sz w:val="18"/>
                      <w:szCs w:val="18"/>
                    </w:rPr>
                    <w:t>400</w:t>
                  </w:r>
                </w:p>
              </w:tc>
              <w:tc>
                <w:tcPr>
                  <w:tcW w:w="1837" w:type="dxa"/>
                  <w:vMerge w:val="continue"/>
                  <w:vAlign w:val="center"/>
                </w:tcPr>
                <w:p w14:paraId="72E873DB">
                  <w:pPr>
                    <w:jc w:val="center"/>
                    <w:rPr>
                      <w:sz w:val="18"/>
                      <w:szCs w:val="18"/>
                    </w:rPr>
                  </w:pPr>
                </w:p>
              </w:tc>
              <w:tc>
                <w:tcPr>
                  <w:tcW w:w="978" w:type="dxa"/>
                  <w:vMerge w:val="continue"/>
                  <w:vAlign w:val="center"/>
                </w:tcPr>
                <w:p w14:paraId="24CC6D27">
                  <w:pPr>
                    <w:jc w:val="center"/>
                    <w:rPr>
                      <w:sz w:val="18"/>
                      <w:szCs w:val="18"/>
                    </w:rPr>
                  </w:pPr>
                </w:p>
              </w:tc>
              <w:tc>
                <w:tcPr>
                  <w:tcW w:w="989" w:type="dxa"/>
                  <w:vMerge w:val="continue"/>
                  <w:vAlign w:val="center"/>
                </w:tcPr>
                <w:p w14:paraId="69AB6FBC">
                  <w:pPr>
                    <w:jc w:val="center"/>
                    <w:rPr>
                      <w:sz w:val="18"/>
                      <w:szCs w:val="18"/>
                    </w:rPr>
                  </w:pPr>
                </w:p>
              </w:tc>
            </w:tr>
            <w:tr w14:paraId="51FE92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176" w:type="dxa"/>
                  <w:vMerge w:val="continue"/>
                  <w:vAlign w:val="center"/>
                </w:tcPr>
                <w:p w14:paraId="0B34010A">
                  <w:pPr>
                    <w:jc w:val="center"/>
                    <w:rPr>
                      <w:sz w:val="18"/>
                      <w:szCs w:val="18"/>
                    </w:rPr>
                  </w:pPr>
                </w:p>
              </w:tc>
              <w:tc>
                <w:tcPr>
                  <w:tcW w:w="1065" w:type="dxa"/>
                  <w:vMerge w:val="continue"/>
                  <w:vAlign w:val="center"/>
                </w:tcPr>
                <w:p w14:paraId="22FBDEB3">
                  <w:pPr>
                    <w:jc w:val="center"/>
                    <w:rPr>
                      <w:sz w:val="18"/>
                      <w:szCs w:val="18"/>
                    </w:rPr>
                  </w:pPr>
                </w:p>
              </w:tc>
              <w:tc>
                <w:tcPr>
                  <w:tcW w:w="1275" w:type="dxa"/>
                  <w:vAlign w:val="center"/>
                </w:tcPr>
                <w:p w14:paraId="26219319">
                  <w:pPr>
                    <w:jc w:val="center"/>
                    <w:rPr>
                      <w:sz w:val="18"/>
                      <w:szCs w:val="18"/>
                    </w:rPr>
                  </w:pPr>
                  <w:r>
                    <w:rPr>
                      <w:sz w:val="18"/>
                      <w:szCs w:val="18"/>
                    </w:rPr>
                    <w:t>NH</w:t>
                  </w:r>
                  <w:r>
                    <w:rPr>
                      <w:sz w:val="18"/>
                      <w:szCs w:val="18"/>
                      <w:vertAlign w:val="subscript"/>
                    </w:rPr>
                    <w:t>3</w:t>
                  </w:r>
                  <w:r>
                    <w:rPr>
                      <w:sz w:val="18"/>
                      <w:szCs w:val="18"/>
                    </w:rPr>
                    <w:t>-N</w:t>
                  </w:r>
                </w:p>
              </w:tc>
              <w:tc>
                <w:tcPr>
                  <w:tcW w:w="1200" w:type="dxa"/>
                  <w:vMerge w:val="continue"/>
                  <w:vAlign w:val="center"/>
                </w:tcPr>
                <w:p w14:paraId="6749C3F8">
                  <w:pPr>
                    <w:jc w:val="center"/>
                    <w:rPr>
                      <w:sz w:val="18"/>
                      <w:szCs w:val="18"/>
                    </w:rPr>
                  </w:pPr>
                </w:p>
              </w:tc>
              <w:tc>
                <w:tcPr>
                  <w:tcW w:w="1061" w:type="dxa"/>
                  <w:vMerge w:val="continue"/>
                  <w:vAlign w:val="center"/>
                </w:tcPr>
                <w:p w14:paraId="11433C39">
                  <w:pPr>
                    <w:jc w:val="center"/>
                    <w:rPr>
                      <w:sz w:val="18"/>
                      <w:szCs w:val="18"/>
                    </w:rPr>
                  </w:pPr>
                </w:p>
              </w:tc>
              <w:tc>
                <w:tcPr>
                  <w:tcW w:w="944" w:type="dxa"/>
                  <w:vMerge w:val="continue"/>
                  <w:vAlign w:val="center"/>
                </w:tcPr>
                <w:p w14:paraId="796F9072">
                  <w:pPr>
                    <w:jc w:val="center"/>
                    <w:rPr>
                      <w:sz w:val="18"/>
                      <w:szCs w:val="18"/>
                    </w:rPr>
                  </w:pPr>
                </w:p>
              </w:tc>
              <w:tc>
                <w:tcPr>
                  <w:tcW w:w="1171" w:type="dxa"/>
                  <w:vMerge w:val="continue"/>
                  <w:vAlign w:val="center"/>
                </w:tcPr>
                <w:p w14:paraId="08F4E223">
                  <w:pPr>
                    <w:jc w:val="center"/>
                    <w:rPr>
                      <w:sz w:val="18"/>
                      <w:szCs w:val="18"/>
                    </w:rPr>
                  </w:pPr>
                </w:p>
              </w:tc>
              <w:tc>
                <w:tcPr>
                  <w:tcW w:w="1239" w:type="dxa"/>
                  <w:vAlign w:val="center"/>
                </w:tcPr>
                <w:p w14:paraId="7AB5140A">
                  <w:pPr>
                    <w:jc w:val="center"/>
                    <w:rPr>
                      <w:rFonts w:hint="default" w:eastAsia="宋体"/>
                      <w:sz w:val="18"/>
                      <w:szCs w:val="18"/>
                      <w:lang w:val="en-US" w:eastAsia="zh-CN"/>
                    </w:rPr>
                  </w:pPr>
                  <w:r>
                    <w:rPr>
                      <w:sz w:val="18"/>
                      <w:szCs w:val="18"/>
                    </w:rPr>
                    <w:t>45</w:t>
                  </w:r>
                </w:p>
              </w:tc>
              <w:tc>
                <w:tcPr>
                  <w:tcW w:w="1837" w:type="dxa"/>
                  <w:vMerge w:val="continue"/>
                  <w:vAlign w:val="center"/>
                </w:tcPr>
                <w:p w14:paraId="14C62427">
                  <w:pPr>
                    <w:jc w:val="center"/>
                    <w:rPr>
                      <w:sz w:val="18"/>
                      <w:szCs w:val="18"/>
                    </w:rPr>
                  </w:pPr>
                </w:p>
              </w:tc>
              <w:tc>
                <w:tcPr>
                  <w:tcW w:w="978" w:type="dxa"/>
                  <w:vMerge w:val="continue"/>
                  <w:vAlign w:val="center"/>
                </w:tcPr>
                <w:p w14:paraId="6DA69167">
                  <w:pPr>
                    <w:jc w:val="center"/>
                    <w:rPr>
                      <w:sz w:val="18"/>
                      <w:szCs w:val="18"/>
                    </w:rPr>
                  </w:pPr>
                </w:p>
              </w:tc>
              <w:tc>
                <w:tcPr>
                  <w:tcW w:w="989" w:type="dxa"/>
                  <w:vMerge w:val="continue"/>
                  <w:vAlign w:val="center"/>
                </w:tcPr>
                <w:p w14:paraId="33C9A937">
                  <w:pPr>
                    <w:jc w:val="center"/>
                    <w:rPr>
                      <w:sz w:val="18"/>
                      <w:szCs w:val="18"/>
                    </w:rPr>
                  </w:pPr>
                </w:p>
              </w:tc>
            </w:tr>
            <w:tr w14:paraId="2791AD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176" w:type="dxa"/>
                  <w:vMerge w:val="continue"/>
                  <w:vAlign w:val="center"/>
                </w:tcPr>
                <w:p w14:paraId="507E2031">
                  <w:pPr>
                    <w:jc w:val="center"/>
                    <w:rPr>
                      <w:sz w:val="18"/>
                      <w:szCs w:val="18"/>
                    </w:rPr>
                  </w:pPr>
                </w:p>
              </w:tc>
              <w:tc>
                <w:tcPr>
                  <w:tcW w:w="1065" w:type="dxa"/>
                  <w:vMerge w:val="continue"/>
                  <w:vAlign w:val="center"/>
                </w:tcPr>
                <w:p w14:paraId="2C390BCC">
                  <w:pPr>
                    <w:jc w:val="center"/>
                    <w:rPr>
                      <w:sz w:val="18"/>
                      <w:szCs w:val="18"/>
                    </w:rPr>
                  </w:pPr>
                </w:p>
              </w:tc>
              <w:tc>
                <w:tcPr>
                  <w:tcW w:w="1275" w:type="dxa"/>
                  <w:vAlign w:val="center"/>
                </w:tcPr>
                <w:p w14:paraId="2C9848A0">
                  <w:pPr>
                    <w:jc w:val="center"/>
                    <w:rPr>
                      <w:sz w:val="18"/>
                      <w:szCs w:val="18"/>
                    </w:rPr>
                  </w:pPr>
                  <w:r>
                    <w:rPr>
                      <w:sz w:val="18"/>
                      <w:szCs w:val="18"/>
                    </w:rPr>
                    <w:t>TP</w:t>
                  </w:r>
                </w:p>
              </w:tc>
              <w:tc>
                <w:tcPr>
                  <w:tcW w:w="1200" w:type="dxa"/>
                  <w:vMerge w:val="continue"/>
                  <w:vAlign w:val="center"/>
                </w:tcPr>
                <w:p w14:paraId="14681B41">
                  <w:pPr>
                    <w:jc w:val="center"/>
                    <w:rPr>
                      <w:sz w:val="18"/>
                      <w:szCs w:val="18"/>
                    </w:rPr>
                  </w:pPr>
                </w:p>
              </w:tc>
              <w:tc>
                <w:tcPr>
                  <w:tcW w:w="1061" w:type="dxa"/>
                  <w:vMerge w:val="continue"/>
                  <w:vAlign w:val="center"/>
                </w:tcPr>
                <w:p w14:paraId="02208F68">
                  <w:pPr>
                    <w:jc w:val="center"/>
                    <w:rPr>
                      <w:sz w:val="18"/>
                      <w:szCs w:val="18"/>
                    </w:rPr>
                  </w:pPr>
                </w:p>
              </w:tc>
              <w:tc>
                <w:tcPr>
                  <w:tcW w:w="944" w:type="dxa"/>
                  <w:vMerge w:val="continue"/>
                  <w:vAlign w:val="center"/>
                </w:tcPr>
                <w:p w14:paraId="1584187A">
                  <w:pPr>
                    <w:jc w:val="center"/>
                    <w:rPr>
                      <w:sz w:val="18"/>
                      <w:szCs w:val="18"/>
                    </w:rPr>
                  </w:pPr>
                </w:p>
              </w:tc>
              <w:tc>
                <w:tcPr>
                  <w:tcW w:w="1171" w:type="dxa"/>
                  <w:vMerge w:val="continue"/>
                  <w:vAlign w:val="center"/>
                </w:tcPr>
                <w:p w14:paraId="2D2665DF">
                  <w:pPr>
                    <w:jc w:val="center"/>
                    <w:rPr>
                      <w:sz w:val="18"/>
                      <w:szCs w:val="18"/>
                    </w:rPr>
                  </w:pPr>
                </w:p>
              </w:tc>
              <w:tc>
                <w:tcPr>
                  <w:tcW w:w="1239" w:type="dxa"/>
                  <w:vAlign w:val="center"/>
                </w:tcPr>
                <w:p w14:paraId="382ECDE1">
                  <w:pPr>
                    <w:jc w:val="center"/>
                    <w:rPr>
                      <w:rFonts w:hint="eastAsia" w:eastAsia="宋体"/>
                      <w:sz w:val="18"/>
                      <w:szCs w:val="18"/>
                      <w:lang w:eastAsia="zh-CN"/>
                    </w:rPr>
                  </w:pPr>
                  <w:r>
                    <w:rPr>
                      <w:sz w:val="18"/>
                      <w:szCs w:val="18"/>
                    </w:rPr>
                    <w:t>8</w:t>
                  </w:r>
                </w:p>
              </w:tc>
              <w:tc>
                <w:tcPr>
                  <w:tcW w:w="1837" w:type="dxa"/>
                  <w:vMerge w:val="continue"/>
                  <w:vAlign w:val="center"/>
                </w:tcPr>
                <w:p w14:paraId="4F840CEA">
                  <w:pPr>
                    <w:jc w:val="center"/>
                    <w:rPr>
                      <w:sz w:val="18"/>
                      <w:szCs w:val="18"/>
                    </w:rPr>
                  </w:pPr>
                </w:p>
              </w:tc>
              <w:tc>
                <w:tcPr>
                  <w:tcW w:w="978" w:type="dxa"/>
                  <w:vMerge w:val="continue"/>
                  <w:vAlign w:val="center"/>
                </w:tcPr>
                <w:p w14:paraId="52299D1F">
                  <w:pPr>
                    <w:jc w:val="center"/>
                    <w:rPr>
                      <w:sz w:val="18"/>
                      <w:szCs w:val="18"/>
                    </w:rPr>
                  </w:pPr>
                </w:p>
              </w:tc>
              <w:tc>
                <w:tcPr>
                  <w:tcW w:w="989" w:type="dxa"/>
                  <w:vMerge w:val="continue"/>
                  <w:vAlign w:val="center"/>
                </w:tcPr>
                <w:p w14:paraId="4B1A2D0B">
                  <w:pPr>
                    <w:jc w:val="center"/>
                    <w:rPr>
                      <w:sz w:val="18"/>
                      <w:szCs w:val="18"/>
                    </w:rPr>
                  </w:pPr>
                </w:p>
              </w:tc>
            </w:tr>
            <w:tr w14:paraId="74FB11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176" w:type="dxa"/>
                  <w:vMerge w:val="continue"/>
                  <w:vAlign w:val="center"/>
                </w:tcPr>
                <w:p w14:paraId="204626D5">
                  <w:pPr>
                    <w:jc w:val="center"/>
                    <w:rPr>
                      <w:sz w:val="18"/>
                      <w:szCs w:val="18"/>
                    </w:rPr>
                  </w:pPr>
                </w:p>
              </w:tc>
              <w:tc>
                <w:tcPr>
                  <w:tcW w:w="1065" w:type="dxa"/>
                  <w:vMerge w:val="continue"/>
                  <w:vAlign w:val="center"/>
                </w:tcPr>
                <w:p w14:paraId="322897E8">
                  <w:pPr>
                    <w:jc w:val="center"/>
                    <w:rPr>
                      <w:sz w:val="18"/>
                      <w:szCs w:val="18"/>
                    </w:rPr>
                  </w:pPr>
                </w:p>
              </w:tc>
              <w:tc>
                <w:tcPr>
                  <w:tcW w:w="1275" w:type="dxa"/>
                  <w:vAlign w:val="center"/>
                </w:tcPr>
                <w:p w14:paraId="70F30943">
                  <w:pPr>
                    <w:jc w:val="center"/>
                    <w:rPr>
                      <w:sz w:val="18"/>
                      <w:szCs w:val="18"/>
                    </w:rPr>
                  </w:pPr>
                  <w:r>
                    <w:rPr>
                      <w:sz w:val="18"/>
                      <w:szCs w:val="18"/>
                    </w:rPr>
                    <w:t>TN</w:t>
                  </w:r>
                </w:p>
              </w:tc>
              <w:tc>
                <w:tcPr>
                  <w:tcW w:w="1200" w:type="dxa"/>
                  <w:vMerge w:val="continue"/>
                  <w:vAlign w:val="center"/>
                </w:tcPr>
                <w:p w14:paraId="332F2409">
                  <w:pPr>
                    <w:jc w:val="center"/>
                    <w:rPr>
                      <w:sz w:val="18"/>
                      <w:szCs w:val="18"/>
                    </w:rPr>
                  </w:pPr>
                </w:p>
              </w:tc>
              <w:tc>
                <w:tcPr>
                  <w:tcW w:w="1061" w:type="dxa"/>
                  <w:vMerge w:val="continue"/>
                  <w:vAlign w:val="center"/>
                </w:tcPr>
                <w:p w14:paraId="5AE1E6FD">
                  <w:pPr>
                    <w:jc w:val="center"/>
                    <w:rPr>
                      <w:sz w:val="18"/>
                      <w:szCs w:val="18"/>
                    </w:rPr>
                  </w:pPr>
                </w:p>
              </w:tc>
              <w:tc>
                <w:tcPr>
                  <w:tcW w:w="944" w:type="dxa"/>
                  <w:vMerge w:val="continue"/>
                  <w:vAlign w:val="center"/>
                </w:tcPr>
                <w:p w14:paraId="123D5199">
                  <w:pPr>
                    <w:jc w:val="center"/>
                    <w:rPr>
                      <w:sz w:val="18"/>
                      <w:szCs w:val="18"/>
                    </w:rPr>
                  </w:pPr>
                </w:p>
              </w:tc>
              <w:tc>
                <w:tcPr>
                  <w:tcW w:w="1171" w:type="dxa"/>
                  <w:vMerge w:val="continue"/>
                  <w:vAlign w:val="center"/>
                </w:tcPr>
                <w:p w14:paraId="654ABA9F">
                  <w:pPr>
                    <w:jc w:val="center"/>
                    <w:rPr>
                      <w:sz w:val="18"/>
                      <w:szCs w:val="18"/>
                    </w:rPr>
                  </w:pPr>
                </w:p>
              </w:tc>
              <w:tc>
                <w:tcPr>
                  <w:tcW w:w="1239" w:type="dxa"/>
                  <w:vAlign w:val="center"/>
                </w:tcPr>
                <w:p w14:paraId="21154D73">
                  <w:pPr>
                    <w:jc w:val="center"/>
                    <w:rPr>
                      <w:rFonts w:hint="default" w:eastAsia="宋体"/>
                      <w:sz w:val="18"/>
                      <w:szCs w:val="18"/>
                      <w:lang w:val="en-US" w:eastAsia="zh-CN"/>
                    </w:rPr>
                  </w:pPr>
                  <w:r>
                    <w:rPr>
                      <w:sz w:val="18"/>
                      <w:szCs w:val="18"/>
                    </w:rPr>
                    <w:t>70</w:t>
                  </w:r>
                </w:p>
              </w:tc>
              <w:tc>
                <w:tcPr>
                  <w:tcW w:w="1837" w:type="dxa"/>
                  <w:vMerge w:val="continue"/>
                  <w:vAlign w:val="center"/>
                </w:tcPr>
                <w:p w14:paraId="15AED85A">
                  <w:pPr>
                    <w:jc w:val="center"/>
                    <w:rPr>
                      <w:sz w:val="18"/>
                      <w:szCs w:val="18"/>
                    </w:rPr>
                  </w:pPr>
                </w:p>
              </w:tc>
              <w:tc>
                <w:tcPr>
                  <w:tcW w:w="978" w:type="dxa"/>
                  <w:vMerge w:val="continue"/>
                  <w:vAlign w:val="center"/>
                </w:tcPr>
                <w:p w14:paraId="66AFD59B">
                  <w:pPr>
                    <w:jc w:val="center"/>
                    <w:rPr>
                      <w:sz w:val="18"/>
                      <w:szCs w:val="18"/>
                    </w:rPr>
                  </w:pPr>
                </w:p>
              </w:tc>
              <w:tc>
                <w:tcPr>
                  <w:tcW w:w="989" w:type="dxa"/>
                  <w:vMerge w:val="continue"/>
                  <w:vAlign w:val="center"/>
                </w:tcPr>
                <w:p w14:paraId="2767B727">
                  <w:pPr>
                    <w:jc w:val="center"/>
                    <w:rPr>
                      <w:sz w:val="18"/>
                      <w:szCs w:val="18"/>
                    </w:rPr>
                  </w:pPr>
                </w:p>
              </w:tc>
            </w:tr>
          </w:tbl>
          <w:p w14:paraId="6060DC21">
            <w:pPr>
              <w:adjustRightInd w:val="0"/>
              <w:snapToGrid w:val="0"/>
              <w:spacing w:line="360" w:lineRule="exact"/>
              <w:rPr>
                <w:rFonts w:ascii="宋体" w:hAnsi="宋体" w:cs="宋体"/>
                <w:bCs/>
                <w:szCs w:val="21"/>
              </w:rPr>
            </w:pPr>
          </w:p>
        </w:tc>
      </w:tr>
    </w:tbl>
    <w:p w14:paraId="04C2F38B">
      <w:pPr>
        <w:sectPr>
          <w:pgSz w:w="16838" w:h="11906" w:orient="landscape"/>
          <w:pgMar w:top="1588" w:right="1531" w:bottom="1588" w:left="1531" w:header="851" w:footer="794"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65406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10" w:hRule="atLeast"/>
          <w:jc w:val="center"/>
        </w:trPr>
        <w:tc>
          <w:tcPr>
            <w:tcW w:w="746" w:type="dxa"/>
            <w:tcMar>
              <w:left w:w="28" w:type="dxa"/>
              <w:right w:w="28" w:type="dxa"/>
            </w:tcMar>
            <w:vAlign w:val="center"/>
          </w:tcPr>
          <w:p w14:paraId="32C511F3">
            <w:pPr>
              <w:adjustRightInd w:val="0"/>
              <w:snapToGrid w:val="0"/>
              <w:jc w:val="center"/>
              <w:rPr>
                <w:rFonts w:ascii="宋体" w:hAnsi="宋体" w:cs="宋体"/>
                <w:bCs/>
                <w:szCs w:val="21"/>
              </w:rPr>
            </w:pPr>
            <w:r>
              <w:rPr>
                <w:rFonts w:hint="eastAsia" w:ascii="宋体" w:hAnsi="宋体" w:cs="宋体"/>
                <w:bCs/>
                <w:szCs w:val="21"/>
                <w:lang w:val="en-US" w:eastAsia="zh-CN"/>
              </w:rPr>
              <w:t>*</w:t>
            </w:r>
            <w:r>
              <w:rPr>
                <w:rFonts w:hint="eastAsia" w:ascii="宋体" w:hAnsi="宋体" w:cs="宋体"/>
                <w:bCs/>
                <w:szCs w:val="21"/>
              </w:rPr>
              <w:t>运营</w:t>
            </w:r>
          </w:p>
          <w:p w14:paraId="7986EB61">
            <w:pPr>
              <w:adjustRightInd w:val="0"/>
              <w:snapToGrid w:val="0"/>
              <w:jc w:val="center"/>
              <w:rPr>
                <w:rFonts w:ascii="宋体" w:hAnsi="宋体" w:cs="宋体"/>
                <w:bCs/>
                <w:szCs w:val="21"/>
              </w:rPr>
            </w:pPr>
            <w:r>
              <w:rPr>
                <w:rFonts w:hint="eastAsia" w:ascii="宋体" w:hAnsi="宋体" w:cs="宋体"/>
                <w:bCs/>
                <w:szCs w:val="21"/>
              </w:rPr>
              <w:t>期环</w:t>
            </w:r>
          </w:p>
          <w:p w14:paraId="26A4FDDC">
            <w:pPr>
              <w:adjustRightInd w:val="0"/>
              <w:snapToGrid w:val="0"/>
              <w:jc w:val="center"/>
              <w:rPr>
                <w:rFonts w:ascii="宋体" w:hAnsi="宋体" w:cs="宋体"/>
                <w:bCs/>
                <w:szCs w:val="21"/>
              </w:rPr>
            </w:pPr>
            <w:r>
              <w:rPr>
                <w:rFonts w:hint="eastAsia" w:ascii="宋体" w:hAnsi="宋体" w:cs="宋体"/>
                <w:bCs/>
                <w:szCs w:val="21"/>
              </w:rPr>
              <w:t>境影</w:t>
            </w:r>
          </w:p>
          <w:p w14:paraId="60D7FFDC">
            <w:pPr>
              <w:adjustRightInd w:val="0"/>
              <w:snapToGrid w:val="0"/>
              <w:jc w:val="center"/>
              <w:rPr>
                <w:rFonts w:ascii="宋体" w:hAnsi="宋体" w:cs="宋体"/>
                <w:bCs/>
                <w:szCs w:val="21"/>
              </w:rPr>
            </w:pPr>
            <w:r>
              <w:rPr>
                <w:rFonts w:hint="eastAsia" w:ascii="宋体" w:hAnsi="宋体" w:cs="宋体"/>
                <w:bCs/>
                <w:szCs w:val="21"/>
              </w:rPr>
              <w:t>响和</w:t>
            </w:r>
          </w:p>
          <w:p w14:paraId="487D4B03">
            <w:pPr>
              <w:adjustRightInd w:val="0"/>
              <w:snapToGrid w:val="0"/>
              <w:jc w:val="center"/>
              <w:rPr>
                <w:rFonts w:ascii="宋体" w:hAnsi="宋体" w:cs="宋体"/>
                <w:bCs/>
                <w:szCs w:val="21"/>
              </w:rPr>
            </w:pPr>
            <w:r>
              <w:rPr>
                <w:rFonts w:hint="eastAsia" w:ascii="宋体" w:hAnsi="宋体" w:cs="宋体"/>
                <w:bCs/>
                <w:szCs w:val="21"/>
              </w:rPr>
              <w:t>保护</w:t>
            </w:r>
          </w:p>
          <w:p w14:paraId="2115E131">
            <w:pPr>
              <w:adjustRightInd w:val="0"/>
              <w:snapToGrid w:val="0"/>
              <w:jc w:val="center"/>
              <w:rPr>
                <w:rFonts w:ascii="宋体" w:hAnsi="宋体" w:cs="宋体"/>
                <w:bCs/>
                <w:szCs w:val="21"/>
              </w:rPr>
            </w:pPr>
            <w:r>
              <w:rPr>
                <w:rFonts w:hint="eastAsia" w:ascii="宋体" w:hAnsi="宋体" w:cs="宋体"/>
                <w:bCs/>
                <w:szCs w:val="21"/>
              </w:rPr>
              <w:t>措施</w:t>
            </w:r>
          </w:p>
        </w:tc>
        <w:tc>
          <w:tcPr>
            <w:tcW w:w="8162" w:type="dxa"/>
            <w:vAlign w:val="center"/>
          </w:tcPr>
          <w:p w14:paraId="34C20CD3">
            <w:pPr>
              <w:spacing w:line="500" w:lineRule="exact"/>
              <w:ind w:firstLine="420" w:firstLineChars="200"/>
            </w:pPr>
            <w:r>
              <w:t>（3）水污染源监测计划</w:t>
            </w:r>
          </w:p>
          <w:p w14:paraId="47652A09">
            <w:pPr>
              <w:adjustRightInd w:val="0"/>
              <w:snapToGrid w:val="0"/>
              <w:spacing w:line="500" w:lineRule="exact"/>
              <w:ind w:firstLine="420" w:firstLineChars="200"/>
              <w:rPr>
                <w:bCs/>
                <w:szCs w:val="21"/>
              </w:rPr>
            </w:pPr>
            <w:r>
              <w:rPr>
                <w:bCs/>
                <w:szCs w:val="21"/>
              </w:rPr>
              <w:t>根据</w:t>
            </w:r>
            <w:bookmarkStart w:id="8" w:name="OLE_LINK90"/>
            <w:r>
              <w:rPr>
                <w:bCs/>
                <w:szCs w:val="21"/>
              </w:rPr>
              <w:t>《排污许可证申请与核发技术规范 橡胶和塑料制品工业》（HJ1122-2020）</w:t>
            </w:r>
            <w:bookmarkEnd w:id="8"/>
            <w:r>
              <w:rPr>
                <w:bCs/>
                <w:szCs w:val="21"/>
              </w:rPr>
              <w:t>、《排污单位自行监测技术指南 橡胶和塑料制品工业》（HJ1207-2021）的要求制定以下监测计划，具体见表4-1</w:t>
            </w:r>
            <w:r>
              <w:rPr>
                <w:rFonts w:hint="eastAsia"/>
                <w:bCs/>
                <w:szCs w:val="21"/>
                <w:lang w:val="en-US" w:eastAsia="zh-CN"/>
              </w:rPr>
              <w:t>5</w:t>
            </w:r>
            <w:r>
              <w:rPr>
                <w:bCs/>
                <w:szCs w:val="21"/>
              </w:rPr>
              <w:t>。</w:t>
            </w:r>
          </w:p>
          <w:p w14:paraId="249BD5A8">
            <w:pPr>
              <w:autoSpaceDE w:val="0"/>
              <w:autoSpaceDN w:val="0"/>
              <w:adjustRightInd w:val="0"/>
              <w:spacing w:line="500" w:lineRule="exact"/>
              <w:jc w:val="center"/>
              <w:rPr>
                <w:b/>
                <w:bCs/>
                <w:szCs w:val="21"/>
              </w:rPr>
            </w:pPr>
            <w:r>
              <w:rPr>
                <w:b/>
                <w:bCs/>
                <w:szCs w:val="21"/>
              </w:rPr>
              <w:t>表4-1</w:t>
            </w:r>
            <w:r>
              <w:rPr>
                <w:rFonts w:hint="eastAsia"/>
                <w:b/>
                <w:bCs/>
                <w:szCs w:val="21"/>
                <w:lang w:val="en-US" w:eastAsia="zh-CN"/>
              </w:rPr>
              <w:t xml:space="preserve">5 </w:t>
            </w:r>
            <w:r>
              <w:rPr>
                <w:b/>
                <w:bCs/>
                <w:szCs w:val="21"/>
              </w:rPr>
              <w:t>废水污染物监测要求</w:t>
            </w:r>
          </w:p>
          <w:tbl>
            <w:tblPr>
              <w:tblStyle w:val="16"/>
              <w:tblW w:w="76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098"/>
              <w:gridCol w:w="2098"/>
              <w:gridCol w:w="2098"/>
            </w:tblGrid>
            <w:tr w14:paraId="4EB44E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03" w:type="dxa"/>
                  <w:vAlign w:val="center"/>
                </w:tcPr>
                <w:p w14:paraId="270B373A">
                  <w:pPr>
                    <w:jc w:val="center"/>
                    <w:rPr>
                      <w:sz w:val="18"/>
                      <w:szCs w:val="18"/>
                    </w:rPr>
                  </w:pPr>
                  <w:r>
                    <w:rPr>
                      <w:sz w:val="18"/>
                      <w:szCs w:val="18"/>
                    </w:rPr>
                    <w:t>监测点位</w:t>
                  </w:r>
                </w:p>
              </w:tc>
              <w:tc>
                <w:tcPr>
                  <w:tcW w:w="2098" w:type="dxa"/>
                  <w:vAlign w:val="center"/>
                </w:tcPr>
                <w:p w14:paraId="53A9446C">
                  <w:pPr>
                    <w:jc w:val="center"/>
                    <w:rPr>
                      <w:sz w:val="18"/>
                      <w:szCs w:val="18"/>
                    </w:rPr>
                  </w:pPr>
                  <w:r>
                    <w:rPr>
                      <w:sz w:val="18"/>
                      <w:szCs w:val="18"/>
                    </w:rPr>
                    <w:t>监测指标</w:t>
                  </w:r>
                </w:p>
              </w:tc>
              <w:tc>
                <w:tcPr>
                  <w:tcW w:w="2098" w:type="dxa"/>
                  <w:vAlign w:val="center"/>
                </w:tcPr>
                <w:p w14:paraId="58E48B15">
                  <w:pPr>
                    <w:jc w:val="center"/>
                    <w:rPr>
                      <w:sz w:val="18"/>
                      <w:szCs w:val="18"/>
                    </w:rPr>
                  </w:pPr>
                  <w:r>
                    <w:rPr>
                      <w:sz w:val="18"/>
                      <w:szCs w:val="18"/>
                    </w:rPr>
                    <w:t>监测频次</w:t>
                  </w:r>
                </w:p>
              </w:tc>
              <w:tc>
                <w:tcPr>
                  <w:tcW w:w="2098" w:type="dxa"/>
                  <w:vAlign w:val="center"/>
                </w:tcPr>
                <w:p w14:paraId="29FCFA83">
                  <w:pPr>
                    <w:jc w:val="center"/>
                    <w:rPr>
                      <w:sz w:val="18"/>
                      <w:szCs w:val="18"/>
                    </w:rPr>
                  </w:pPr>
                  <w:r>
                    <w:rPr>
                      <w:sz w:val="18"/>
                      <w:szCs w:val="18"/>
                    </w:rPr>
                    <w:t>排放标准（mg/L）</w:t>
                  </w:r>
                </w:p>
              </w:tc>
            </w:tr>
            <w:tr w14:paraId="5ACC56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03" w:type="dxa"/>
                  <w:vMerge w:val="restart"/>
                  <w:vAlign w:val="center"/>
                </w:tcPr>
                <w:p w14:paraId="4730DC10">
                  <w:pPr>
                    <w:jc w:val="center"/>
                    <w:rPr>
                      <w:sz w:val="18"/>
                      <w:szCs w:val="18"/>
                    </w:rPr>
                  </w:pPr>
                  <w:r>
                    <w:rPr>
                      <w:sz w:val="18"/>
                      <w:szCs w:val="18"/>
                    </w:rPr>
                    <w:t>废水总排口</w:t>
                  </w:r>
                </w:p>
              </w:tc>
              <w:tc>
                <w:tcPr>
                  <w:tcW w:w="2098" w:type="dxa"/>
                  <w:vAlign w:val="center"/>
                </w:tcPr>
                <w:p w14:paraId="430D85DE">
                  <w:pPr>
                    <w:pStyle w:val="8"/>
                    <w:ind w:firstLine="0" w:firstLineChars="0"/>
                    <w:jc w:val="center"/>
                    <w:rPr>
                      <w:rFonts w:ascii="Times New Roman" w:hAnsi="Times New Roman"/>
                      <w:sz w:val="18"/>
                      <w:szCs w:val="18"/>
                    </w:rPr>
                  </w:pPr>
                  <w:r>
                    <w:rPr>
                      <w:rFonts w:ascii="Times New Roman" w:hAnsi="Times New Roman"/>
                      <w:sz w:val="18"/>
                      <w:szCs w:val="18"/>
                    </w:rPr>
                    <w:t>COD</w:t>
                  </w:r>
                </w:p>
              </w:tc>
              <w:tc>
                <w:tcPr>
                  <w:tcW w:w="2098" w:type="dxa"/>
                  <w:vAlign w:val="center"/>
                </w:tcPr>
                <w:p w14:paraId="6F40C206">
                  <w:pPr>
                    <w:jc w:val="center"/>
                    <w:rPr>
                      <w:sz w:val="18"/>
                      <w:szCs w:val="18"/>
                    </w:rPr>
                  </w:pPr>
                  <w:r>
                    <w:rPr>
                      <w:sz w:val="18"/>
                      <w:szCs w:val="18"/>
                    </w:rPr>
                    <w:t>1次/年</w:t>
                  </w:r>
                </w:p>
              </w:tc>
              <w:tc>
                <w:tcPr>
                  <w:tcW w:w="2098" w:type="dxa"/>
                  <w:vAlign w:val="center"/>
                </w:tcPr>
                <w:p w14:paraId="759AD40D">
                  <w:pPr>
                    <w:jc w:val="center"/>
                    <w:rPr>
                      <w:sz w:val="18"/>
                      <w:szCs w:val="18"/>
                    </w:rPr>
                  </w:pPr>
                  <w:r>
                    <w:rPr>
                      <w:sz w:val="18"/>
                      <w:szCs w:val="18"/>
                    </w:rPr>
                    <w:t>500</w:t>
                  </w:r>
                </w:p>
              </w:tc>
            </w:tr>
            <w:tr w14:paraId="2E4100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03" w:type="dxa"/>
                  <w:vMerge w:val="continue"/>
                  <w:vAlign w:val="center"/>
                </w:tcPr>
                <w:p w14:paraId="744A57B4">
                  <w:pPr>
                    <w:jc w:val="center"/>
                    <w:rPr>
                      <w:sz w:val="18"/>
                      <w:szCs w:val="18"/>
                    </w:rPr>
                  </w:pPr>
                </w:p>
              </w:tc>
              <w:tc>
                <w:tcPr>
                  <w:tcW w:w="2098" w:type="dxa"/>
                  <w:vAlign w:val="center"/>
                </w:tcPr>
                <w:p w14:paraId="3031D932">
                  <w:pPr>
                    <w:jc w:val="center"/>
                    <w:rPr>
                      <w:sz w:val="18"/>
                      <w:szCs w:val="18"/>
                    </w:rPr>
                  </w:pPr>
                  <w:r>
                    <w:rPr>
                      <w:sz w:val="18"/>
                      <w:szCs w:val="18"/>
                    </w:rPr>
                    <w:t>SS</w:t>
                  </w:r>
                </w:p>
              </w:tc>
              <w:tc>
                <w:tcPr>
                  <w:tcW w:w="2098" w:type="dxa"/>
                  <w:vAlign w:val="center"/>
                </w:tcPr>
                <w:p w14:paraId="6BD06CC0">
                  <w:pPr>
                    <w:jc w:val="center"/>
                    <w:rPr>
                      <w:sz w:val="18"/>
                      <w:szCs w:val="18"/>
                    </w:rPr>
                  </w:pPr>
                  <w:r>
                    <w:rPr>
                      <w:sz w:val="18"/>
                      <w:szCs w:val="18"/>
                    </w:rPr>
                    <w:t>1次/年</w:t>
                  </w:r>
                </w:p>
              </w:tc>
              <w:tc>
                <w:tcPr>
                  <w:tcW w:w="2098" w:type="dxa"/>
                  <w:vAlign w:val="center"/>
                </w:tcPr>
                <w:p w14:paraId="563E8A9B">
                  <w:pPr>
                    <w:jc w:val="center"/>
                    <w:rPr>
                      <w:sz w:val="18"/>
                      <w:szCs w:val="18"/>
                    </w:rPr>
                  </w:pPr>
                  <w:r>
                    <w:rPr>
                      <w:sz w:val="18"/>
                      <w:szCs w:val="18"/>
                    </w:rPr>
                    <w:t>400</w:t>
                  </w:r>
                </w:p>
              </w:tc>
            </w:tr>
            <w:tr w14:paraId="66361E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03" w:type="dxa"/>
                  <w:vMerge w:val="continue"/>
                  <w:vAlign w:val="center"/>
                </w:tcPr>
                <w:p w14:paraId="49299D81">
                  <w:pPr>
                    <w:jc w:val="center"/>
                    <w:rPr>
                      <w:sz w:val="18"/>
                      <w:szCs w:val="18"/>
                    </w:rPr>
                  </w:pPr>
                </w:p>
              </w:tc>
              <w:tc>
                <w:tcPr>
                  <w:tcW w:w="2098" w:type="dxa"/>
                  <w:vAlign w:val="center"/>
                </w:tcPr>
                <w:p w14:paraId="2EDCCE10">
                  <w:pPr>
                    <w:jc w:val="center"/>
                    <w:rPr>
                      <w:sz w:val="18"/>
                      <w:szCs w:val="18"/>
                    </w:rPr>
                  </w:pPr>
                  <w:r>
                    <w:rPr>
                      <w:sz w:val="18"/>
                      <w:szCs w:val="18"/>
                    </w:rPr>
                    <w:t>NH</w:t>
                  </w:r>
                  <w:r>
                    <w:rPr>
                      <w:sz w:val="18"/>
                      <w:szCs w:val="18"/>
                      <w:vertAlign w:val="subscript"/>
                    </w:rPr>
                    <w:t>3</w:t>
                  </w:r>
                  <w:r>
                    <w:rPr>
                      <w:sz w:val="18"/>
                      <w:szCs w:val="18"/>
                    </w:rPr>
                    <w:t>-N</w:t>
                  </w:r>
                </w:p>
              </w:tc>
              <w:tc>
                <w:tcPr>
                  <w:tcW w:w="2098" w:type="dxa"/>
                  <w:vAlign w:val="center"/>
                </w:tcPr>
                <w:p w14:paraId="702D10FF">
                  <w:pPr>
                    <w:jc w:val="center"/>
                    <w:rPr>
                      <w:sz w:val="18"/>
                      <w:szCs w:val="18"/>
                    </w:rPr>
                  </w:pPr>
                  <w:r>
                    <w:rPr>
                      <w:sz w:val="18"/>
                      <w:szCs w:val="18"/>
                    </w:rPr>
                    <w:t>1次/年</w:t>
                  </w:r>
                </w:p>
              </w:tc>
              <w:tc>
                <w:tcPr>
                  <w:tcW w:w="2098" w:type="dxa"/>
                  <w:vAlign w:val="center"/>
                </w:tcPr>
                <w:p w14:paraId="2F0BCE57">
                  <w:pPr>
                    <w:jc w:val="center"/>
                    <w:rPr>
                      <w:sz w:val="18"/>
                      <w:szCs w:val="18"/>
                    </w:rPr>
                  </w:pPr>
                  <w:r>
                    <w:rPr>
                      <w:sz w:val="18"/>
                      <w:szCs w:val="18"/>
                    </w:rPr>
                    <w:t>45</w:t>
                  </w:r>
                </w:p>
              </w:tc>
            </w:tr>
            <w:tr w14:paraId="01FFF1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03" w:type="dxa"/>
                  <w:vMerge w:val="continue"/>
                  <w:vAlign w:val="center"/>
                </w:tcPr>
                <w:p w14:paraId="726AD7FD">
                  <w:pPr>
                    <w:jc w:val="center"/>
                    <w:rPr>
                      <w:sz w:val="18"/>
                      <w:szCs w:val="18"/>
                    </w:rPr>
                  </w:pPr>
                </w:p>
              </w:tc>
              <w:tc>
                <w:tcPr>
                  <w:tcW w:w="2098" w:type="dxa"/>
                  <w:vAlign w:val="center"/>
                </w:tcPr>
                <w:p w14:paraId="570A2520">
                  <w:pPr>
                    <w:jc w:val="center"/>
                    <w:rPr>
                      <w:sz w:val="18"/>
                      <w:szCs w:val="18"/>
                    </w:rPr>
                  </w:pPr>
                  <w:r>
                    <w:rPr>
                      <w:sz w:val="18"/>
                      <w:szCs w:val="18"/>
                    </w:rPr>
                    <w:t>TP</w:t>
                  </w:r>
                </w:p>
              </w:tc>
              <w:tc>
                <w:tcPr>
                  <w:tcW w:w="2098" w:type="dxa"/>
                  <w:vAlign w:val="center"/>
                </w:tcPr>
                <w:p w14:paraId="725DDDCD">
                  <w:pPr>
                    <w:jc w:val="center"/>
                    <w:rPr>
                      <w:sz w:val="18"/>
                      <w:szCs w:val="18"/>
                    </w:rPr>
                  </w:pPr>
                  <w:r>
                    <w:rPr>
                      <w:sz w:val="18"/>
                      <w:szCs w:val="18"/>
                    </w:rPr>
                    <w:t>1次/年</w:t>
                  </w:r>
                </w:p>
              </w:tc>
              <w:tc>
                <w:tcPr>
                  <w:tcW w:w="2098" w:type="dxa"/>
                  <w:vAlign w:val="center"/>
                </w:tcPr>
                <w:p w14:paraId="3BAD9BA8">
                  <w:pPr>
                    <w:jc w:val="center"/>
                    <w:rPr>
                      <w:sz w:val="18"/>
                      <w:szCs w:val="18"/>
                    </w:rPr>
                  </w:pPr>
                  <w:r>
                    <w:rPr>
                      <w:sz w:val="18"/>
                      <w:szCs w:val="18"/>
                    </w:rPr>
                    <w:t>8</w:t>
                  </w:r>
                </w:p>
              </w:tc>
            </w:tr>
            <w:tr w14:paraId="144344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03" w:type="dxa"/>
                  <w:vMerge w:val="continue"/>
                  <w:vAlign w:val="center"/>
                </w:tcPr>
                <w:p w14:paraId="52578C54">
                  <w:pPr>
                    <w:jc w:val="center"/>
                    <w:rPr>
                      <w:sz w:val="18"/>
                      <w:szCs w:val="18"/>
                    </w:rPr>
                  </w:pPr>
                </w:p>
              </w:tc>
              <w:tc>
                <w:tcPr>
                  <w:tcW w:w="2098" w:type="dxa"/>
                  <w:vAlign w:val="center"/>
                </w:tcPr>
                <w:p w14:paraId="0D5B9748">
                  <w:pPr>
                    <w:jc w:val="center"/>
                    <w:rPr>
                      <w:sz w:val="18"/>
                      <w:szCs w:val="18"/>
                    </w:rPr>
                  </w:pPr>
                  <w:r>
                    <w:rPr>
                      <w:sz w:val="18"/>
                      <w:szCs w:val="18"/>
                    </w:rPr>
                    <w:t>TN</w:t>
                  </w:r>
                </w:p>
              </w:tc>
              <w:tc>
                <w:tcPr>
                  <w:tcW w:w="2098" w:type="dxa"/>
                  <w:vAlign w:val="center"/>
                </w:tcPr>
                <w:p w14:paraId="02C41EA9">
                  <w:pPr>
                    <w:jc w:val="center"/>
                    <w:rPr>
                      <w:sz w:val="18"/>
                      <w:szCs w:val="18"/>
                    </w:rPr>
                  </w:pPr>
                  <w:r>
                    <w:rPr>
                      <w:sz w:val="18"/>
                      <w:szCs w:val="18"/>
                    </w:rPr>
                    <w:t>1次/年</w:t>
                  </w:r>
                </w:p>
              </w:tc>
              <w:tc>
                <w:tcPr>
                  <w:tcW w:w="2098" w:type="dxa"/>
                  <w:vAlign w:val="center"/>
                </w:tcPr>
                <w:p w14:paraId="4EED7E21">
                  <w:pPr>
                    <w:jc w:val="center"/>
                    <w:rPr>
                      <w:sz w:val="18"/>
                      <w:szCs w:val="18"/>
                    </w:rPr>
                  </w:pPr>
                  <w:r>
                    <w:rPr>
                      <w:sz w:val="18"/>
                      <w:szCs w:val="18"/>
                    </w:rPr>
                    <w:t>70</w:t>
                  </w:r>
                </w:p>
              </w:tc>
            </w:tr>
          </w:tbl>
          <w:p w14:paraId="676E3DC9">
            <w:pPr>
              <w:spacing w:line="500" w:lineRule="exact"/>
              <w:ind w:firstLine="420" w:firstLineChars="200"/>
              <w:rPr>
                <w:color w:val="auto"/>
              </w:rPr>
            </w:pPr>
            <w:r>
              <w:rPr>
                <w:color w:val="auto"/>
              </w:rPr>
              <w:t>（4）废水污染治理设施可行性分析</w:t>
            </w:r>
          </w:p>
          <w:p w14:paraId="22C7F06E">
            <w:pPr>
              <w:adjustRightInd w:val="0"/>
              <w:snapToGrid w:val="0"/>
              <w:spacing w:line="500" w:lineRule="exact"/>
              <w:ind w:firstLine="420" w:firstLineChars="200"/>
              <w:rPr>
                <w:rFonts w:hint="eastAsia"/>
                <w:color w:val="auto"/>
                <w:szCs w:val="21"/>
              </w:rPr>
            </w:pPr>
            <w:r>
              <w:rPr>
                <w:rFonts w:hint="eastAsia"/>
                <w:color w:val="auto"/>
                <w:szCs w:val="21"/>
              </w:rPr>
              <w:t>（1）水量</w:t>
            </w:r>
            <w:r>
              <w:rPr>
                <w:rFonts w:hint="eastAsia"/>
                <w:color w:val="auto"/>
                <w:szCs w:val="21"/>
                <w:lang w:eastAsia="zh-CN"/>
              </w:rPr>
              <w:t>拖运</w:t>
            </w:r>
            <w:r>
              <w:rPr>
                <w:rFonts w:hint="eastAsia"/>
                <w:color w:val="auto"/>
                <w:szCs w:val="21"/>
              </w:rPr>
              <w:t>可行性分析</w:t>
            </w:r>
          </w:p>
          <w:p w14:paraId="42B3C981">
            <w:pPr>
              <w:adjustRightInd w:val="0"/>
              <w:snapToGrid w:val="0"/>
              <w:spacing w:line="500" w:lineRule="exact"/>
              <w:ind w:firstLine="420" w:firstLineChars="200"/>
              <w:rPr>
                <w:rFonts w:hint="eastAsia"/>
                <w:color w:val="auto"/>
                <w:szCs w:val="21"/>
              </w:rPr>
            </w:pPr>
            <w:r>
              <w:rPr>
                <w:rFonts w:hint="eastAsia"/>
                <w:color w:val="auto"/>
                <w:szCs w:val="21"/>
              </w:rPr>
              <w:t>南通市东港排水有限公司建于1994年，服务范围为通吕运河以北的唐闸、天生港、港闸经济开发区、火车站站前片，服务范围约为134.23km</w:t>
            </w:r>
            <w:r>
              <w:rPr>
                <w:rFonts w:hint="eastAsia"/>
                <w:color w:val="auto"/>
                <w:szCs w:val="21"/>
                <w:vertAlign w:val="superscript"/>
              </w:rPr>
              <w:t>2</w:t>
            </w:r>
            <w:r>
              <w:rPr>
                <w:rFonts w:hint="eastAsia"/>
                <w:color w:val="auto"/>
                <w:szCs w:val="21"/>
              </w:rPr>
              <w:t>，总处理能力达到15万t/d。本项目</w:t>
            </w:r>
            <w:r>
              <w:rPr>
                <w:rFonts w:hint="eastAsia"/>
                <w:color w:val="auto"/>
                <w:szCs w:val="21"/>
                <w:lang w:eastAsia="zh-CN"/>
              </w:rPr>
              <w:t>废水</w:t>
            </w:r>
            <w:r>
              <w:rPr>
                <w:rFonts w:hint="eastAsia"/>
                <w:color w:val="auto"/>
                <w:szCs w:val="21"/>
              </w:rPr>
              <w:t>排放量为</w:t>
            </w:r>
            <w:r>
              <w:rPr>
                <w:rFonts w:hint="eastAsia"/>
                <w:color w:val="auto"/>
                <w:szCs w:val="21"/>
                <w:lang w:val="en-US" w:eastAsia="zh-CN"/>
              </w:rPr>
              <w:t>340</w:t>
            </w:r>
            <w:r>
              <w:rPr>
                <w:rFonts w:hint="eastAsia"/>
                <w:color w:val="auto"/>
                <w:szCs w:val="21"/>
              </w:rPr>
              <w:t>t/a，占总处理能力的</w:t>
            </w:r>
            <w:r>
              <w:rPr>
                <w:rFonts w:hint="eastAsia"/>
                <w:color w:val="auto"/>
                <w:szCs w:val="21"/>
                <w:lang w:val="en-US" w:eastAsia="zh-CN"/>
              </w:rPr>
              <w:t>0.00075</w:t>
            </w:r>
            <w:r>
              <w:rPr>
                <w:rFonts w:hint="eastAsia"/>
                <w:color w:val="auto"/>
                <w:szCs w:val="21"/>
              </w:rPr>
              <w:t>%，在其余量范围内，从水量接管量上考虑，南通市东港排水有限公司有能力接纳项目污水量，建设项目的废水进入南通市东港排水有限公司是可行的。</w:t>
            </w:r>
          </w:p>
          <w:p w14:paraId="424DBB32">
            <w:pPr>
              <w:adjustRightInd w:val="0"/>
              <w:snapToGrid w:val="0"/>
              <w:spacing w:line="500" w:lineRule="exact"/>
              <w:ind w:firstLine="420" w:firstLineChars="200"/>
              <w:rPr>
                <w:rFonts w:hint="eastAsia"/>
                <w:color w:val="auto"/>
                <w:szCs w:val="21"/>
              </w:rPr>
            </w:pPr>
            <w:r>
              <w:rPr>
                <w:rFonts w:hint="eastAsia"/>
                <w:color w:val="auto"/>
                <w:szCs w:val="21"/>
              </w:rPr>
              <w:t>（2）水质可行性分析</w:t>
            </w:r>
          </w:p>
          <w:p w14:paraId="060F2788">
            <w:pPr>
              <w:adjustRightInd w:val="0"/>
              <w:snapToGrid w:val="0"/>
              <w:spacing w:line="500" w:lineRule="exact"/>
              <w:ind w:firstLine="420" w:firstLineChars="200"/>
              <w:rPr>
                <w:rFonts w:hint="eastAsia"/>
                <w:color w:val="auto"/>
                <w:szCs w:val="21"/>
              </w:rPr>
            </w:pPr>
            <w:r>
              <w:rPr>
                <w:rFonts w:hint="eastAsia"/>
                <w:color w:val="auto"/>
                <w:szCs w:val="21"/>
              </w:rPr>
              <w:t>南通市东港排水有限公司一期、二期工程提标改造后废水处理工艺采用：厌氧酸化水解预处理+AAO 鼓风曝气+机械加速澄清池+滤布滤池+消毒工艺。三期工程采用“预处理工艺（曝气沉砂池+水解酸化池）+生物处理主体工艺（改良A</w:t>
            </w:r>
            <w:r>
              <w:rPr>
                <w:rFonts w:hint="eastAsia"/>
                <w:color w:val="auto"/>
                <w:szCs w:val="21"/>
                <w:vertAlign w:val="subscript"/>
              </w:rPr>
              <w:t>2</w:t>
            </w:r>
            <w:r>
              <w:rPr>
                <w:rFonts w:hint="eastAsia"/>
                <w:color w:val="auto"/>
                <w:szCs w:val="21"/>
              </w:rPr>
              <w:t>/O生化反应池）+深度处理工艺（二氧化氯接触+滤布滤池）”组合式污水处理工艺。本项目</w:t>
            </w:r>
            <w:r>
              <w:rPr>
                <w:rFonts w:hint="eastAsia"/>
                <w:color w:val="auto"/>
                <w:szCs w:val="21"/>
                <w:lang w:eastAsia="zh-CN"/>
              </w:rPr>
              <w:t>污水总排口</w:t>
            </w:r>
            <w:r>
              <w:rPr>
                <w:rFonts w:hint="eastAsia"/>
                <w:color w:val="auto"/>
                <w:szCs w:val="21"/>
              </w:rPr>
              <w:t>排放浓度为COD：</w:t>
            </w:r>
            <w:r>
              <w:rPr>
                <w:rFonts w:hint="eastAsia"/>
                <w:color w:val="auto"/>
                <w:szCs w:val="21"/>
                <w:lang w:val="en-US" w:eastAsia="zh-CN"/>
              </w:rPr>
              <w:t>223.53</w:t>
            </w:r>
            <w:r>
              <w:rPr>
                <w:rFonts w:hint="eastAsia"/>
                <w:color w:val="auto"/>
                <w:szCs w:val="21"/>
              </w:rPr>
              <w:t>mg/L、SS：</w:t>
            </w:r>
            <w:r>
              <w:rPr>
                <w:rFonts w:hint="eastAsia"/>
                <w:color w:val="auto"/>
                <w:szCs w:val="21"/>
                <w:lang w:val="en-US" w:eastAsia="zh-CN"/>
              </w:rPr>
              <w:t>108.82</w:t>
            </w:r>
            <w:r>
              <w:rPr>
                <w:rFonts w:hint="eastAsia"/>
                <w:color w:val="auto"/>
                <w:szCs w:val="21"/>
              </w:rPr>
              <w:t>mg/L、NH</w:t>
            </w:r>
            <w:r>
              <w:rPr>
                <w:rFonts w:hint="eastAsia"/>
                <w:color w:val="auto"/>
                <w:szCs w:val="21"/>
                <w:vertAlign w:val="subscript"/>
              </w:rPr>
              <w:t>3</w:t>
            </w:r>
            <w:r>
              <w:rPr>
                <w:rFonts w:hint="eastAsia"/>
                <w:color w:val="auto"/>
                <w:szCs w:val="21"/>
              </w:rPr>
              <w:t>-N：</w:t>
            </w:r>
            <w:r>
              <w:rPr>
                <w:rFonts w:hint="eastAsia"/>
                <w:color w:val="auto"/>
                <w:szCs w:val="21"/>
                <w:lang w:val="en-US" w:eastAsia="zh-CN"/>
              </w:rPr>
              <w:t>17.65</w:t>
            </w:r>
            <w:r>
              <w:rPr>
                <w:rFonts w:hint="eastAsia"/>
                <w:color w:val="auto"/>
                <w:szCs w:val="21"/>
              </w:rPr>
              <w:t>mg/L、TP：</w:t>
            </w:r>
            <w:r>
              <w:rPr>
                <w:rFonts w:hint="eastAsia"/>
                <w:color w:val="auto"/>
                <w:szCs w:val="21"/>
                <w:lang w:val="en-US" w:eastAsia="zh-CN"/>
              </w:rPr>
              <w:t>2.06</w:t>
            </w:r>
            <w:r>
              <w:rPr>
                <w:rFonts w:hint="eastAsia"/>
                <w:color w:val="auto"/>
                <w:szCs w:val="21"/>
              </w:rPr>
              <w:t>mg/L、TN：</w:t>
            </w:r>
            <w:r>
              <w:rPr>
                <w:rFonts w:hint="eastAsia"/>
                <w:color w:val="auto"/>
                <w:szCs w:val="21"/>
                <w:lang w:val="en-US" w:eastAsia="zh-CN"/>
              </w:rPr>
              <w:t>21.181</w:t>
            </w:r>
            <w:r>
              <w:rPr>
                <w:rFonts w:hint="eastAsia"/>
                <w:color w:val="auto"/>
                <w:szCs w:val="21"/>
              </w:rPr>
              <w:t>mg/L可以满足南通市东港排水有限公司的收水要求（COD500mg/L、SS400mg/L），不会对污水处理厂的正常运行产生冲击负荷，不影响其水质稳定达标排放。因此，从水质上说，废水依托南通市东港排水有限公司处理是可行的。可以满足污水处理厂的接管标准要求，不会对南通市东港排水有限公司正常运行造成影响。</w:t>
            </w:r>
          </w:p>
          <w:p w14:paraId="6B81AC2F">
            <w:pPr>
              <w:adjustRightInd w:val="0"/>
              <w:snapToGrid w:val="0"/>
              <w:spacing w:line="500" w:lineRule="exact"/>
              <w:ind w:firstLine="420" w:firstLineChars="200"/>
              <w:rPr>
                <w:rFonts w:hint="eastAsia"/>
                <w:color w:val="auto"/>
                <w:szCs w:val="21"/>
              </w:rPr>
            </w:pPr>
            <w:r>
              <w:rPr>
                <w:rFonts w:hint="eastAsia"/>
                <w:color w:val="auto"/>
                <w:szCs w:val="21"/>
              </w:rPr>
              <w:t>（3）管网配套可行性分析</w:t>
            </w:r>
          </w:p>
          <w:p w14:paraId="3E492490">
            <w:pPr>
              <w:adjustRightInd w:val="0"/>
              <w:snapToGrid w:val="0"/>
              <w:spacing w:line="500" w:lineRule="exact"/>
              <w:ind w:firstLine="420" w:firstLineChars="200"/>
              <w:rPr>
                <w:rFonts w:hint="eastAsia"/>
                <w:color w:val="auto"/>
                <w:szCs w:val="21"/>
              </w:rPr>
            </w:pPr>
            <w:r>
              <w:rPr>
                <w:rFonts w:hint="eastAsia"/>
                <w:color w:val="auto"/>
                <w:szCs w:val="21"/>
              </w:rPr>
              <w:t xml:space="preserve">管网和污水处理厂建设进度：项目地所在区域污水管网未铺设（区域有铺设计划），企业废水排放拟采用槽车进行运输，待后期污水管网铺设完成后须接入污水管道并领取相应的排水许可手续。为减少环境隐患，对企业运营管理提出以下要求： </w:t>
            </w:r>
          </w:p>
          <w:p w14:paraId="7988BA01">
            <w:pPr>
              <w:adjustRightInd w:val="0"/>
              <w:snapToGrid w:val="0"/>
              <w:spacing w:line="500" w:lineRule="exact"/>
              <w:ind w:firstLine="420" w:firstLineChars="200"/>
              <w:rPr>
                <w:rFonts w:hint="eastAsia"/>
                <w:color w:val="auto"/>
                <w:szCs w:val="21"/>
              </w:rPr>
            </w:pPr>
            <w:r>
              <w:rPr>
                <w:rFonts w:hint="eastAsia"/>
                <w:color w:val="auto"/>
                <w:szCs w:val="21"/>
              </w:rPr>
              <w:t xml:space="preserve">1、企业建立污水排放及运输台账，严格记录运输人员、运输车辆、输运数量、时间等情况。送至污水处理厂时，需有交接单，严禁途中洒泼滴漏现象，禁止在规定的接收点以外倾倒、偷排废水； </w:t>
            </w:r>
          </w:p>
          <w:p w14:paraId="45B0F754">
            <w:pPr>
              <w:adjustRightInd w:val="0"/>
              <w:snapToGrid w:val="0"/>
              <w:spacing w:line="500" w:lineRule="exact"/>
              <w:ind w:firstLine="420" w:firstLineChars="200"/>
              <w:rPr>
                <w:rFonts w:hint="eastAsia"/>
                <w:color w:val="auto"/>
                <w:szCs w:val="21"/>
              </w:rPr>
            </w:pPr>
            <w:r>
              <w:rPr>
                <w:rFonts w:hint="eastAsia"/>
                <w:color w:val="auto"/>
                <w:szCs w:val="21"/>
              </w:rPr>
              <w:t xml:space="preserve">2、每次运输前检查运输车辆，确保车辆无故障，废水箱体无损坏； </w:t>
            </w:r>
          </w:p>
          <w:p w14:paraId="337DD431">
            <w:pPr>
              <w:adjustRightInd w:val="0"/>
              <w:snapToGrid w:val="0"/>
              <w:spacing w:line="500" w:lineRule="exact"/>
              <w:ind w:firstLine="420" w:firstLineChars="200"/>
              <w:rPr>
                <w:rFonts w:hint="eastAsia"/>
                <w:color w:val="auto"/>
                <w:szCs w:val="21"/>
              </w:rPr>
            </w:pPr>
            <w:r>
              <w:rPr>
                <w:rFonts w:hint="eastAsia"/>
                <w:color w:val="auto"/>
                <w:szCs w:val="21"/>
              </w:rPr>
              <w:t>3、装卸车时必须防止泄漏，保持地面卫生清洁，如有污染及时清除，企业废水装卸车处需做好防渗措施；</w:t>
            </w:r>
          </w:p>
          <w:p w14:paraId="52C0C278">
            <w:pPr>
              <w:adjustRightInd w:val="0"/>
              <w:snapToGrid w:val="0"/>
              <w:spacing w:line="500" w:lineRule="exact"/>
              <w:ind w:firstLine="420" w:firstLineChars="200"/>
              <w:rPr>
                <w:rFonts w:hint="eastAsia"/>
                <w:color w:val="auto"/>
                <w:szCs w:val="21"/>
              </w:rPr>
            </w:pPr>
            <w:r>
              <w:rPr>
                <w:rFonts w:hint="eastAsia"/>
                <w:color w:val="auto"/>
                <w:szCs w:val="21"/>
              </w:rPr>
              <w:t>4、运送废水时需提前与污水处理厂联系，确保对方有富余的处理能力；</w:t>
            </w:r>
          </w:p>
          <w:p w14:paraId="535A3F2D">
            <w:pPr>
              <w:adjustRightInd w:val="0"/>
              <w:snapToGrid w:val="0"/>
              <w:spacing w:line="500" w:lineRule="exact"/>
              <w:ind w:firstLine="420" w:firstLineChars="200"/>
              <w:rPr>
                <w:rFonts w:hint="eastAsia"/>
                <w:color w:val="auto"/>
                <w:szCs w:val="21"/>
              </w:rPr>
            </w:pPr>
            <w:r>
              <w:rPr>
                <w:rFonts w:hint="eastAsia"/>
                <w:color w:val="auto"/>
                <w:szCs w:val="21"/>
              </w:rPr>
              <w:t>5、采用固定的专用车辆和运输人员运输，并加强对运输人员的培训，运输车辆上安装GPS定位系统和行车记录仪，严禁运输车辆超载车、严禁证件不全的车辆上路行驶，不得随意偏离运输路线；</w:t>
            </w:r>
          </w:p>
          <w:p w14:paraId="7FA0FE68">
            <w:pPr>
              <w:adjustRightInd w:val="0"/>
              <w:snapToGrid w:val="0"/>
              <w:spacing w:line="500" w:lineRule="exact"/>
              <w:ind w:firstLine="420" w:firstLineChars="200"/>
              <w:rPr>
                <w:rFonts w:hint="eastAsia"/>
                <w:color w:val="auto"/>
                <w:szCs w:val="21"/>
              </w:rPr>
            </w:pPr>
            <w:r>
              <w:rPr>
                <w:rFonts w:hint="eastAsia"/>
                <w:color w:val="auto"/>
                <w:szCs w:val="21"/>
              </w:rPr>
              <w:t>6、遇到恶劣天气时需谨慎驾驶或暂停废水运输。</w:t>
            </w:r>
          </w:p>
          <w:p w14:paraId="3A604F1F">
            <w:pPr>
              <w:adjustRightInd w:val="0"/>
              <w:snapToGrid w:val="0"/>
              <w:spacing w:line="500" w:lineRule="exact"/>
              <w:ind w:firstLine="420" w:firstLineChars="200"/>
              <w:rPr>
                <w:rFonts w:hint="eastAsia"/>
                <w:color w:val="auto"/>
                <w:szCs w:val="21"/>
              </w:rPr>
            </w:pPr>
            <w:r>
              <w:rPr>
                <w:rFonts w:hint="eastAsia"/>
                <w:color w:val="auto"/>
                <w:szCs w:val="21"/>
              </w:rPr>
              <w:t>（</w:t>
            </w:r>
            <w:r>
              <w:rPr>
                <w:rFonts w:hint="eastAsia"/>
                <w:color w:val="auto"/>
                <w:szCs w:val="21"/>
                <w:lang w:val="en-US" w:eastAsia="zh-CN"/>
              </w:rPr>
              <w:t>4</w:t>
            </w:r>
            <w:r>
              <w:rPr>
                <w:rFonts w:hint="eastAsia"/>
                <w:color w:val="auto"/>
                <w:szCs w:val="21"/>
              </w:rPr>
              <w:t>）地表水环境影响评价结论</w:t>
            </w:r>
          </w:p>
          <w:p w14:paraId="6BC1AA22">
            <w:pPr>
              <w:adjustRightInd w:val="0"/>
              <w:snapToGrid w:val="0"/>
              <w:spacing w:line="500" w:lineRule="exact"/>
              <w:ind w:firstLine="420" w:firstLineChars="200"/>
              <w:rPr>
                <w:bCs/>
                <w:spacing w:val="-10"/>
                <w:szCs w:val="21"/>
              </w:rPr>
            </w:pPr>
            <w:r>
              <w:rPr>
                <w:rFonts w:hint="eastAsia"/>
                <w:color w:val="auto"/>
                <w:szCs w:val="21"/>
              </w:rPr>
              <w:t>本项目位于受纳水体环境质量达标区域，本项目</w:t>
            </w:r>
            <w:r>
              <w:rPr>
                <w:rFonts w:hint="eastAsia"/>
                <w:color w:val="auto"/>
                <w:szCs w:val="21"/>
                <w:lang w:eastAsia="zh-CN"/>
              </w:rPr>
              <w:t>冷却废水、</w:t>
            </w:r>
            <w:r>
              <w:rPr>
                <w:rFonts w:hint="eastAsia"/>
                <w:color w:val="auto"/>
                <w:szCs w:val="21"/>
              </w:rPr>
              <w:t>生活污水经化粪池预处理后满足《污水综合排放标准》（GB8978-1996）表4三级标准和《污水排入城镇下水道水质标准》(GB/T31962-2015)表1中B等级标准的要求，从水质水量、接管标准等方面综合考虑，本项目废水</w:t>
            </w:r>
            <w:r>
              <w:rPr>
                <w:rFonts w:hint="eastAsia"/>
                <w:color w:val="auto"/>
                <w:szCs w:val="21"/>
                <w:lang w:eastAsia="zh-CN"/>
              </w:rPr>
              <w:t>托运</w:t>
            </w:r>
            <w:r>
              <w:rPr>
                <w:rFonts w:hint="eastAsia"/>
                <w:color w:val="auto"/>
                <w:szCs w:val="21"/>
              </w:rPr>
              <w:t>至南通市东港排水有限公司处理是可行的。因此，本项目对地表水环境的影响可以接受的。</w:t>
            </w:r>
          </w:p>
        </w:tc>
      </w:tr>
    </w:tbl>
    <w:p w14:paraId="57E62802">
      <w:pPr>
        <w:sectPr>
          <w:pgSz w:w="11906" w:h="16838"/>
          <w:pgMar w:top="1588" w:right="1531" w:bottom="1588" w:left="1531" w:header="851" w:footer="794"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919"/>
      </w:tblGrid>
      <w:tr w14:paraId="5829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733" w:type="dxa"/>
          </w:tcPr>
          <w:p w14:paraId="4817F2BE">
            <w:pPr>
              <w:jc w:val="center"/>
              <w:outlineLvl w:val="0"/>
              <w:rPr>
                <w:rFonts w:ascii="黑体" w:hAnsi="黑体" w:eastAsia="黑体"/>
                <w:sz w:val="30"/>
                <w:szCs w:val="30"/>
              </w:rPr>
            </w:pPr>
          </w:p>
        </w:tc>
        <w:tc>
          <w:tcPr>
            <w:tcW w:w="12919" w:type="dxa"/>
          </w:tcPr>
          <w:p w14:paraId="350A3AD0">
            <w:pPr>
              <w:adjustRightInd w:val="0"/>
              <w:snapToGrid w:val="0"/>
              <w:spacing w:line="500" w:lineRule="exact"/>
              <w:rPr>
                <w:b/>
                <w:bCs/>
              </w:rPr>
            </w:pPr>
            <w:r>
              <w:rPr>
                <w:rFonts w:hint="eastAsia"/>
                <w:b/>
                <w:bCs/>
              </w:rPr>
              <w:t>三、噪声</w:t>
            </w:r>
          </w:p>
          <w:p w14:paraId="6CE91952">
            <w:pPr>
              <w:spacing w:line="360" w:lineRule="auto"/>
              <w:jc w:val="center"/>
              <w:rPr>
                <w:b/>
                <w:bCs/>
              </w:rPr>
            </w:pPr>
            <w:r>
              <w:rPr>
                <w:b/>
                <w:bCs/>
              </w:rPr>
              <w:t>表 4-</w:t>
            </w:r>
            <w:r>
              <w:rPr>
                <w:rFonts w:hint="eastAsia"/>
                <w:b/>
                <w:bCs/>
              </w:rPr>
              <w:t>1</w:t>
            </w:r>
            <w:r>
              <w:rPr>
                <w:rFonts w:hint="eastAsia"/>
                <w:b/>
                <w:bCs/>
                <w:lang w:val="en-US" w:eastAsia="zh-CN"/>
              </w:rPr>
              <w:t>6</w:t>
            </w:r>
            <w:r>
              <w:rPr>
                <w:rFonts w:hint="eastAsia"/>
                <w:b/>
                <w:bCs/>
              </w:rPr>
              <w:t xml:space="preserve"> </w:t>
            </w:r>
            <w:r>
              <w:rPr>
                <w:b/>
                <w:bCs/>
              </w:rPr>
              <w:t>工业企业噪声源强调查清单</w:t>
            </w:r>
          </w:p>
          <w:tbl>
            <w:tblPr>
              <w:tblStyle w:val="16"/>
              <w:tblW w:w="1275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87"/>
              <w:gridCol w:w="656"/>
              <w:gridCol w:w="1217"/>
              <w:gridCol w:w="435"/>
              <w:gridCol w:w="1126"/>
              <w:gridCol w:w="850"/>
              <w:gridCol w:w="546"/>
              <w:gridCol w:w="676"/>
              <w:gridCol w:w="689"/>
              <w:gridCol w:w="587"/>
              <w:gridCol w:w="802"/>
              <w:gridCol w:w="780"/>
              <w:gridCol w:w="594"/>
              <w:gridCol w:w="914"/>
              <w:gridCol w:w="817"/>
              <w:gridCol w:w="939"/>
              <w:gridCol w:w="737"/>
            </w:tblGrid>
            <w:tr w14:paraId="310474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1" w:type="pct"/>
                  <w:vMerge w:val="restart"/>
                  <w:vAlign w:val="center"/>
                </w:tcPr>
                <w:p w14:paraId="0B486DC5">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序号</w:t>
                  </w:r>
                </w:p>
              </w:tc>
              <w:tc>
                <w:tcPr>
                  <w:tcW w:w="257" w:type="pct"/>
                  <w:vMerge w:val="restart"/>
                  <w:vAlign w:val="center"/>
                </w:tcPr>
                <w:p w14:paraId="516F6EB7">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建筑物名称</w:t>
                  </w:r>
                </w:p>
              </w:tc>
              <w:tc>
                <w:tcPr>
                  <w:tcW w:w="477" w:type="pct"/>
                  <w:vMerge w:val="restart"/>
                  <w:vAlign w:val="center"/>
                </w:tcPr>
                <w:p w14:paraId="2DF38D38">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声源名称</w:t>
                  </w:r>
                </w:p>
              </w:tc>
              <w:tc>
                <w:tcPr>
                  <w:tcW w:w="170" w:type="pct"/>
                  <w:vMerge w:val="restart"/>
                  <w:vAlign w:val="center"/>
                </w:tcPr>
                <w:p w14:paraId="2199963F">
                  <w:pPr>
                    <w:pStyle w:val="24"/>
                    <w:keepNext w:val="0"/>
                    <w:keepLines w:val="0"/>
                    <w:pageBreakBefore w:val="0"/>
                    <w:kinsoku/>
                    <w:wordWrap/>
                    <w:overflowPunct/>
                    <w:topLinePunct w:val="0"/>
                    <w:bidi w:val="0"/>
                    <w:spacing w:line="240" w:lineRule="auto"/>
                    <w:jc w:val="center"/>
                    <w:rPr>
                      <w:rFonts w:ascii="Times New Roman" w:hAnsi="Times New Roman" w:eastAsia="宋体"/>
                      <w:b/>
                      <w:bCs/>
                      <w:sz w:val="18"/>
                      <w:szCs w:val="18"/>
                    </w:rPr>
                  </w:pPr>
                  <w:r>
                    <w:rPr>
                      <w:rFonts w:ascii="Times New Roman" w:hAnsi="Times New Roman" w:eastAsia="宋体"/>
                      <w:sz w:val="18"/>
                      <w:szCs w:val="18"/>
                    </w:rPr>
                    <w:t>数量</w:t>
                  </w:r>
                </w:p>
              </w:tc>
              <w:tc>
                <w:tcPr>
                  <w:tcW w:w="774" w:type="pct"/>
                  <w:gridSpan w:val="2"/>
                  <w:vAlign w:val="center"/>
                </w:tcPr>
                <w:p w14:paraId="3B2F0A3E">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声源源强（任选一种）</w:t>
                  </w:r>
                </w:p>
              </w:tc>
              <w:tc>
                <w:tcPr>
                  <w:tcW w:w="214" w:type="pct"/>
                  <w:vMerge w:val="restart"/>
                  <w:vAlign w:val="center"/>
                </w:tcPr>
                <w:p w14:paraId="44E0ED41">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声源控制措施</w:t>
                  </w:r>
                </w:p>
              </w:tc>
              <w:tc>
                <w:tcPr>
                  <w:tcW w:w="765" w:type="pct"/>
                  <w:gridSpan w:val="3"/>
                  <w:vAlign w:val="center"/>
                </w:tcPr>
                <w:p w14:paraId="2392597F">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空间相对位置/m</w:t>
                  </w:r>
                </w:p>
              </w:tc>
              <w:tc>
                <w:tcPr>
                  <w:tcW w:w="314" w:type="pct"/>
                  <w:vMerge w:val="restart"/>
                  <w:vAlign w:val="center"/>
                </w:tcPr>
                <w:p w14:paraId="6E7F9475">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距室内边界距离/m</w:t>
                  </w:r>
                </w:p>
              </w:tc>
              <w:tc>
                <w:tcPr>
                  <w:tcW w:w="305" w:type="pct"/>
                  <w:vMerge w:val="restart"/>
                  <w:vAlign w:val="center"/>
                </w:tcPr>
                <w:p w14:paraId="52B1448B">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室内边界声级/dB(A)</w:t>
                  </w:r>
                </w:p>
              </w:tc>
              <w:tc>
                <w:tcPr>
                  <w:tcW w:w="232" w:type="pct"/>
                  <w:vMerge w:val="restart"/>
                  <w:vAlign w:val="center"/>
                </w:tcPr>
                <w:p w14:paraId="68BA2040">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运行时段</w:t>
                  </w:r>
                </w:p>
              </w:tc>
              <w:tc>
                <w:tcPr>
                  <w:tcW w:w="358" w:type="pct"/>
                  <w:vMerge w:val="restart"/>
                  <w:vAlign w:val="center"/>
                </w:tcPr>
                <w:p w14:paraId="0EB8741A">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建筑物插入损失/dB(A)</w:t>
                  </w:r>
                </w:p>
              </w:tc>
              <w:tc>
                <w:tcPr>
                  <w:tcW w:w="688" w:type="pct"/>
                  <w:gridSpan w:val="2"/>
                  <w:vAlign w:val="center"/>
                </w:tcPr>
                <w:p w14:paraId="3F0C9818">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建筑物外噪声</w:t>
                  </w:r>
                </w:p>
              </w:tc>
              <w:tc>
                <w:tcPr>
                  <w:tcW w:w="288" w:type="pct"/>
                  <w:vMerge w:val="restart"/>
                  <w:vAlign w:val="center"/>
                </w:tcPr>
                <w:p w14:paraId="15FAD94F">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噪声持续时间</w:t>
                  </w:r>
                </w:p>
              </w:tc>
            </w:tr>
            <w:tr w14:paraId="13B4B7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51" w:type="pct"/>
                  <w:vMerge w:val="continue"/>
                  <w:shd w:val="clear" w:color="auto" w:fill="FFFFFF"/>
                  <w:vAlign w:val="center"/>
                </w:tcPr>
                <w:p w14:paraId="5F657A5D">
                  <w:pPr>
                    <w:pStyle w:val="24"/>
                    <w:keepNext w:val="0"/>
                    <w:keepLines w:val="0"/>
                    <w:pageBreakBefore w:val="0"/>
                    <w:kinsoku/>
                    <w:wordWrap/>
                    <w:overflowPunct/>
                    <w:topLinePunct w:val="0"/>
                    <w:bidi w:val="0"/>
                    <w:spacing w:line="240" w:lineRule="auto"/>
                    <w:jc w:val="center"/>
                    <w:rPr>
                      <w:rFonts w:ascii="Times New Roman" w:hAnsi="Times New Roman" w:eastAsia="宋体"/>
                      <w:b/>
                      <w:bCs/>
                      <w:sz w:val="18"/>
                      <w:szCs w:val="18"/>
                    </w:rPr>
                  </w:pPr>
                </w:p>
              </w:tc>
              <w:tc>
                <w:tcPr>
                  <w:tcW w:w="257" w:type="pct"/>
                  <w:vMerge w:val="continue"/>
                  <w:shd w:val="clear" w:color="auto" w:fill="FFFFFF"/>
                  <w:vAlign w:val="center"/>
                </w:tcPr>
                <w:p w14:paraId="303064C8">
                  <w:pPr>
                    <w:pStyle w:val="24"/>
                    <w:keepNext w:val="0"/>
                    <w:keepLines w:val="0"/>
                    <w:pageBreakBefore w:val="0"/>
                    <w:kinsoku/>
                    <w:wordWrap/>
                    <w:overflowPunct/>
                    <w:topLinePunct w:val="0"/>
                    <w:bidi w:val="0"/>
                    <w:spacing w:line="240" w:lineRule="auto"/>
                    <w:jc w:val="center"/>
                    <w:rPr>
                      <w:rFonts w:ascii="Times New Roman" w:hAnsi="Times New Roman" w:eastAsia="宋体"/>
                      <w:b/>
                      <w:bCs/>
                      <w:sz w:val="18"/>
                      <w:szCs w:val="18"/>
                    </w:rPr>
                  </w:pPr>
                </w:p>
              </w:tc>
              <w:tc>
                <w:tcPr>
                  <w:tcW w:w="477" w:type="pct"/>
                  <w:vMerge w:val="continue"/>
                  <w:shd w:val="clear" w:color="auto" w:fill="FFFFFF"/>
                  <w:vAlign w:val="center"/>
                </w:tcPr>
                <w:p w14:paraId="30D7BC7C">
                  <w:pPr>
                    <w:pStyle w:val="24"/>
                    <w:keepNext w:val="0"/>
                    <w:keepLines w:val="0"/>
                    <w:pageBreakBefore w:val="0"/>
                    <w:kinsoku/>
                    <w:wordWrap/>
                    <w:overflowPunct/>
                    <w:topLinePunct w:val="0"/>
                    <w:bidi w:val="0"/>
                    <w:spacing w:line="240" w:lineRule="auto"/>
                    <w:jc w:val="center"/>
                    <w:rPr>
                      <w:rFonts w:ascii="Times New Roman" w:hAnsi="Times New Roman" w:eastAsia="宋体"/>
                      <w:b/>
                      <w:bCs/>
                      <w:sz w:val="18"/>
                      <w:szCs w:val="18"/>
                    </w:rPr>
                  </w:pPr>
                </w:p>
              </w:tc>
              <w:tc>
                <w:tcPr>
                  <w:tcW w:w="170" w:type="pct"/>
                  <w:vMerge w:val="continue"/>
                  <w:shd w:val="clear" w:color="auto" w:fill="FFFFFF"/>
                  <w:vAlign w:val="center"/>
                </w:tcPr>
                <w:p w14:paraId="69F85486">
                  <w:pPr>
                    <w:pStyle w:val="24"/>
                    <w:keepNext w:val="0"/>
                    <w:keepLines w:val="0"/>
                    <w:pageBreakBefore w:val="0"/>
                    <w:kinsoku/>
                    <w:wordWrap/>
                    <w:overflowPunct/>
                    <w:topLinePunct w:val="0"/>
                    <w:bidi w:val="0"/>
                    <w:spacing w:line="240" w:lineRule="auto"/>
                    <w:jc w:val="center"/>
                    <w:rPr>
                      <w:rFonts w:ascii="Times New Roman" w:hAnsi="Times New Roman" w:eastAsia="宋体"/>
                      <w:b/>
                      <w:bCs/>
                      <w:sz w:val="18"/>
                      <w:szCs w:val="18"/>
                    </w:rPr>
                  </w:pPr>
                </w:p>
              </w:tc>
              <w:tc>
                <w:tcPr>
                  <w:tcW w:w="441" w:type="pct"/>
                  <w:shd w:val="clear" w:color="auto" w:fill="FFFFFF"/>
                  <w:vAlign w:val="center"/>
                </w:tcPr>
                <w:p w14:paraId="0307A97A">
                  <w:pPr>
                    <w:pStyle w:val="24"/>
                    <w:keepNext w:val="0"/>
                    <w:keepLines w:val="0"/>
                    <w:pageBreakBefore w:val="0"/>
                    <w:kinsoku/>
                    <w:wordWrap/>
                    <w:overflowPunct/>
                    <w:topLinePunct w:val="0"/>
                    <w:bidi w:val="0"/>
                    <w:spacing w:line="240" w:lineRule="auto"/>
                    <w:jc w:val="center"/>
                    <w:rPr>
                      <w:rFonts w:ascii="Times New Roman" w:hAnsi="Times New Roman" w:eastAsia="宋体"/>
                      <w:spacing w:val="-6"/>
                      <w:sz w:val="18"/>
                      <w:szCs w:val="18"/>
                    </w:rPr>
                  </w:pPr>
                  <w:r>
                    <w:rPr>
                      <w:rFonts w:ascii="Times New Roman" w:hAnsi="Times New Roman" w:eastAsia="宋体"/>
                      <w:spacing w:val="-6"/>
                      <w:sz w:val="18"/>
                      <w:szCs w:val="18"/>
                    </w:rPr>
                    <w:t>（声压级/距声源距离）/（dB(A)/m）</w:t>
                  </w:r>
                </w:p>
              </w:tc>
              <w:tc>
                <w:tcPr>
                  <w:tcW w:w="333" w:type="pct"/>
                  <w:shd w:val="clear" w:color="auto" w:fill="FFFFFF"/>
                  <w:vAlign w:val="center"/>
                </w:tcPr>
                <w:p w14:paraId="09F28724">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声功率级/dB(A)</w:t>
                  </w:r>
                </w:p>
              </w:tc>
              <w:tc>
                <w:tcPr>
                  <w:tcW w:w="214" w:type="pct"/>
                  <w:vMerge w:val="continue"/>
                  <w:shd w:val="clear" w:color="auto" w:fill="FFFFFF"/>
                  <w:vAlign w:val="center"/>
                </w:tcPr>
                <w:p w14:paraId="09110600">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265" w:type="pct"/>
                  <w:shd w:val="clear" w:color="auto" w:fill="FFFFFF"/>
                  <w:vAlign w:val="center"/>
                </w:tcPr>
                <w:p w14:paraId="662B0FE1">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X</w:t>
                  </w:r>
                </w:p>
              </w:tc>
              <w:tc>
                <w:tcPr>
                  <w:tcW w:w="270" w:type="pct"/>
                  <w:shd w:val="clear" w:color="auto" w:fill="FFFFFF"/>
                  <w:vAlign w:val="center"/>
                </w:tcPr>
                <w:p w14:paraId="35804537">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Y</w:t>
                  </w:r>
                </w:p>
              </w:tc>
              <w:tc>
                <w:tcPr>
                  <w:tcW w:w="230" w:type="pct"/>
                  <w:shd w:val="clear" w:color="auto" w:fill="FFFFFF"/>
                  <w:vAlign w:val="center"/>
                </w:tcPr>
                <w:p w14:paraId="2BCAD2D3">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Z</w:t>
                  </w:r>
                </w:p>
              </w:tc>
              <w:tc>
                <w:tcPr>
                  <w:tcW w:w="314" w:type="pct"/>
                  <w:vMerge w:val="continue"/>
                  <w:shd w:val="clear" w:color="auto" w:fill="FFFFFF"/>
                  <w:vAlign w:val="center"/>
                </w:tcPr>
                <w:p w14:paraId="5F3A1BD1">
                  <w:pPr>
                    <w:pStyle w:val="24"/>
                    <w:keepNext w:val="0"/>
                    <w:keepLines w:val="0"/>
                    <w:pageBreakBefore w:val="0"/>
                    <w:kinsoku/>
                    <w:wordWrap/>
                    <w:overflowPunct/>
                    <w:topLinePunct w:val="0"/>
                    <w:bidi w:val="0"/>
                    <w:spacing w:line="240" w:lineRule="auto"/>
                    <w:jc w:val="center"/>
                    <w:rPr>
                      <w:rFonts w:ascii="Times New Roman" w:hAnsi="Times New Roman" w:eastAsia="宋体"/>
                      <w:b/>
                      <w:bCs/>
                      <w:sz w:val="18"/>
                      <w:szCs w:val="18"/>
                    </w:rPr>
                  </w:pPr>
                </w:p>
              </w:tc>
              <w:tc>
                <w:tcPr>
                  <w:tcW w:w="305" w:type="pct"/>
                  <w:vMerge w:val="continue"/>
                  <w:shd w:val="clear" w:color="auto" w:fill="FFFFFF"/>
                  <w:vAlign w:val="center"/>
                </w:tcPr>
                <w:p w14:paraId="27B76CF0">
                  <w:pPr>
                    <w:pStyle w:val="24"/>
                    <w:keepNext w:val="0"/>
                    <w:keepLines w:val="0"/>
                    <w:pageBreakBefore w:val="0"/>
                    <w:kinsoku/>
                    <w:wordWrap/>
                    <w:overflowPunct/>
                    <w:topLinePunct w:val="0"/>
                    <w:bidi w:val="0"/>
                    <w:spacing w:line="240" w:lineRule="auto"/>
                    <w:jc w:val="center"/>
                    <w:rPr>
                      <w:rFonts w:ascii="Times New Roman" w:hAnsi="Times New Roman" w:eastAsia="宋体"/>
                      <w:b/>
                      <w:bCs/>
                      <w:sz w:val="18"/>
                      <w:szCs w:val="18"/>
                    </w:rPr>
                  </w:pPr>
                </w:p>
              </w:tc>
              <w:tc>
                <w:tcPr>
                  <w:tcW w:w="232" w:type="pct"/>
                  <w:vMerge w:val="continue"/>
                  <w:shd w:val="clear" w:color="auto" w:fill="FFFFFF"/>
                  <w:vAlign w:val="center"/>
                </w:tcPr>
                <w:p w14:paraId="64068D35">
                  <w:pPr>
                    <w:pStyle w:val="24"/>
                    <w:keepNext w:val="0"/>
                    <w:keepLines w:val="0"/>
                    <w:pageBreakBefore w:val="0"/>
                    <w:kinsoku/>
                    <w:wordWrap/>
                    <w:overflowPunct/>
                    <w:topLinePunct w:val="0"/>
                    <w:bidi w:val="0"/>
                    <w:spacing w:line="240" w:lineRule="auto"/>
                    <w:jc w:val="center"/>
                    <w:rPr>
                      <w:rFonts w:ascii="Times New Roman" w:hAnsi="Times New Roman" w:eastAsia="宋体"/>
                      <w:b/>
                      <w:bCs/>
                      <w:sz w:val="18"/>
                      <w:szCs w:val="18"/>
                    </w:rPr>
                  </w:pPr>
                </w:p>
              </w:tc>
              <w:tc>
                <w:tcPr>
                  <w:tcW w:w="358" w:type="pct"/>
                  <w:vMerge w:val="continue"/>
                  <w:shd w:val="clear" w:color="auto" w:fill="FFFFFF"/>
                  <w:vAlign w:val="center"/>
                </w:tcPr>
                <w:p w14:paraId="3158536D">
                  <w:pPr>
                    <w:pStyle w:val="24"/>
                    <w:keepNext w:val="0"/>
                    <w:keepLines w:val="0"/>
                    <w:pageBreakBefore w:val="0"/>
                    <w:kinsoku/>
                    <w:wordWrap/>
                    <w:overflowPunct/>
                    <w:topLinePunct w:val="0"/>
                    <w:bidi w:val="0"/>
                    <w:spacing w:line="240" w:lineRule="auto"/>
                    <w:jc w:val="center"/>
                    <w:rPr>
                      <w:rFonts w:ascii="Times New Roman" w:hAnsi="Times New Roman" w:eastAsia="宋体"/>
                      <w:b/>
                      <w:bCs/>
                      <w:sz w:val="18"/>
                      <w:szCs w:val="18"/>
                    </w:rPr>
                  </w:pPr>
                </w:p>
              </w:tc>
              <w:tc>
                <w:tcPr>
                  <w:tcW w:w="320" w:type="pct"/>
                  <w:shd w:val="clear" w:color="auto" w:fill="FFFFFF"/>
                  <w:vAlign w:val="center"/>
                </w:tcPr>
                <w:p w14:paraId="3A8FCDFE">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声压级/dB(A)</w:t>
                  </w:r>
                </w:p>
              </w:tc>
              <w:tc>
                <w:tcPr>
                  <w:tcW w:w="368" w:type="pct"/>
                  <w:shd w:val="clear" w:color="auto" w:fill="FFFFFF"/>
                  <w:vAlign w:val="center"/>
                </w:tcPr>
                <w:p w14:paraId="66EFDCC1">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建筑物外距离/m</w:t>
                  </w:r>
                </w:p>
              </w:tc>
              <w:tc>
                <w:tcPr>
                  <w:tcW w:w="288" w:type="pct"/>
                  <w:vMerge w:val="continue"/>
                  <w:shd w:val="clear" w:color="auto" w:fill="FFFFFF"/>
                  <w:vAlign w:val="center"/>
                </w:tcPr>
                <w:p w14:paraId="07A3D4F2">
                  <w:pPr>
                    <w:pStyle w:val="24"/>
                    <w:keepNext w:val="0"/>
                    <w:keepLines w:val="0"/>
                    <w:pageBreakBefore w:val="0"/>
                    <w:kinsoku/>
                    <w:wordWrap/>
                    <w:overflowPunct/>
                    <w:topLinePunct w:val="0"/>
                    <w:bidi w:val="0"/>
                    <w:spacing w:line="240" w:lineRule="auto"/>
                    <w:jc w:val="center"/>
                    <w:rPr>
                      <w:rFonts w:ascii="Times New Roman" w:hAnsi="Times New Roman" w:eastAsia="宋体"/>
                      <w:b/>
                      <w:bCs/>
                      <w:sz w:val="18"/>
                      <w:szCs w:val="18"/>
                    </w:rPr>
                  </w:pPr>
                </w:p>
              </w:tc>
            </w:tr>
            <w:tr w14:paraId="0A0135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 w:type="pct"/>
                  <w:shd w:val="clear" w:color="auto" w:fill="FFFFFF"/>
                  <w:vAlign w:val="center"/>
                </w:tcPr>
                <w:p w14:paraId="06D41B2C">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bookmarkStart w:id="9" w:name="OLE_LINK3" w:colFirst="4" w:colLast="4"/>
                  <w:bookmarkStart w:id="10" w:name="OLE_LINK4" w:colFirst="9" w:colLast="9"/>
                  <w:r>
                    <w:rPr>
                      <w:rFonts w:ascii="Times New Roman" w:hAnsi="Times New Roman" w:eastAsia="宋体"/>
                      <w:sz w:val="18"/>
                      <w:szCs w:val="18"/>
                    </w:rPr>
                    <w:t>1</w:t>
                  </w:r>
                </w:p>
              </w:tc>
              <w:tc>
                <w:tcPr>
                  <w:tcW w:w="257" w:type="pct"/>
                  <w:vMerge w:val="restart"/>
                  <w:shd w:val="clear" w:color="auto" w:fill="FFFFFF"/>
                  <w:vAlign w:val="center"/>
                </w:tcPr>
                <w:p w14:paraId="356884BD">
                  <w:pPr>
                    <w:pStyle w:val="24"/>
                    <w:keepNext w:val="0"/>
                    <w:keepLines w:val="0"/>
                    <w:pageBreakBefore w:val="0"/>
                    <w:kinsoku/>
                    <w:wordWrap/>
                    <w:overflowPunct/>
                    <w:topLinePunct w:val="0"/>
                    <w:bidi w:val="0"/>
                    <w:spacing w:line="240" w:lineRule="auto"/>
                    <w:jc w:val="center"/>
                    <w:rPr>
                      <w:rFonts w:hint="eastAsia" w:ascii="Times New Roman" w:hAnsi="Times New Roman" w:eastAsia="宋体"/>
                      <w:sz w:val="18"/>
                      <w:szCs w:val="18"/>
                      <w:lang w:eastAsia="zh-CN"/>
                    </w:rPr>
                  </w:pPr>
                  <w:r>
                    <w:rPr>
                      <w:rFonts w:hint="eastAsia" w:ascii="Times New Roman" w:hAnsi="Times New Roman" w:eastAsia="宋体"/>
                      <w:sz w:val="18"/>
                      <w:szCs w:val="18"/>
                      <w:lang w:eastAsia="zh-CN"/>
                    </w:rPr>
                    <w:t>挤出车间</w:t>
                  </w:r>
                </w:p>
              </w:tc>
              <w:tc>
                <w:tcPr>
                  <w:tcW w:w="477" w:type="pct"/>
                  <w:shd w:val="clear" w:color="auto" w:fill="FFFFFF"/>
                  <w:vAlign w:val="center"/>
                </w:tcPr>
                <w:p w14:paraId="2BE92C4B">
                  <w:pPr>
                    <w:keepNext w:val="0"/>
                    <w:keepLines w:val="0"/>
                    <w:pageBreakBefore w:val="0"/>
                    <w:kinsoku/>
                    <w:wordWrap/>
                    <w:overflowPunct/>
                    <w:topLinePunct w:val="0"/>
                    <w:autoSpaceDE w:val="0"/>
                    <w:autoSpaceDN w:val="0"/>
                    <w:bidi w:val="0"/>
                    <w:spacing w:line="240" w:lineRule="auto"/>
                    <w:jc w:val="center"/>
                    <w:textAlignment w:val="bottom"/>
                    <w:rPr>
                      <w:rFonts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双螺杆挤出机</w:t>
                  </w:r>
                </w:p>
              </w:tc>
              <w:tc>
                <w:tcPr>
                  <w:tcW w:w="170" w:type="pct"/>
                  <w:shd w:val="clear" w:color="auto" w:fill="FFFFFF"/>
                  <w:vAlign w:val="center"/>
                </w:tcPr>
                <w:p w14:paraId="6B35B618">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spacing w:val="-10"/>
                      <w:kern w:val="0"/>
                      <w:sz w:val="18"/>
                      <w:szCs w:val="18"/>
                      <w:lang w:val="en-US" w:eastAsia="zh-CN" w:bidi="ar-SA"/>
                    </w:rPr>
                  </w:pPr>
                  <w:r>
                    <w:rPr>
                      <w:rFonts w:hint="default" w:ascii="Times New Roman" w:hAnsi="Times New Roman" w:eastAsia="宋体" w:cs="Times New Roman"/>
                      <w:color w:val="000000"/>
                      <w:spacing w:val="-10"/>
                      <w:kern w:val="0"/>
                      <w:sz w:val="18"/>
                      <w:szCs w:val="18"/>
                      <w:lang w:val="en-US" w:eastAsia="zh-CN" w:bidi="ar-SA"/>
                    </w:rPr>
                    <w:t>1</w:t>
                  </w:r>
                </w:p>
              </w:tc>
              <w:tc>
                <w:tcPr>
                  <w:tcW w:w="441" w:type="pct"/>
                  <w:shd w:val="clear" w:color="auto" w:fill="FFFFFF"/>
                  <w:vAlign w:val="center"/>
                </w:tcPr>
                <w:p w14:paraId="17328748">
                  <w:pPr>
                    <w:keepNext w:val="0"/>
                    <w:keepLines w:val="0"/>
                    <w:pageBreakBefore w:val="0"/>
                    <w:kinsoku/>
                    <w:wordWrap/>
                    <w:overflowPunct/>
                    <w:topLinePunct w:val="0"/>
                    <w:bidi w:val="0"/>
                    <w:spacing w:line="240" w:lineRule="auto"/>
                    <w:jc w:val="center"/>
                    <w:rPr>
                      <w:sz w:val="18"/>
                      <w:szCs w:val="18"/>
                    </w:rPr>
                  </w:pPr>
                  <w:r>
                    <w:rPr>
                      <w:sz w:val="18"/>
                      <w:szCs w:val="18"/>
                    </w:rPr>
                    <w:t>/</w:t>
                  </w:r>
                </w:p>
              </w:tc>
              <w:tc>
                <w:tcPr>
                  <w:tcW w:w="333" w:type="pct"/>
                  <w:shd w:val="clear" w:color="auto" w:fill="FFFFFF"/>
                  <w:vAlign w:val="center"/>
                </w:tcPr>
                <w:p w14:paraId="5140E0E7">
                  <w:pPr>
                    <w:keepNext w:val="0"/>
                    <w:keepLines w:val="0"/>
                    <w:pageBreakBefore w:val="0"/>
                    <w:kinsoku/>
                    <w:wordWrap/>
                    <w:overflowPunct/>
                    <w:topLinePunct w:val="0"/>
                    <w:bidi w:val="0"/>
                    <w:spacing w:line="240" w:lineRule="auto"/>
                    <w:jc w:val="center"/>
                    <w:rPr>
                      <w:sz w:val="18"/>
                      <w:szCs w:val="18"/>
                    </w:rPr>
                  </w:pPr>
                  <w:r>
                    <w:rPr>
                      <w:sz w:val="18"/>
                      <w:szCs w:val="18"/>
                    </w:rPr>
                    <w:t>80</w:t>
                  </w:r>
                </w:p>
              </w:tc>
              <w:tc>
                <w:tcPr>
                  <w:tcW w:w="214" w:type="pct"/>
                  <w:vMerge w:val="restart"/>
                  <w:shd w:val="clear" w:color="auto" w:fill="FFFFFF"/>
                  <w:vAlign w:val="center"/>
                </w:tcPr>
                <w:p w14:paraId="5A0CDAB3">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减震基础、软连接、隔声门窗</w:t>
                  </w:r>
                </w:p>
              </w:tc>
              <w:tc>
                <w:tcPr>
                  <w:tcW w:w="265" w:type="pct"/>
                  <w:shd w:val="clear" w:color="auto" w:fill="FFFFFF"/>
                  <w:vAlign w:val="center"/>
                </w:tcPr>
                <w:p w14:paraId="5ACC63A5">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20</w:t>
                  </w:r>
                </w:p>
              </w:tc>
              <w:tc>
                <w:tcPr>
                  <w:tcW w:w="270" w:type="pct"/>
                  <w:shd w:val="clear" w:color="auto" w:fill="FFFFFF"/>
                  <w:vAlign w:val="center"/>
                </w:tcPr>
                <w:p w14:paraId="7E7B33DE">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22</w:t>
                  </w:r>
                </w:p>
              </w:tc>
              <w:tc>
                <w:tcPr>
                  <w:tcW w:w="230" w:type="pct"/>
                  <w:shd w:val="clear" w:color="auto" w:fill="FFFFFF"/>
                  <w:vAlign w:val="center"/>
                </w:tcPr>
                <w:p w14:paraId="6B5E95B2">
                  <w:pPr>
                    <w:keepNext w:val="0"/>
                    <w:keepLines w:val="0"/>
                    <w:pageBreakBefore w:val="0"/>
                    <w:kinsoku/>
                    <w:wordWrap/>
                    <w:overflowPunct/>
                    <w:topLinePunct w:val="0"/>
                    <w:bidi w:val="0"/>
                    <w:spacing w:line="240" w:lineRule="auto"/>
                    <w:jc w:val="center"/>
                    <w:rPr>
                      <w:rFonts w:hint="eastAsia" w:eastAsia="宋体"/>
                      <w:sz w:val="18"/>
                      <w:szCs w:val="18"/>
                      <w:lang w:eastAsia="zh-CN"/>
                    </w:rPr>
                  </w:pPr>
                  <w:r>
                    <w:rPr>
                      <w:rFonts w:hint="eastAsia"/>
                      <w:sz w:val="18"/>
                      <w:szCs w:val="18"/>
                      <w:lang w:val="en-US" w:eastAsia="zh-CN"/>
                    </w:rPr>
                    <w:t>1</w:t>
                  </w:r>
                </w:p>
              </w:tc>
              <w:tc>
                <w:tcPr>
                  <w:tcW w:w="314" w:type="pct"/>
                  <w:shd w:val="clear" w:color="auto" w:fill="FFFFFF"/>
                  <w:vAlign w:val="center"/>
                </w:tcPr>
                <w:p w14:paraId="115E330B">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N8</w:t>
                  </w:r>
                </w:p>
              </w:tc>
              <w:tc>
                <w:tcPr>
                  <w:tcW w:w="305" w:type="pct"/>
                  <w:shd w:val="clear" w:color="auto" w:fill="FFFFFF"/>
                  <w:vAlign w:val="bottom"/>
                </w:tcPr>
                <w:p w14:paraId="400EDF86">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 xml:space="preserve">61.9 </w:t>
                  </w:r>
                </w:p>
              </w:tc>
              <w:tc>
                <w:tcPr>
                  <w:tcW w:w="232" w:type="pct"/>
                  <w:shd w:val="clear" w:color="auto" w:fill="FFFFFF"/>
                  <w:vAlign w:val="center"/>
                </w:tcPr>
                <w:p w14:paraId="4FE54103">
                  <w:pPr>
                    <w:keepNext w:val="0"/>
                    <w:keepLines w:val="0"/>
                    <w:pageBreakBefore w:val="0"/>
                    <w:kinsoku/>
                    <w:wordWrap/>
                    <w:overflowPunct/>
                    <w:topLinePunct w:val="0"/>
                    <w:bidi w:val="0"/>
                    <w:spacing w:line="240" w:lineRule="auto"/>
                    <w:jc w:val="center"/>
                    <w:rPr>
                      <w:kern w:val="0"/>
                      <w:sz w:val="18"/>
                      <w:szCs w:val="18"/>
                    </w:rPr>
                  </w:pPr>
                  <w:r>
                    <w:rPr>
                      <w:kern w:val="0"/>
                      <w:sz w:val="18"/>
                      <w:szCs w:val="18"/>
                    </w:rPr>
                    <w:t>昼</w:t>
                  </w:r>
                </w:p>
              </w:tc>
              <w:tc>
                <w:tcPr>
                  <w:tcW w:w="358" w:type="pct"/>
                  <w:shd w:val="clear" w:color="auto" w:fill="FFFFFF"/>
                  <w:vAlign w:val="center"/>
                </w:tcPr>
                <w:p w14:paraId="1D1B1FC0">
                  <w:pPr>
                    <w:keepNext w:val="0"/>
                    <w:keepLines w:val="0"/>
                    <w:pageBreakBefore w:val="0"/>
                    <w:kinsoku/>
                    <w:wordWrap/>
                    <w:overflowPunct/>
                    <w:topLinePunct w:val="0"/>
                    <w:bidi w:val="0"/>
                    <w:spacing w:line="240" w:lineRule="auto"/>
                    <w:jc w:val="center"/>
                    <w:rPr>
                      <w:kern w:val="0"/>
                      <w:sz w:val="18"/>
                      <w:szCs w:val="18"/>
                    </w:rPr>
                  </w:pPr>
                  <w:r>
                    <w:rPr>
                      <w:kern w:val="0"/>
                      <w:sz w:val="18"/>
                      <w:szCs w:val="18"/>
                    </w:rPr>
                    <w:t>20</w:t>
                  </w:r>
                </w:p>
              </w:tc>
              <w:tc>
                <w:tcPr>
                  <w:tcW w:w="320" w:type="pct"/>
                  <w:shd w:val="clear" w:color="auto" w:fill="FFFFFF"/>
                  <w:vAlign w:val="bottom"/>
                </w:tcPr>
                <w:p w14:paraId="66F8A64F">
                  <w:pPr>
                    <w:keepNext w:val="0"/>
                    <w:keepLines w:val="0"/>
                    <w:pageBreakBefore w:val="0"/>
                    <w:widowControl/>
                    <w:suppressLineNumbers w:val="0"/>
                    <w:kinsoku/>
                    <w:wordWrap/>
                    <w:overflowPunct/>
                    <w:topLinePunct w:val="0"/>
                    <w:bidi w:val="0"/>
                    <w:spacing w:line="240" w:lineRule="auto"/>
                    <w:jc w:val="center"/>
                    <w:textAlignment w:val="bottom"/>
                    <w:rPr>
                      <w:kern w:val="0"/>
                      <w:sz w:val="18"/>
                      <w:szCs w:val="18"/>
                    </w:rPr>
                  </w:pPr>
                  <w:r>
                    <w:rPr>
                      <w:rFonts w:hint="eastAsia" w:ascii="Times New Roman" w:hAnsi="Times New Roman" w:eastAsia="宋体" w:cs="Times New Roman"/>
                      <w:color w:val="000000"/>
                      <w:spacing w:val="-10"/>
                      <w:kern w:val="0"/>
                      <w:sz w:val="18"/>
                      <w:szCs w:val="18"/>
                      <w:lang w:val="en-US" w:eastAsia="zh-CN" w:bidi="ar-SA"/>
                    </w:rPr>
                    <w:t xml:space="preserve">41.9 </w:t>
                  </w:r>
                </w:p>
              </w:tc>
              <w:tc>
                <w:tcPr>
                  <w:tcW w:w="368" w:type="pct"/>
                  <w:shd w:val="clear" w:color="auto" w:fill="FFFFFF"/>
                  <w:vAlign w:val="center"/>
                </w:tcPr>
                <w:p w14:paraId="4AC2C9BA">
                  <w:pPr>
                    <w:keepNext w:val="0"/>
                    <w:keepLines w:val="0"/>
                    <w:pageBreakBefore w:val="0"/>
                    <w:kinsoku/>
                    <w:wordWrap/>
                    <w:overflowPunct/>
                    <w:topLinePunct w:val="0"/>
                    <w:bidi w:val="0"/>
                    <w:spacing w:line="240" w:lineRule="auto"/>
                    <w:jc w:val="center"/>
                    <w:rPr>
                      <w:sz w:val="18"/>
                      <w:szCs w:val="18"/>
                    </w:rPr>
                  </w:pPr>
                  <w:r>
                    <w:rPr>
                      <w:sz w:val="18"/>
                      <w:szCs w:val="18"/>
                    </w:rPr>
                    <w:t>1</w:t>
                  </w:r>
                </w:p>
              </w:tc>
              <w:tc>
                <w:tcPr>
                  <w:tcW w:w="288" w:type="pct"/>
                  <w:vMerge w:val="restart"/>
                  <w:shd w:val="clear" w:color="auto" w:fill="FFFFFF"/>
                  <w:vAlign w:val="center"/>
                </w:tcPr>
                <w:p w14:paraId="37575C89">
                  <w:pPr>
                    <w:keepNext w:val="0"/>
                    <w:keepLines w:val="0"/>
                    <w:pageBreakBefore w:val="0"/>
                    <w:kinsoku/>
                    <w:wordWrap/>
                    <w:overflowPunct/>
                    <w:topLinePunct w:val="0"/>
                    <w:bidi w:val="0"/>
                    <w:spacing w:line="240" w:lineRule="auto"/>
                    <w:jc w:val="center"/>
                    <w:rPr>
                      <w:sz w:val="18"/>
                      <w:szCs w:val="18"/>
                    </w:rPr>
                  </w:pPr>
                  <w:r>
                    <w:rPr>
                      <w:rFonts w:hint="eastAsia"/>
                      <w:sz w:val="18"/>
                      <w:szCs w:val="18"/>
                      <w:lang w:val="en-US" w:eastAsia="zh-CN"/>
                    </w:rPr>
                    <w:t>2400</w:t>
                  </w:r>
                  <w:r>
                    <w:rPr>
                      <w:sz w:val="18"/>
                      <w:szCs w:val="18"/>
                    </w:rPr>
                    <w:t>h/a</w:t>
                  </w:r>
                </w:p>
              </w:tc>
            </w:tr>
            <w:tr w14:paraId="0588EA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51" w:type="pct"/>
                  <w:shd w:val="clear" w:color="auto" w:fill="FFFFFF"/>
                  <w:vAlign w:val="center"/>
                </w:tcPr>
                <w:p w14:paraId="1497918D">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ascii="Times New Roman" w:hAnsi="Times New Roman" w:eastAsia="宋体"/>
                      <w:sz w:val="18"/>
                      <w:szCs w:val="18"/>
                    </w:rPr>
                    <w:t>2</w:t>
                  </w:r>
                </w:p>
              </w:tc>
              <w:tc>
                <w:tcPr>
                  <w:tcW w:w="257" w:type="pct"/>
                  <w:vMerge w:val="continue"/>
                  <w:shd w:val="clear" w:color="auto" w:fill="FFFFFF"/>
                  <w:vAlign w:val="center"/>
                </w:tcPr>
                <w:p w14:paraId="2F7729B6">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477" w:type="pct"/>
                  <w:shd w:val="clear" w:color="auto" w:fill="FFFFFF"/>
                  <w:vAlign w:val="center"/>
                </w:tcPr>
                <w:p w14:paraId="47CFFCB5">
                  <w:pPr>
                    <w:keepNext w:val="0"/>
                    <w:keepLines w:val="0"/>
                    <w:pageBreakBefore w:val="0"/>
                    <w:kinsoku/>
                    <w:wordWrap/>
                    <w:overflowPunct/>
                    <w:topLinePunct w:val="0"/>
                    <w:autoSpaceDE w:val="0"/>
                    <w:autoSpaceDN w:val="0"/>
                    <w:bidi w:val="0"/>
                    <w:spacing w:line="240" w:lineRule="auto"/>
                    <w:jc w:val="center"/>
                    <w:textAlignment w:val="bottom"/>
                    <w:rPr>
                      <w:rFonts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双螺杆挤出机</w:t>
                  </w:r>
                </w:p>
              </w:tc>
              <w:tc>
                <w:tcPr>
                  <w:tcW w:w="170" w:type="pct"/>
                  <w:shd w:val="clear" w:color="auto" w:fill="FFFFFF"/>
                  <w:vAlign w:val="center"/>
                </w:tcPr>
                <w:p w14:paraId="03366C33">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spacing w:val="-10"/>
                      <w:kern w:val="0"/>
                      <w:sz w:val="18"/>
                      <w:szCs w:val="18"/>
                      <w:lang w:val="en-US" w:eastAsia="zh-CN" w:bidi="ar-SA"/>
                    </w:rPr>
                  </w:pPr>
                  <w:r>
                    <w:rPr>
                      <w:rFonts w:hint="default" w:ascii="Times New Roman" w:hAnsi="Times New Roman" w:eastAsia="宋体" w:cs="Times New Roman"/>
                      <w:color w:val="000000"/>
                      <w:spacing w:val="-10"/>
                      <w:kern w:val="0"/>
                      <w:sz w:val="18"/>
                      <w:szCs w:val="18"/>
                      <w:lang w:val="en-US" w:eastAsia="zh-CN" w:bidi="ar-SA"/>
                    </w:rPr>
                    <w:t>1</w:t>
                  </w:r>
                </w:p>
              </w:tc>
              <w:tc>
                <w:tcPr>
                  <w:tcW w:w="441" w:type="pct"/>
                  <w:shd w:val="clear" w:color="auto" w:fill="FFFFFF"/>
                  <w:vAlign w:val="center"/>
                </w:tcPr>
                <w:p w14:paraId="7CC1468F">
                  <w:pPr>
                    <w:keepNext w:val="0"/>
                    <w:keepLines w:val="0"/>
                    <w:pageBreakBefore w:val="0"/>
                    <w:kinsoku/>
                    <w:wordWrap/>
                    <w:overflowPunct/>
                    <w:topLinePunct w:val="0"/>
                    <w:bidi w:val="0"/>
                    <w:spacing w:line="240" w:lineRule="auto"/>
                    <w:jc w:val="center"/>
                    <w:rPr>
                      <w:sz w:val="18"/>
                      <w:szCs w:val="18"/>
                    </w:rPr>
                  </w:pPr>
                  <w:r>
                    <w:rPr>
                      <w:sz w:val="18"/>
                      <w:szCs w:val="18"/>
                    </w:rPr>
                    <w:t>/</w:t>
                  </w:r>
                </w:p>
              </w:tc>
              <w:tc>
                <w:tcPr>
                  <w:tcW w:w="333" w:type="pct"/>
                  <w:shd w:val="clear" w:color="auto" w:fill="FFFFFF"/>
                  <w:vAlign w:val="center"/>
                </w:tcPr>
                <w:p w14:paraId="49CDC0A9">
                  <w:pPr>
                    <w:keepNext w:val="0"/>
                    <w:keepLines w:val="0"/>
                    <w:pageBreakBefore w:val="0"/>
                    <w:kinsoku/>
                    <w:wordWrap/>
                    <w:overflowPunct/>
                    <w:topLinePunct w:val="0"/>
                    <w:bidi w:val="0"/>
                    <w:spacing w:line="240" w:lineRule="auto"/>
                    <w:jc w:val="center"/>
                    <w:rPr>
                      <w:sz w:val="18"/>
                      <w:szCs w:val="18"/>
                    </w:rPr>
                  </w:pPr>
                  <w:r>
                    <w:rPr>
                      <w:sz w:val="18"/>
                      <w:szCs w:val="18"/>
                    </w:rPr>
                    <w:t>80</w:t>
                  </w:r>
                </w:p>
              </w:tc>
              <w:tc>
                <w:tcPr>
                  <w:tcW w:w="214" w:type="pct"/>
                  <w:vMerge w:val="continue"/>
                  <w:shd w:val="clear" w:color="auto" w:fill="FFFFFF"/>
                  <w:vAlign w:val="center"/>
                </w:tcPr>
                <w:p w14:paraId="3E1BD327">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265" w:type="pct"/>
                  <w:shd w:val="clear" w:color="auto" w:fill="FFFFFF"/>
                  <w:vAlign w:val="center"/>
                </w:tcPr>
                <w:p w14:paraId="6985961C">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21</w:t>
                  </w:r>
                </w:p>
              </w:tc>
              <w:tc>
                <w:tcPr>
                  <w:tcW w:w="270" w:type="pct"/>
                  <w:shd w:val="clear" w:color="auto" w:fill="FFFFFF"/>
                  <w:vAlign w:val="center"/>
                </w:tcPr>
                <w:p w14:paraId="4C366404">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20</w:t>
                  </w:r>
                </w:p>
              </w:tc>
              <w:tc>
                <w:tcPr>
                  <w:tcW w:w="230" w:type="pct"/>
                  <w:shd w:val="clear" w:color="auto" w:fill="FFFFFF"/>
                  <w:vAlign w:val="center"/>
                </w:tcPr>
                <w:p w14:paraId="60E4C930">
                  <w:pPr>
                    <w:keepNext w:val="0"/>
                    <w:keepLines w:val="0"/>
                    <w:pageBreakBefore w:val="0"/>
                    <w:kinsoku/>
                    <w:wordWrap/>
                    <w:overflowPunct/>
                    <w:topLinePunct w:val="0"/>
                    <w:bidi w:val="0"/>
                    <w:spacing w:line="240" w:lineRule="auto"/>
                    <w:jc w:val="center"/>
                    <w:rPr>
                      <w:sz w:val="18"/>
                      <w:szCs w:val="18"/>
                    </w:rPr>
                  </w:pPr>
                  <w:r>
                    <w:rPr>
                      <w:rFonts w:hint="eastAsia"/>
                      <w:sz w:val="18"/>
                      <w:szCs w:val="18"/>
                      <w:lang w:val="en-US" w:eastAsia="zh-CN"/>
                    </w:rPr>
                    <w:t>1</w:t>
                  </w:r>
                </w:p>
              </w:tc>
              <w:tc>
                <w:tcPr>
                  <w:tcW w:w="314" w:type="pct"/>
                  <w:shd w:val="clear" w:color="auto" w:fill="FFFFFF"/>
                  <w:vAlign w:val="center"/>
                </w:tcPr>
                <w:p w14:paraId="07764E2B">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N10</w:t>
                  </w:r>
                </w:p>
              </w:tc>
              <w:tc>
                <w:tcPr>
                  <w:tcW w:w="305" w:type="pct"/>
                  <w:shd w:val="clear" w:color="auto" w:fill="FFFFFF"/>
                  <w:vAlign w:val="bottom"/>
                </w:tcPr>
                <w:p w14:paraId="756F7299">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 xml:space="preserve">60.0 </w:t>
                  </w:r>
                </w:p>
              </w:tc>
              <w:tc>
                <w:tcPr>
                  <w:tcW w:w="232" w:type="pct"/>
                  <w:shd w:val="clear" w:color="auto" w:fill="FFFFFF"/>
                  <w:vAlign w:val="center"/>
                </w:tcPr>
                <w:p w14:paraId="029F3A86">
                  <w:pPr>
                    <w:keepNext w:val="0"/>
                    <w:keepLines w:val="0"/>
                    <w:pageBreakBefore w:val="0"/>
                    <w:kinsoku/>
                    <w:wordWrap/>
                    <w:overflowPunct/>
                    <w:topLinePunct w:val="0"/>
                    <w:bidi w:val="0"/>
                    <w:spacing w:line="240" w:lineRule="auto"/>
                    <w:jc w:val="center"/>
                    <w:rPr>
                      <w:kern w:val="0"/>
                      <w:sz w:val="18"/>
                      <w:szCs w:val="18"/>
                    </w:rPr>
                  </w:pPr>
                  <w:r>
                    <w:rPr>
                      <w:kern w:val="0"/>
                      <w:sz w:val="18"/>
                      <w:szCs w:val="18"/>
                    </w:rPr>
                    <w:t>昼</w:t>
                  </w:r>
                </w:p>
              </w:tc>
              <w:tc>
                <w:tcPr>
                  <w:tcW w:w="358" w:type="pct"/>
                  <w:shd w:val="clear" w:color="auto" w:fill="FFFFFF"/>
                  <w:vAlign w:val="center"/>
                </w:tcPr>
                <w:p w14:paraId="4ABC8B06">
                  <w:pPr>
                    <w:keepNext w:val="0"/>
                    <w:keepLines w:val="0"/>
                    <w:pageBreakBefore w:val="0"/>
                    <w:kinsoku/>
                    <w:wordWrap/>
                    <w:overflowPunct/>
                    <w:topLinePunct w:val="0"/>
                    <w:bidi w:val="0"/>
                    <w:spacing w:line="240" w:lineRule="auto"/>
                    <w:jc w:val="center"/>
                    <w:rPr>
                      <w:kern w:val="0"/>
                      <w:sz w:val="18"/>
                      <w:szCs w:val="18"/>
                    </w:rPr>
                  </w:pPr>
                  <w:r>
                    <w:rPr>
                      <w:kern w:val="0"/>
                      <w:sz w:val="18"/>
                      <w:szCs w:val="18"/>
                    </w:rPr>
                    <w:t>20</w:t>
                  </w:r>
                </w:p>
              </w:tc>
              <w:tc>
                <w:tcPr>
                  <w:tcW w:w="320" w:type="pct"/>
                  <w:shd w:val="clear" w:color="auto" w:fill="FFFFFF"/>
                  <w:vAlign w:val="bottom"/>
                </w:tcPr>
                <w:p w14:paraId="01ADC7CF">
                  <w:pPr>
                    <w:keepNext w:val="0"/>
                    <w:keepLines w:val="0"/>
                    <w:pageBreakBefore w:val="0"/>
                    <w:widowControl/>
                    <w:suppressLineNumbers w:val="0"/>
                    <w:kinsoku/>
                    <w:wordWrap/>
                    <w:overflowPunct/>
                    <w:topLinePunct w:val="0"/>
                    <w:bidi w:val="0"/>
                    <w:spacing w:line="240" w:lineRule="auto"/>
                    <w:jc w:val="center"/>
                    <w:textAlignment w:val="bottom"/>
                    <w:rPr>
                      <w:kern w:val="0"/>
                      <w:sz w:val="18"/>
                      <w:szCs w:val="18"/>
                    </w:rPr>
                  </w:pPr>
                  <w:r>
                    <w:rPr>
                      <w:rFonts w:hint="eastAsia" w:ascii="Times New Roman" w:hAnsi="Times New Roman" w:eastAsia="宋体" w:cs="Times New Roman"/>
                      <w:color w:val="000000"/>
                      <w:spacing w:val="-10"/>
                      <w:kern w:val="0"/>
                      <w:sz w:val="18"/>
                      <w:szCs w:val="18"/>
                      <w:lang w:val="en-US" w:eastAsia="zh-CN" w:bidi="ar-SA"/>
                    </w:rPr>
                    <w:t xml:space="preserve">40.0 </w:t>
                  </w:r>
                </w:p>
              </w:tc>
              <w:tc>
                <w:tcPr>
                  <w:tcW w:w="368" w:type="pct"/>
                  <w:shd w:val="clear" w:color="auto" w:fill="FFFFFF"/>
                  <w:vAlign w:val="center"/>
                </w:tcPr>
                <w:p w14:paraId="250EAB19">
                  <w:pPr>
                    <w:keepNext w:val="0"/>
                    <w:keepLines w:val="0"/>
                    <w:pageBreakBefore w:val="0"/>
                    <w:kinsoku/>
                    <w:wordWrap/>
                    <w:overflowPunct/>
                    <w:topLinePunct w:val="0"/>
                    <w:bidi w:val="0"/>
                    <w:spacing w:line="240" w:lineRule="auto"/>
                    <w:jc w:val="center"/>
                    <w:rPr>
                      <w:sz w:val="18"/>
                      <w:szCs w:val="18"/>
                    </w:rPr>
                  </w:pPr>
                  <w:r>
                    <w:rPr>
                      <w:sz w:val="18"/>
                      <w:szCs w:val="18"/>
                    </w:rPr>
                    <w:t>1</w:t>
                  </w:r>
                </w:p>
              </w:tc>
              <w:tc>
                <w:tcPr>
                  <w:tcW w:w="288" w:type="pct"/>
                  <w:vMerge w:val="continue"/>
                  <w:shd w:val="clear" w:color="auto" w:fill="FFFFFF"/>
                  <w:vAlign w:val="center"/>
                </w:tcPr>
                <w:p w14:paraId="7A2F1690">
                  <w:pPr>
                    <w:keepNext w:val="0"/>
                    <w:keepLines w:val="0"/>
                    <w:pageBreakBefore w:val="0"/>
                    <w:kinsoku/>
                    <w:wordWrap/>
                    <w:overflowPunct/>
                    <w:topLinePunct w:val="0"/>
                    <w:bidi w:val="0"/>
                    <w:spacing w:line="240" w:lineRule="auto"/>
                    <w:jc w:val="center"/>
                    <w:rPr>
                      <w:sz w:val="18"/>
                      <w:szCs w:val="18"/>
                    </w:rPr>
                  </w:pPr>
                </w:p>
              </w:tc>
            </w:tr>
            <w:tr w14:paraId="6CE267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 w:type="pct"/>
                  <w:shd w:val="clear" w:color="auto" w:fill="FFFFFF"/>
                  <w:vAlign w:val="center"/>
                </w:tcPr>
                <w:p w14:paraId="75CCBC1E">
                  <w:pPr>
                    <w:pStyle w:val="24"/>
                    <w:keepNext w:val="0"/>
                    <w:keepLines w:val="0"/>
                    <w:pageBreakBefore w:val="0"/>
                    <w:kinsoku/>
                    <w:wordWrap/>
                    <w:overflowPunct/>
                    <w:topLinePunct w:val="0"/>
                    <w:bidi w:val="0"/>
                    <w:spacing w:line="240" w:lineRule="auto"/>
                    <w:jc w:val="center"/>
                    <w:rPr>
                      <w:rFonts w:hint="eastAsia" w:ascii="Times New Roman" w:hAnsi="Times New Roman" w:eastAsia="宋体"/>
                      <w:sz w:val="18"/>
                      <w:szCs w:val="18"/>
                      <w:lang w:val="en-US" w:eastAsia="zh-CN"/>
                    </w:rPr>
                  </w:pPr>
                  <w:r>
                    <w:rPr>
                      <w:rFonts w:hint="eastAsia" w:ascii="Times New Roman" w:hAnsi="Times New Roman" w:eastAsia="宋体"/>
                      <w:sz w:val="18"/>
                      <w:szCs w:val="18"/>
                      <w:lang w:val="en-US" w:eastAsia="zh-CN"/>
                    </w:rPr>
                    <w:t>3</w:t>
                  </w:r>
                </w:p>
              </w:tc>
              <w:tc>
                <w:tcPr>
                  <w:tcW w:w="257" w:type="pct"/>
                  <w:vMerge w:val="continue"/>
                  <w:shd w:val="clear" w:color="auto" w:fill="FFFFFF"/>
                  <w:vAlign w:val="center"/>
                </w:tcPr>
                <w:p w14:paraId="6A14F422">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477" w:type="pct"/>
                  <w:shd w:val="clear" w:color="auto" w:fill="FFFFFF"/>
                  <w:vAlign w:val="center"/>
                </w:tcPr>
                <w:p w14:paraId="71AB374B">
                  <w:pPr>
                    <w:keepNext w:val="0"/>
                    <w:keepLines w:val="0"/>
                    <w:pageBreakBefore w:val="0"/>
                    <w:kinsoku/>
                    <w:wordWrap/>
                    <w:overflowPunct/>
                    <w:topLinePunct w:val="0"/>
                    <w:autoSpaceDE w:val="0"/>
                    <w:autoSpaceDN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双螺杆挤出机</w:t>
                  </w:r>
                </w:p>
              </w:tc>
              <w:tc>
                <w:tcPr>
                  <w:tcW w:w="170" w:type="pct"/>
                  <w:shd w:val="clear" w:color="auto" w:fill="FFFFFF"/>
                  <w:vAlign w:val="center"/>
                </w:tcPr>
                <w:p w14:paraId="5237FEC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pacing w:val="-10"/>
                      <w:kern w:val="0"/>
                      <w:sz w:val="18"/>
                      <w:szCs w:val="18"/>
                      <w:lang w:val="en-US" w:eastAsia="zh-CN" w:bidi="ar-SA"/>
                    </w:rPr>
                  </w:pPr>
                  <w:r>
                    <w:rPr>
                      <w:rFonts w:hint="eastAsia" w:cs="Times New Roman"/>
                      <w:color w:val="000000"/>
                      <w:spacing w:val="-10"/>
                      <w:kern w:val="0"/>
                      <w:sz w:val="18"/>
                      <w:szCs w:val="18"/>
                      <w:lang w:val="en-US" w:eastAsia="zh-CN" w:bidi="ar-SA"/>
                    </w:rPr>
                    <w:t>1</w:t>
                  </w:r>
                </w:p>
              </w:tc>
              <w:tc>
                <w:tcPr>
                  <w:tcW w:w="441" w:type="pct"/>
                  <w:shd w:val="clear" w:color="auto" w:fill="FFFFFF"/>
                  <w:vAlign w:val="center"/>
                </w:tcPr>
                <w:p w14:paraId="16DD9D24">
                  <w:pPr>
                    <w:keepNext w:val="0"/>
                    <w:keepLines w:val="0"/>
                    <w:pageBreakBefore w:val="0"/>
                    <w:kinsoku/>
                    <w:wordWrap/>
                    <w:overflowPunct/>
                    <w:topLinePunct w:val="0"/>
                    <w:bidi w:val="0"/>
                    <w:spacing w:line="240" w:lineRule="auto"/>
                    <w:jc w:val="center"/>
                    <w:rPr>
                      <w:sz w:val="18"/>
                      <w:szCs w:val="18"/>
                    </w:rPr>
                  </w:pPr>
                </w:p>
              </w:tc>
              <w:tc>
                <w:tcPr>
                  <w:tcW w:w="333" w:type="pct"/>
                  <w:shd w:val="clear" w:color="auto" w:fill="FFFFFF"/>
                  <w:vAlign w:val="center"/>
                </w:tcPr>
                <w:p w14:paraId="58E35D2A">
                  <w:pPr>
                    <w:keepNext w:val="0"/>
                    <w:keepLines w:val="0"/>
                    <w:pageBreakBefore w:val="0"/>
                    <w:kinsoku/>
                    <w:wordWrap/>
                    <w:overflowPunct/>
                    <w:topLinePunct w:val="0"/>
                    <w:bidi w:val="0"/>
                    <w:spacing w:line="240" w:lineRule="auto"/>
                    <w:jc w:val="center"/>
                    <w:rPr>
                      <w:rFonts w:hint="default" w:eastAsia="宋体"/>
                      <w:sz w:val="18"/>
                      <w:szCs w:val="18"/>
                      <w:lang w:val="en-US" w:eastAsia="zh-CN"/>
                    </w:rPr>
                  </w:pPr>
                  <w:r>
                    <w:rPr>
                      <w:rFonts w:hint="eastAsia"/>
                      <w:sz w:val="18"/>
                      <w:szCs w:val="18"/>
                      <w:lang w:val="en-US" w:eastAsia="zh-CN"/>
                    </w:rPr>
                    <w:t>80</w:t>
                  </w:r>
                </w:p>
              </w:tc>
              <w:tc>
                <w:tcPr>
                  <w:tcW w:w="214" w:type="pct"/>
                  <w:vMerge w:val="continue"/>
                  <w:shd w:val="clear" w:color="auto" w:fill="FFFFFF"/>
                  <w:vAlign w:val="center"/>
                </w:tcPr>
                <w:p w14:paraId="6E4BDFE7">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265" w:type="pct"/>
                  <w:shd w:val="clear" w:color="auto" w:fill="FFFFFF"/>
                  <w:vAlign w:val="center"/>
                </w:tcPr>
                <w:p w14:paraId="03693ABE">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30</w:t>
                  </w:r>
                </w:p>
              </w:tc>
              <w:tc>
                <w:tcPr>
                  <w:tcW w:w="270" w:type="pct"/>
                  <w:shd w:val="clear" w:color="auto" w:fill="FFFFFF"/>
                  <w:vAlign w:val="center"/>
                </w:tcPr>
                <w:p w14:paraId="4DE2AE77">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10</w:t>
                  </w:r>
                </w:p>
              </w:tc>
              <w:tc>
                <w:tcPr>
                  <w:tcW w:w="230" w:type="pct"/>
                  <w:shd w:val="clear" w:color="auto" w:fill="FFFFFF"/>
                  <w:vAlign w:val="center"/>
                </w:tcPr>
                <w:p w14:paraId="403B9C36">
                  <w:pPr>
                    <w:keepNext w:val="0"/>
                    <w:keepLines w:val="0"/>
                    <w:pageBreakBefore w:val="0"/>
                    <w:kinsoku/>
                    <w:wordWrap/>
                    <w:overflowPunct/>
                    <w:topLinePunct w:val="0"/>
                    <w:bidi w:val="0"/>
                    <w:spacing w:line="240" w:lineRule="auto"/>
                    <w:jc w:val="center"/>
                    <w:rPr>
                      <w:rFonts w:hint="default"/>
                      <w:sz w:val="18"/>
                      <w:szCs w:val="18"/>
                      <w:lang w:val="en-US" w:eastAsia="zh-CN"/>
                    </w:rPr>
                  </w:pPr>
                  <w:r>
                    <w:rPr>
                      <w:rFonts w:hint="eastAsia"/>
                      <w:sz w:val="18"/>
                      <w:szCs w:val="18"/>
                      <w:lang w:val="en-US" w:eastAsia="zh-CN"/>
                    </w:rPr>
                    <w:t>1</w:t>
                  </w:r>
                </w:p>
              </w:tc>
              <w:tc>
                <w:tcPr>
                  <w:tcW w:w="314" w:type="pct"/>
                  <w:shd w:val="clear" w:color="auto" w:fill="FFFFFF"/>
                  <w:vAlign w:val="center"/>
                </w:tcPr>
                <w:p w14:paraId="25FA120C">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N20</w:t>
                  </w:r>
                </w:p>
              </w:tc>
              <w:tc>
                <w:tcPr>
                  <w:tcW w:w="305" w:type="pct"/>
                  <w:shd w:val="clear" w:color="auto" w:fill="FFFFFF"/>
                  <w:vAlign w:val="bottom"/>
                </w:tcPr>
                <w:p w14:paraId="137F2CF3">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 xml:space="preserve">54.0 </w:t>
                  </w:r>
                </w:p>
              </w:tc>
              <w:tc>
                <w:tcPr>
                  <w:tcW w:w="232" w:type="pct"/>
                  <w:shd w:val="clear" w:color="auto" w:fill="FFFFFF"/>
                  <w:vAlign w:val="center"/>
                </w:tcPr>
                <w:p w14:paraId="35F3B466">
                  <w:pPr>
                    <w:keepNext w:val="0"/>
                    <w:keepLines w:val="0"/>
                    <w:pageBreakBefore w:val="0"/>
                    <w:kinsoku/>
                    <w:wordWrap/>
                    <w:overflowPunct/>
                    <w:topLinePunct w:val="0"/>
                    <w:bidi w:val="0"/>
                    <w:spacing w:line="240" w:lineRule="auto"/>
                    <w:jc w:val="center"/>
                    <w:rPr>
                      <w:kern w:val="0"/>
                      <w:sz w:val="18"/>
                      <w:szCs w:val="18"/>
                    </w:rPr>
                  </w:pPr>
                  <w:r>
                    <w:rPr>
                      <w:kern w:val="0"/>
                      <w:sz w:val="18"/>
                      <w:szCs w:val="18"/>
                    </w:rPr>
                    <w:t>昼</w:t>
                  </w:r>
                </w:p>
              </w:tc>
              <w:tc>
                <w:tcPr>
                  <w:tcW w:w="358" w:type="pct"/>
                  <w:shd w:val="clear" w:color="auto" w:fill="FFFFFF"/>
                  <w:vAlign w:val="center"/>
                </w:tcPr>
                <w:p w14:paraId="76165D7A">
                  <w:pPr>
                    <w:keepNext w:val="0"/>
                    <w:keepLines w:val="0"/>
                    <w:pageBreakBefore w:val="0"/>
                    <w:kinsoku/>
                    <w:wordWrap/>
                    <w:overflowPunct/>
                    <w:topLinePunct w:val="0"/>
                    <w:bidi w:val="0"/>
                    <w:spacing w:line="240" w:lineRule="auto"/>
                    <w:jc w:val="center"/>
                    <w:rPr>
                      <w:rFonts w:hint="default" w:eastAsia="宋体"/>
                      <w:kern w:val="0"/>
                      <w:sz w:val="18"/>
                      <w:szCs w:val="18"/>
                      <w:lang w:val="en-US" w:eastAsia="zh-CN"/>
                    </w:rPr>
                  </w:pPr>
                  <w:r>
                    <w:rPr>
                      <w:rFonts w:hint="eastAsia"/>
                      <w:kern w:val="0"/>
                      <w:sz w:val="18"/>
                      <w:szCs w:val="18"/>
                      <w:lang w:val="en-US" w:eastAsia="zh-CN"/>
                    </w:rPr>
                    <w:t>20</w:t>
                  </w:r>
                </w:p>
              </w:tc>
              <w:tc>
                <w:tcPr>
                  <w:tcW w:w="320" w:type="pct"/>
                  <w:shd w:val="clear" w:color="auto" w:fill="FFFFFF"/>
                  <w:vAlign w:val="bottom"/>
                </w:tcPr>
                <w:p w14:paraId="5CEE07C0">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color w:val="000000"/>
                      <w:spacing w:val="-10"/>
                      <w:kern w:val="0"/>
                      <w:sz w:val="18"/>
                      <w:szCs w:val="18"/>
                      <w:lang w:val="en-US" w:eastAsia="zh-CN" w:bidi="ar-SA"/>
                    </w:rPr>
                    <w:t xml:space="preserve">34.0 </w:t>
                  </w:r>
                </w:p>
              </w:tc>
              <w:tc>
                <w:tcPr>
                  <w:tcW w:w="368" w:type="pct"/>
                  <w:shd w:val="clear" w:color="auto" w:fill="FFFFFF"/>
                  <w:vAlign w:val="center"/>
                </w:tcPr>
                <w:p w14:paraId="0A32E1F1">
                  <w:pPr>
                    <w:keepNext w:val="0"/>
                    <w:keepLines w:val="0"/>
                    <w:pageBreakBefore w:val="0"/>
                    <w:kinsoku/>
                    <w:wordWrap/>
                    <w:overflowPunct/>
                    <w:topLinePunct w:val="0"/>
                    <w:bidi w:val="0"/>
                    <w:spacing w:line="240" w:lineRule="auto"/>
                    <w:jc w:val="center"/>
                    <w:rPr>
                      <w:rFonts w:hint="eastAsia" w:eastAsia="宋体"/>
                      <w:sz w:val="18"/>
                      <w:szCs w:val="18"/>
                      <w:lang w:val="en-US" w:eastAsia="zh-CN"/>
                    </w:rPr>
                  </w:pPr>
                  <w:r>
                    <w:rPr>
                      <w:rFonts w:hint="eastAsia"/>
                      <w:sz w:val="18"/>
                      <w:szCs w:val="18"/>
                      <w:lang w:val="en-US" w:eastAsia="zh-CN"/>
                    </w:rPr>
                    <w:t>1</w:t>
                  </w:r>
                </w:p>
              </w:tc>
              <w:tc>
                <w:tcPr>
                  <w:tcW w:w="288" w:type="pct"/>
                  <w:vMerge w:val="continue"/>
                  <w:shd w:val="clear" w:color="auto" w:fill="FFFFFF"/>
                  <w:vAlign w:val="center"/>
                </w:tcPr>
                <w:p w14:paraId="6272085E">
                  <w:pPr>
                    <w:keepNext w:val="0"/>
                    <w:keepLines w:val="0"/>
                    <w:pageBreakBefore w:val="0"/>
                    <w:kinsoku/>
                    <w:wordWrap/>
                    <w:overflowPunct/>
                    <w:topLinePunct w:val="0"/>
                    <w:bidi w:val="0"/>
                    <w:spacing w:line="240" w:lineRule="auto"/>
                    <w:jc w:val="center"/>
                    <w:rPr>
                      <w:sz w:val="18"/>
                      <w:szCs w:val="18"/>
                    </w:rPr>
                  </w:pPr>
                </w:p>
              </w:tc>
            </w:tr>
            <w:tr w14:paraId="4B6B50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 w:type="pct"/>
                  <w:shd w:val="clear" w:color="auto" w:fill="FFFFFF"/>
                  <w:vAlign w:val="center"/>
                </w:tcPr>
                <w:p w14:paraId="6873E049">
                  <w:pPr>
                    <w:pStyle w:val="24"/>
                    <w:keepNext w:val="0"/>
                    <w:keepLines w:val="0"/>
                    <w:pageBreakBefore w:val="0"/>
                    <w:kinsoku/>
                    <w:wordWrap/>
                    <w:overflowPunct/>
                    <w:topLinePunct w:val="0"/>
                    <w:bidi w:val="0"/>
                    <w:spacing w:line="240" w:lineRule="auto"/>
                    <w:jc w:val="center"/>
                    <w:rPr>
                      <w:rFonts w:hint="eastAsia" w:ascii="Times New Roman" w:hAnsi="Times New Roman" w:eastAsia="宋体"/>
                      <w:sz w:val="18"/>
                      <w:szCs w:val="18"/>
                      <w:lang w:val="en-US" w:eastAsia="zh-CN"/>
                    </w:rPr>
                  </w:pPr>
                  <w:r>
                    <w:rPr>
                      <w:rFonts w:hint="eastAsia" w:ascii="Times New Roman" w:hAnsi="Times New Roman" w:eastAsia="宋体"/>
                      <w:sz w:val="18"/>
                      <w:szCs w:val="18"/>
                      <w:lang w:val="en-US" w:eastAsia="zh-CN"/>
                    </w:rPr>
                    <w:t>4</w:t>
                  </w:r>
                </w:p>
              </w:tc>
              <w:tc>
                <w:tcPr>
                  <w:tcW w:w="257" w:type="pct"/>
                  <w:vMerge w:val="continue"/>
                  <w:shd w:val="clear" w:color="auto" w:fill="FFFFFF"/>
                  <w:vAlign w:val="center"/>
                </w:tcPr>
                <w:p w14:paraId="36339428">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477" w:type="pct"/>
                  <w:shd w:val="clear" w:color="auto" w:fill="FFFFFF"/>
                  <w:vAlign w:val="center"/>
                </w:tcPr>
                <w:p w14:paraId="35EBEB49">
                  <w:pPr>
                    <w:keepNext w:val="0"/>
                    <w:keepLines w:val="0"/>
                    <w:pageBreakBefore w:val="0"/>
                    <w:kinsoku/>
                    <w:wordWrap/>
                    <w:overflowPunct/>
                    <w:topLinePunct w:val="0"/>
                    <w:autoSpaceDE w:val="0"/>
                    <w:autoSpaceDN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双螺杆挤出机</w:t>
                  </w:r>
                </w:p>
              </w:tc>
              <w:tc>
                <w:tcPr>
                  <w:tcW w:w="170" w:type="pct"/>
                  <w:shd w:val="clear" w:color="auto" w:fill="FFFFFF"/>
                  <w:vAlign w:val="center"/>
                </w:tcPr>
                <w:p w14:paraId="0E85CCC3">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pacing w:val="-10"/>
                      <w:kern w:val="0"/>
                      <w:sz w:val="18"/>
                      <w:szCs w:val="18"/>
                      <w:lang w:val="en-US" w:eastAsia="zh-CN" w:bidi="ar-SA"/>
                    </w:rPr>
                  </w:pPr>
                  <w:r>
                    <w:rPr>
                      <w:rFonts w:hint="eastAsia" w:cs="Times New Roman"/>
                      <w:color w:val="000000"/>
                      <w:spacing w:val="-10"/>
                      <w:kern w:val="0"/>
                      <w:sz w:val="18"/>
                      <w:szCs w:val="18"/>
                      <w:lang w:val="en-US" w:eastAsia="zh-CN" w:bidi="ar-SA"/>
                    </w:rPr>
                    <w:t>1</w:t>
                  </w:r>
                </w:p>
              </w:tc>
              <w:tc>
                <w:tcPr>
                  <w:tcW w:w="441" w:type="pct"/>
                  <w:shd w:val="clear" w:color="auto" w:fill="FFFFFF"/>
                  <w:vAlign w:val="center"/>
                </w:tcPr>
                <w:p w14:paraId="33D055F6">
                  <w:pPr>
                    <w:keepNext w:val="0"/>
                    <w:keepLines w:val="0"/>
                    <w:pageBreakBefore w:val="0"/>
                    <w:kinsoku/>
                    <w:wordWrap/>
                    <w:overflowPunct/>
                    <w:topLinePunct w:val="0"/>
                    <w:bidi w:val="0"/>
                    <w:spacing w:line="240" w:lineRule="auto"/>
                    <w:jc w:val="center"/>
                    <w:rPr>
                      <w:sz w:val="18"/>
                      <w:szCs w:val="18"/>
                    </w:rPr>
                  </w:pPr>
                </w:p>
              </w:tc>
              <w:tc>
                <w:tcPr>
                  <w:tcW w:w="333" w:type="pct"/>
                  <w:shd w:val="clear" w:color="auto" w:fill="FFFFFF"/>
                  <w:vAlign w:val="center"/>
                </w:tcPr>
                <w:p w14:paraId="7EBF1F42">
                  <w:pPr>
                    <w:keepNext w:val="0"/>
                    <w:keepLines w:val="0"/>
                    <w:pageBreakBefore w:val="0"/>
                    <w:kinsoku/>
                    <w:wordWrap/>
                    <w:overflowPunct/>
                    <w:topLinePunct w:val="0"/>
                    <w:bidi w:val="0"/>
                    <w:spacing w:line="240" w:lineRule="auto"/>
                    <w:jc w:val="center"/>
                    <w:rPr>
                      <w:rFonts w:hint="default" w:eastAsia="宋体"/>
                      <w:sz w:val="18"/>
                      <w:szCs w:val="18"/>
                      <w:lang w:val="en-US" w:eastAsia="zh-CN"/>
                    </w:rPr>
                  </w:pPr>
                  <w:r>
                    <w:rPr>
                      <w:rFonts w:hint="eastAsia"/>
                      <w:sz w:val="18"/>
                      <w:szCs w:val="18"/>
                      <w:lang w:val="en-US" w:eastAsia="zh-CN"/>
                    </w:rPr>
                    <w:t>80</w:t>
                  </w:r>
                </w:p>
              </w:tc>
              <w:tc>
                <w:tcPr>
                  <w:tcW w:w="214" w:type="pct"/>
                  <w:vMerge w:val="continue"/>
                  <w:shd w:val="clear" w:color="auto" w:fill="FFFFFF"/>
                  <w:vAlign w:val="center"/>
                </w:tcPr>
                <w:p w14:paraId="6E47E34E">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265" w:type="pct"/>
                  <w:shd w:val="clear" w:color="auto" w:fill="FFFFFF"/>
                  <w:vAlign w:val="center"/>
                </w:tcPr>
                <w:p w14:paraId="74E90F7A">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40</w:t>
                  </w:r>
                </w:p>
              </w:tc>
              <w:tc>
                <w:tcPr>
                  <w:tcW w:w="270" w:type="pct"/>
                  <w:shd w:val="clear" w:color="auto" w:fill="FFFFFF"/>
                  <w:vAlign w:val="center"/>
                </w:tcPr>
                <w:p w14:paraId="53FEC4D1">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12</w:t>
                  </w:r>
                </w:p>
              </w:tc>
              <w:tc>
                <w:tcPr>
                  <w:tcW w:w="230" w:type="pct"/>
                  <w:shd w:val="clear" w:color="auto" w:fill="FFFFFF"/>
                  <w:vAlign w:val="center"/>
                </w:tcPr>
                <w:p w14:paraId="4BD53039">
                  <w:pPr>
                    <w:keepNext w:val="0"/>
                    <w:keepLines w:val="0"/>
                    <w:pageBreakBefore w:val="0"/>
                    <w:kinsoku/>
                    <w:wordWrap/>
                    <w:overflowPunct/>
                    <w:topLinePunct w:val="0"/>
                    <w:bidi w:val="0"/>
                    <w:spacing w:line="240" w:lineRule="auto"/>
                    <w:jc w:val="center"/>
                    <w:rPr>
                      <w:rFonts w:hint="default"/>
                      <w:sz w:val="18"/>
                      <w:szCs w:val="18"/>
                      <w:lang w:val="en-US" w:eastAsia="zh-CN"/>
                    </w:rPr>
                  </w:pPr>
                  <w:r>
                    <w:rPr>
                      <w:rFonts w:hint="eastAsia"/>
                      <w:sz w:val="18"/>
                      <w:szCs w:val="18"/>
                      <w:lang w:val="en-US" w:eastAsia="zh-CN"/>
                    </w:rPr>
                    <w:t>1</w:t>
                  </w:r>
                </w:p>
              </w:tc>
              <w:tc>
                <w:tcPr>
                  <w:tcW w:w="314" w:type="pct"/>
                  <w:shd w:val="clear" w:color="auto" w:fill="FFFFFF"/>
                  <w:vAlign w:val="center"/>
                </w:tcPr>
                <w:p w14:paraId="32EB859F">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E20</w:t>
                  </w:r>
                </w:p>
              </w:tc>
              <w:tc>
                <w:tcPr>
                  <w:tcW w:w="305" w:type="pct"/>
                  <w:shd w:val="clear" w:color="auto" w:fill="FFFFFF"/>
                  <w:vAlign w:val="bottom"/>
                </w:tcPr>
                <w:p w14:paraId="7BDABC6C">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 xml:space="preserve">54.0 </w:t>
                  </w:r>
                </w:p>
              </w:tc>
              <w:tc>
                <w:tcPr>
                  <w:tcW w:w="232" w:type="pct"/>
                  <w:shd w:val="clear" w:color="auto" w:fill="FFFFFF"/>
                  <w:vAlign w:val="center"/>
                </w:tcPr>
                <w:p w14:paraId="36AFA17B">
                  <w:pPr>
                    <w:keepNext w:val="0"/>
                    <w:keepLines w:val="0"/>
                    <w:pageBreakBefore w:val="0"/>
                    <w:kinsoku/>
                    <w:wordWrap/>
                    <w:overflowPunct/>
                    <w:topLinePunct w:val="0"/>
                    <w:bidi w:val="0"/>
                    <w:spacing w:line="240" w:lineRule="auto"/>
                    <w:jc w:val="center"/>
                    <w:rPr>
                      <w:kern w:val="0"/>
                      <w:sz w:val="18"/>
                      <w:szCs w:val="18"/>
                    </w:rPr>
                  </w:pPr>
                  <w:r>
                    <w:rPr>
                      <w:kern w:val="0"/>
                      <w:sz w:val="18"/>
                      <w:szCs w:val="18"/>
                    </w:rPr>
                    <w:t>昼</w:t>
                  </w:r>
                </w:p>
              </w:tc>
              <w:tc>
                <w:tcPr>
                  <w:tcW w:w="358" w:type="pct"/>
                  <w:shd w:val="clear" w:color="auto" w:fill="FFFFFF"/>
                  <w:vAlign w:val="center"/>
                </w:tcPr>
                <w:p w14:paraId="7E3D6508">
                  <w:pPr>
                    <w:keepNext w:val="0"/>
                    <w:keepLines w:val="0"/>
                    <w:pageBreakBefore w:val="0"/>
                    <w:kinsoku/>
                    <w:wordWrap/>
                    <w:overflowPunct/>
                    <w:topLinePunct w:val="0"/>
                    <w:bidi w:val="0"/>
                    <w:spacing w:line="240" w:lineRule="auto"/>
                    <w:jc w:val="center"/>
                    <w:rPr>
                      <w:rFonts w:hint="default" w:eastAsia="宋体"/>
                      <w:kern w:val="0"/>
                      <w:sz w:val="18"/>
                      <w:szCs w:val="18"/>
                      <w:lang w:val="en-US" w:eastAsia="zh-CN"/>
                    </w:rPr>
                  </w:pPr>
                  <w:r>
                    <w:rPr>
                      <w:rFonts w:hint="eastAsia"/>
                      <w:kern w:val="0"/>
                      <w:sz w:val="18"/>
                      <w:szCs w:val="18"/>
                      <w:lang w:val="en-US" w:eastAsia="zh-CN"/>
                    </w:rPr>
                    <w:t>20</w:t>
                  </w:r>
                </w:p>
              </w:tc>
              <w:tc>
                <w:tcPr>
                  <w:tcW w:w="320" w:type="pct"/>
                  <w:shd w:val="clear" w:color="auto" w:fill="FFFFFF"/>
                  <w:vAlign w:val="bottom"/>
                </w:tcPr>
                <w:p w14:paraId="044E7DDF">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color w:val="000000"/>
                      <w:spacing w:val="-10"/>
                      <w:kern w:val="0"/>
                      <w:sz w:val="18"/>
                      <w:szCs w:val="18"/>
                      <w:lang w:val="en-US" w:eastAsia="zh-CN" w:bidi="ar-SA"/>
                    </w:rPr>
                    <w:t xml:space="preserve">34.0 </w:t>
                  </w:r>
                </w:p>
              </w:tc>
              <w:tc>
                <w:tcPr>
                  <w:tcW w:w="368" w:type="pct"/>
                  <w:shd w:val="clear" w:color="auto" w:fill="FFFFFF"/>
                  <w:vAlign w:val="center"/>
                </w:tcPr>
                <w:p w14:paraId="4639492E">
                  <w:pPr>
                    <w:keepNext w:val="0"/>
                    <w:keepLines w:val="0"/>
                    <w:pageBreakBefore w:val="0"/>
                    <w:kinsoku/>
                    <w:wordWrap/>
                    <w:overflowPunct/>
                    <w:topLinePunct w:val="0"/>
                    <w:bidi w:val="0"/>
                    <w:spacing w:line="240" w:lineRule="auto"/>
                    <w:jc w:val="center"/>
                    <w:rPr>
                      <w:rFonts w:hint="eastAsia" w:eastAsia="宋体"/>
                      <w:sz w:val="18"/>
                      <w:szCs w:val="18"/>
                      <w:lang w:val="en-US" w:eastAsia="zh-CN"/>
                    </w:rPr>
                  </w:pPr>
                  <w:r>
                    <w:rPr>
                      <w:rFonts w:hint="eastAsia"/>
                      <w:sz w:val="18"/>
                      <w:szCs w:val="18"/>
                      <w:lang w:val="en-US" w:eastAsia="zh-CN"/>
                    </w:rPr>
                    <w:t>1</w:t>
                  </w:r>
                </w:p>
              </w:tc>
              <w:tc>
                <w:tcPr>
                  <w:tcW w:w="288" w:type="pct"/>
                  <w:vMerge w:val="continue"/>
                  <w:shd w:val="clear" w:color="auto" w:fill="FFFFFF"/>
                  <w:vAlign w:val="center"/>
                </w:tcPr>
                <w:p w14:paraId="26F0EA2D">
                  <w:pPr>
                    <w:keepNext w:val="0"/>
                    <w:keepLines w:val="0"/>
                    <w:pageBreakBefore w:val="0"/>
                    <w:kinsoku/>
                    <w:wordWrap/>
                    <w:overflowPunct/>
                    <w:topLinePunct w:val="0"/>
                    <w:bidi w:val="0"/>
                    <w:spacing w:line="240" w:lineRule="auto"/>
                    <w:jc w:val="center"/>
                    <w:rPr>
                      <w:sz w:val="18"/>
                      <w:szCs w:val="18"/>
                    </w:rPr>
                  </w:pPr>
                </w:p>
              </w:tc>
            </w:tr>
            <w:tr w14:paraId="73A99E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 w:type="pct"/>
                  <w:shd w:val="clear" w:color="auto" w:fill="FFFFFF"/>
                  <w:vAlign w:val="center"/>
                </w:tcPr>
                <w:p w14:paraId="4FA9700A">
                  <w:pPr>
                    <w:pStyle w:val="24"/>
                    <w:keepNext w:val="0"/>
                    <w:keepLines w:val="0"/>
                    <w:pageBreakBefore w:val="0"/>
                    <w:kinsoku/>
                    <w:wordWrap/>
                    <w:overflowPunct/>
                    <w:topLinePunct w:val="0"/>
                    <w:bidi w:val="0"/>
                    <w:spacing w:line="240" w:lineRule="auto"/>
                    <w:jc w:val="center"/>
                    <w:rPr>
                      <w:rFonts w:hint="eastAsia" w:ascii="Times New Roman" w:hAnsi="Times New Roman" w:eastAsia="宋体"/>
                      <w:sz w:val="18"/>
                      <w:szCs w:val="18"/>
                      <w:lang w:eastAsia="zh-CN"/>
                    </w:rPr>
                  </w:pPr>
                  <w:r>
                    <w:rPr>
                      <w:rFonts w:hint="eastAsia" w:ascii="Times New Roman" w:hAnsi="Times New Roman" w:eastAsia="宋体"/>
                      <w:sz w:val="18"/>
                      <w:szCs w:val="18"/>
                      <w:lang w:val="en-US" w:eastAsia="zh-CN"/>
                    </w:rPr>
                    <w:t>5</w:t>
                  </w:r>
                </w:p>
              </w:tc>
              <w:tc>
                <w:tcPr>
                  <w:tcW w:w="257" w:type="pct"/>
                  <w:vMerge w:val="continue"/>
                  <w:shd w:val="clear" w:color="auto" w:fill="FFFFFF"/>
                  <w:vAlign w:val="center"/>
                </w:tcPr>
                <w:p w14:paraId="76D13D80">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477" w:type="pct"/>
                  <w:shd w:val="clear" w:color="auto" w:fill="FFFFFF"/>
                  <w:vAlign w:val="center"/>
                </w:tcPr>
                <w:p w14:paraId="7E971DAC">
                  <w:pPr>
                    <w:keepNext w:val="0"/>
                    <w:keepLines w:val="0"/>
                    <w:pageBreakBefore w:val="0"/>
                    <w:kinsoku/>
                    <w:wordWrap/>
                    <w:overflowPunct/>
                    <w:topLinePunct w:val="0"/>
                    <w:autoSpaceDE w:val="0"/>
                    <w:autoSpaceDN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切粒机</w:t>
                  </w:r>
                </w:p>
              </w:tc>
              <w:tc>
                <w:tcPr>
                  <w:tcW w:w="170" w:type="pct"/>
                  <w:shd w:val="clear" w:color="auto" w:fill="FFFFFF"/>
                  <w:vAlign w:val="center"/>
                </w:tcPr>
                <w:p w14:paraId="2EE05CA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pacing w:val="-10"/>
                      <w:kern w:val="0"/>
                      <w:sz w:val="18"/>
                      <w:szCs w:val="18"/>
                      <w:lang w:val="en-US" w:eastAsia="zh-CN" w:bidi="ar-SA"/>
                    </w:rPr>
                  </w:pPr>
                  <w:r>
                    <w:rPr>
                      <w:rFonts w:hint="eastAsia" w:cs="Times New Roman"/>
                      <w:color w:val="000000"/>
                      <w:spacing w:val="-10"/>
                      <w:kern w:val="0"/>
                      <w:sz w:val="18"/>
                      <w:szCs w:val="18"/>
                      <w:lang w:val="en-US" w:eastAsia="zh-CN" w:bidi="ar-SA"/>
                    </w:rPr>
                    <w:t>1</w:t>
                  </w:r>
                </w:p>
              </w:tc>
              <w:tc>
                <w:tcPr>
                  <w:tcW w:w="441" w:type="pct"/>
                  <w:shd w:val="clear" w:color="auto" w:fill="FFFFFF"/>
                  <w:vAlign w:val="center"/>
                </w:tcPr>
                <w:p w14:paraId="0E0252F5">
                  <w:pPr>
                    <w:keepNext w:val="0"/>
                    <w:keepLines w:val="0"/>
                    <w:pageBreakBefore w:val="0"/>
                    <w:kinsoku/>
                    <w:wordWrap/>
                    <w:overflowPunct/>
                    <w:topLinePunct w:val="0"/>
                    <w:bidi w:val="0"/>
                    <w:spacing w:line="240" w:lineRule="auto"/>
                    <w:jc w:val="center"/>
                    <w:rPr>
                      <w:rFonts w:hint="eastAsia" w:eastAsia="宋体"/>
                      <w:sz w:val="18"/>
                      <w:szCs w:val="18"/>
                      <w:lang w:val="en-US" w:eastAsia="zh-CN"/>
                    </w:rPr>
                  </w:pPr>
                  <w:r>
                    <w:rPr>
                      <w:rFonts w:hint="eastAsia"/>
                      <w:sz w:val="18"/>
                      <w:szCs w:val="18"/>
                      <w:lang w:val="en-US" w:eastAsia="zh-CN"/>
                    </w:rPr>
                    <w:t>/</w:t>
                  </w:r>
                </w:p>
              </w:tc>
              <w:tc>
                <w:tcPr>
                  <w:tcW w:w="333" w:type="pct"/>
                  <w:shd w:val="clear" w:color="auto" w:fill="FFFFFF"/>
                  <w:vAlign w:val="center"/>
                </w:tcPr>
                <w:p w14:paraId="5167FF31">
                  <w:pPr>
                    <w:keepNext w:val="0"/>
                    <w:keepLines w:val="0"/>
                    <w:pageBreakBefore w:val="0"/>
                    <w:kinsoku/>
                    <w:wordWrap/>
                    <w:overflowPunct/>
                    <w:topLinePunct w:val="0"/>
                    <w:bidi w:val="0"/>
                    <w:spacing w:line="240" w:lineRule="auto"/>
                    <w:jc w:val="center"/>
                    <w:rPr>
                      <w:rFonts w:hint="default" w:eastAsia="宋体"/>
                      <w:sz w:val="18"/>
                      <w:szCs w:val="18"/>
                      <w:lang w:val="en-US" w:eastAsia="zh-CN"/>
                    </w:rPr>
                  </w:pPr>
                  <w:r>
                    <w:rPr>
                      <w:rFonts w:hint="eastAsia"/>
                      <w:sz w:val="18"/>
                      <w:szCs w:val="18"/>
                      <w:lang w:val="en-US" w:eastAsia="zh-CN"/>
                    </w:rPr>
                    <w:t>75</w:t>
                  </w:r>
                </w:p>
              </w:tc>
              <w:tc>
                <w:tcPr>
                  <w:tcW w:w="214" w:type="pct"/>
                  <w:vMerge w:val="continue"/>
                  <w:shd w:val="clear" w:color="auto" w:fill="FFFFFF"/>
                  <w:vAlign w:val="center"/>
                </w:tcPr>
                <w:p w14:paraId="2777567B">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265" w:type="pct"/>
                  <w:shd w:val="clear" w:color="auto" w:fill="FFFFFF"/>
                  <w:vAlign w:val="center"/>
                </w:tcPr>
                <w:p w14:paraId="04CCEA43">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18</w:t>
                  </w:r>
                </w:p>
              </w:tc>
              <w:tc>
                <w:tcPr>
                  <w:tcW w:w="270" w:type="pct"/>
                  <w:shd w:val="clear" w:color="auto" w:fill="FFFFFF"/>
                  <w:vAlign w:val="center"/>
                </w:tcPr>
                <w:p w14:paraId="0DC1A9C3">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24</w:t>
                  </w:r>
                </w:p>
              </w:tc>
              <w:tc>
                <w:tcPr>
                  <w:tcW w:w="230" w:type="pct"/>
                  <w:shd w:val="clear" w:color="auto" w:fill="FFFFFF"/>
                  <w:vAlign w:val="center"/>
                </w:tcPr>
                <w:p w14:paraId="2D9F8FFE">
                  <w:pPr>
                    <w:keepNext w:val="0"/>
                    <w:keepLines w:val="0"/>
                    <w:pageBreakBefore w:val="0"/>
                    <w:kinsoku/>
                    <w:wordWrap/>
                    <w:overflowPunct/>
                    <w:topLinePunct w:val="0"/>
                    <w:bidi w:val="0"/>
                    <w:spacing w:line="240" w:lineRule="auto"/>
                    <w:jc w:val="center"/>
                    <w:rPr>
                      <w:rFonts w:hint="default"/>
                      <w:sz w:val="18"/>
                      <w:szCs w:val="18"/>
                      <w:lang w:val="en-US" w:eastAsia="zh-CN"/>
                    </w:rPr>
                  </w:pPr>
                  <w:r>
                    <w:rPr>
                      <w:rFonts w:hint="eastAsia"/>
                      <w:sz w:val="18"/>
                      <w:szCs w:val="18"/>
                      <w:lang w:val="en-US" w:eastAsia="zh-CN"/>
                    </w:rPr>
                    <w:t>1</w:t>
                  </w:r>
                </w:p>
              </w:tc>
              <w:tc>
                <w:tcPr>
                  <w:tcW w:w="314" w:type="pct"/>
                  <w:shd w:val="clear" w:color="auto" w:fill="FFFFFF"/>
                  <w:vAlign w:val="center"/>
                </w:tcPr>
                <w:p w14:paraId="44073CA8">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N6</w:t>
                  </w:r>
                </w:p>
              </w:tc>
              <w:tc>
                <w:tcPr>
                  <w:tcW w:w="305" w:type="pct"/>
                  <w:shd w:val="clear" w:color="auto" w:fill="FFFFFF"/>
                  <w:vAlign w:val="bottom"/>
                </w:tcPr>
                <w:p w14:paraId="55C5FCB7">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 xml:space="preserve">59.4 </w:t>
                  </w:r>
                </w:p>
              </w:tc>
              <w:tc>
                <w:tcPr>
                  <w:tcW w:w="232" w:type="pct"/>
                  <w:shd w:val="clear" w:color="auto" w:fill="FFFFFF"/>
                  <w:vAlign w:val="center"/>
                </w:tcPr>
                <w:p w14:paraId="3830EAEF">
                  <w:pPr>
                    <w:keepNext w:val="0"/>
                    <w:keepLines w:val="0"/>
                    <w:pageBreakBefore w:val="0"/>
                    <w:kinsoku/>
                    <w:wordWrap/>
                    <w:overflowPunct/>
                    <w:topLinePunct w:val="0"/>
                    <w:bidi w:val="0"/>
                    <w:spacing w:line="240" w:lineRule="auto"/>
                    <w:jc w:val="center"/>
                    <w:rPr>
                      <w:rFonts w:hint="eastAsia" w:eastAsia="宋体"/>
                      <w:kern w:val="0"/>
                      <w:sz w:val="18"/>
                      <w:szCs w:val="18"/>
                      <w:lang w:eastAsia="zh-CN"/>
                    </w:rPr>
                  </w:pPr>
                  <w:r>
                    <w:rPr>
                      <w:kern w:val="0"/>
                      <w:sz w:val="18"/>
                      <w:szCs w:val="18"/>
                    </w:rPr>
                    <w:t>昼</w:t>
                  </w:r>
                </w:p>
              </w:tc>
              <w:tc>
                <w:tcPr>
                  <w:tcW w:w="358" w:type="pct"/>
                  <w:shd w:val="clear" w:color="auto" w:fill="FFFFFF"/>
                  <w:vAlign w:val="center"/>
                </w:tcPr>
                <w:p w14:paraId="2DF5C129">
                  <w:pPr>
                    <w:keepNext w:val="0"/>
                    <w:keepLines w:val="0"/>
                    <w:pageBreakBefore w:val="0"/>
                    <w:kinsoku/>
                    <w:wordWrap/>
                    <w:overflowPunct/>
                    <w:topLinePunct w:val="0"/>
                    <w:bidi w:val="0"/>
                    <w:spacing w:line="240" w:lineRule="auto"/>
                    <w:jc w:val="center"/>
                    <w:rPr>
                      <w:rFonts w:hint="default" w:eastAsia="宋体"/>
                      <w:kern w:val="0"/>
                      <w:sz w:val="18"/>
                      <w:szCs w:val="18"/>
                      <w:lang w:val="en-US" w:eastAsia="zh-CN"/>
                    </w:rPr>
                  </w:pPr>
                  <w:r>
                    <w:rPr>
                      <w:rFonts w:hint="eastAsia"/>
                      <w:kern w:val="0"/>
                      <w:sz w:val="18"/>
                      <w:szCs w:val="18"/>
                      <w:lang w:val="en-US" w:eastAsia="zh-CN"/>
                    </w:rPr>
                    <w:t>20</w:t>
                  </w:r>
                </w:p>
              </w:tc>
              <w:tc>
                <w:tcPr>
                  <w:tcW w:w="320" w:type="pct"/>
                  <w:shd w:val="clear" w:color="auto" w:fill="FFFFFF"/>
                  <w:vAlign w:val="bottom"/>
                </w:tcPr>
                <w:p w14:paraId="3BB3EDC1">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 xml:space="preserve">39.4 </w:t>
                  </w:r>
                </w:p>
              </w:tc>
              <w:tc>
                <w:tcPr>
                  <w:tcW w:w="368" w:type="pct"/>
                  <w:shd w:val="clear" w:color="auto" w:fill="FFFFFF"/>
                  <w:vAlign w:val="center"/>
                </w:tcPr>
                <w:p w14:paraId="0250297D">
                  <w:pPr>
                    <w:keepNext w:val="0"/>
                    <w:keepLines w:val="0"/>
                    <w:pageBreakBefore w:val="0"/>
                    <w:kinsoku/>
                    <w:wordWrap/>
                    <w:overflowPunct/>
                    <w:topLinePunct w:val="0"/>
                    <w:bidi w:val="0"/>
                    <w:spacing w:line="240" w:lineRule="auto"/>
                    <w:jc w:val="center"/>
                    <w:rPr>
                      <w:rFonts w:hint="eastAsia" w:eastAsia="宋体"/>
                      <w:sz w:val="18"/>
                      <w:szCs w:val="18"/>
                      <w:lang w:val="en-US" w:eastAsia="zh-CN"/>
                    </w:rPr>
                  </w:pPr>
                  <w:r>
                    <w:rPr>
                      <w:rFonts w:hint="eastAsia"/>
                      <w:sz w:val="18"/>
                      <w:szCs w:val="18"/>
                      <w:lang w:val="en-US" w:eastAsia="zh-CN"/>
                    </w:rPr>
                    <w:t>1</w:t>
                  </w:r>
                </w:p>
              </w:tc>
              <w:tc>
                <w:tcPr>
                  <w:tcW w:w="288" w:type="pct"/>
                  <w:vMerge w:val="continue"/>
                  <w:shd w:val="clear" w:color="auto" w:fill="FFFFFF"/>
                  <w:vAlign w:val="center"/>
                </w:tcPr>
                <w:p w14:paraId="03B65676">
                  <w:pPr>
                    <w:keepNext w:val="0"/>
                    <w:keepLines w:val="0"/>
                    <w:pageBreakBefore w:val="0"/>
                    <w:kinsoku/>
                    <w:wordWrap/>
                    <w:overflowPunct/>
                    <w:topLinePunct w:val="0"/>
                    <w:bidi w:val="0"/>
                    <w:spacing w:line="240" w:lineRule="auto"/>
                    <w:jc w:val="center"/>
                    <w:rPr>
                      <w:sz w:val="18"/>
                      <w:szCs w:val="18"/>
                    </w:rPr>
                  </w:pPr>
                </w:p>
              </w:tc>
            </w:tr>
            <w:tr w14:paraId="152E02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51" w:type="pct"/>
                  <w:shd w:val="clear" w:color="auto" w:fill="FFFFFF"/>
                  <w:vAlign w:val="center"/>
                </w:tcPr>
                <w:p w14:paraId="5A2AA45D">
                  <w:pPr>
                    <w:pStyle w:val="24"/>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sz w:val="18"/>
                      <w:szCs w:val="18"/>
                      <w:lang w:val="en-US" w:eastAsia="zh-CN"/>
                    </w:rPr>
                    <w:t>6</w:t>
                  </w:r>
                </w:p>
              </w:tc>
              <w:tc>
                <w:tcPr>
                  <w:tcW w:w="257" w:type="pct"/>
                  <w:vMerge w:val="continue"/>
                  <w:shd w:val="clear" w:color="auto" w:fill="FFFFFF"/>
                  <w:vAlign w:val="center"/>
                </w:tcPr>
                <w:p w14:paraId="2A6536F0">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477" w:type="pct"/>
                  <w:shd w:val="clear" w:color="auto" w:fill="FFFFFF"/>
                  <w:vAlign w:val="center"/>
                </w:tcPr>
                <w:p w14:paraId="2B9E9819">
                  <w:pPr>
                    <w:keepNext w:val="0"/>
                    <w:keepLines w:val="0"/>
                    <w:pageBreakBefore w:val="0"/>
                    <w:kinsoku/>
                    <w:wordWrap/>
                    <w:overflowPunct/>
                    <w:topLinePunct w:val="0"/>
                    <w:autoSpaceDE w:val="0"/>
                    <w:autoSpaceDN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cs="Times New Roman"/>
                      <w:color w:val="000000"/>
                      <w:spacing w:val="-10"/>
                      <w:kern w:val="0"/>
                      <w:sz w:val="18"/>
                      <w:szCs w:val="18"/>
                      <w:lang w:val="en-US" w:eastAsia="zh-CN" w:bidi="ar-SA"/>
                    </w:rPr>
                    <w:t>粉碎机</w:t>
                  </w:r>
                </w:p>
              </w:tc>
              <w:tc>
                <w:tcPr>
                  <w:tcW w:w="170" w:type="pct"/>
                  <w:shd w:val="clear" w:color="auto" w:fill="FFFFFF"/>
                  <w:vAlign w:val="center"/>
                </w:tcPr>
                <w:p w14:paraId="1854AD52">
                  <w:pPr>
                    <w:keepNext w:val="0"/>
                    <w:keepLines w:val="0"/>
                    <w:pageBreakBefore w:val="0"/>
                    <w:kinsoku/>
                    <w:wordWrap/>
                    <w:overflowPunct/>
                    <w:topLinePunct w:val="0"/>
                    <w:bidi w:val="0"/>
                    <w:spacing w:line="240" w:lineRule="auto"/>
                    <w:jc w:val="center"/>
                    <w:rPr>
                      <w:rFonts w:hint="default" w:cs="Times New Roman"/>
                      <w:color w:val="000000"/>
                      <w:spacing w:val="-10"/>
                      <w:kern w:val="0"/>
                      <w:sz w:val="18"/>
                      <w:szCs w:val="18"/>
                      <w:lang w:val="en-US" w:eastAsia="zh-CN" w:bidi="ar-SA"/>
                    </w:rPr>
                  </w:pPr>
                  <w:r>
                    <w:rPr>
                      <w:rFonts w:hint="eastAsia" w:cs="Times New Roman"/>
                      <w:color w:val="000000"/>
                      <w:spacing w:val="-10"/>
                      <w:kern w:val="0"/>
                      <w:sz w:val="18"/>
                      <w:szCs w:val="18"/>
                      <w:lang w:val="en-US" w:eastAsia="zh-CN" w:bidi="ar-SA"/>
                    </w:rPr>
                    <w:t>2</w:t>
                  </w:r>
                </w:p>
              </w:tc>
              <w:tc>
                <w:tcPr>
                  <w:tcW w:w="441" w:type="pct"/>
                  <w:shd w:val="clear" w:color="auto" w:fill="FFFFFF"/>
                  <w:vAlign w:val="center"/>
                </w:tcPr>
                <w:p w14:paraId="1F7CFB71">
                  <w:pPr>
                    <w:keepNext w:val="0"/>
                    <w:keepLines w:val="0"/>
                    <w:pageBreakBefore w:val="0"/>
                    <w:kinsoku/>
                    <w:wordWrap/>
                    <w:overflowPunct/>
                    <w:topLinePunct w:val="0"/>
                    <w:bidi w:val="0"/>
                    <w:spacing w:line="240" w:lineRule="auto"/>
                    <w:jc w:val="center"/>
                    <w:rPr>
                      <w:rFonts w:hint="eastAsia"/>
                      <w:sz w:val="18"/>
                      <w:szCs w:val="18"/>
                      <w:lang w:val="en-US" w:eastAsia="zh-CN"/>
                    </w:rPr>
                  </w:pPr>
                </w:p>
              </w:tc>
              <w:tc>
                <w:tcPr>
                  <w:tcW w:w="333" w:type="pct"/>
                  <w:shd w:val="clear" w:color="auto" w:fill="FFFFFF"/>
                  <w:vAlign w:val="center"/>
                </w:tcPr>
                <w:p w14:paraId="0DCDD9D7">
                  <w:pPr>
                    <w:keepNext w:val="0"/>
                    <w:keepLines w:val="0"/>
                    <w:pageBreakBefore w:val="0"/>
                    <w:kinsoku/>
                    <w:wordWrap/>
                    <w:overflowPunct/>
                    <w:topLinePunct w:val="0"/>
                    <w:bidi w:val="0"/>
                    <w:spacing w:line="240" w:lineRule="auto"/>
                    <w:jc w:val="center"/>
                    <w:rPr>
                      <w:rFonts w:hint="default"/>
                      <w:sz w:val="18"/>
                      <w:szCs w:val="18"/>
                      <w:lang w:val="en-US" w:eastAsia="zh-CN"/>
                    </w:rPr>
                  </w:pPr>
                  <w:r>
                    <w:rPr>
                      <w:rFonts w:hint="eastAsia"/>
                      <w:sz w:val="18"/>
                      <w:szCs w:val="18"/>
                      <w:lang w:val="en-US" w:eastAsia="zh-CN"/>
                    </w:rPr>
                    <w:t>85</w:t>
                  </w:r>
                </w:p>
              </w:tc>
              <w:tc>
                <w:tcPr>
                  <w:tcW w:w="214" w:type="pct"/>
                  <w:vMerge w:val="continue"/>
                  <w:shd w:val="clear" w:color="auto" w:fill="FFFFFF"/>
                  <w:vAlign w:val="center"/>
                </w:tcPr>
                <w:p w14:paraId="699F3541">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265" w:type="pct"/>
                  <w:shd w:val="clear" w:color="auto" w:fill="FFFFFF"/>
                  <w:vAlign w:val="center"/>
                </w:tcPr>
                <w:p w14:paraId="4D42D900">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55</w:t>
                  </w:r>
                </w:p>
              </w:tc>
              <w:tc>
                <w:tcPr>
                  <w:tcW w:w="270" w:type="pct"/>
                  <w:shd w:val="clear" w:color="auto" w:fill="FFFFFF"/>
                  <w:vAlign w:val="center"/>
                </w:tcPr>
                <w:p w14:paraId="1B590718">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20</w:t>
                  </w:r>
                </w:p>
              </w:tc>
              <w:tc>
                <w:tcPr>
                  <w:tcW w:w="230" w:type="pct"/>
                  <w:shd w:val="clear" w:color="auto" w:fill="FFFFFF"/>
                  <w:vAlign w:val="center"/>
                </w:tcPr>
                <w:p w14:paraId="1B84BBB5">
                  <w:pPr>
                    <w:keepNext w:val="0"/>
                    <w:keepLines w:val="0"/>
                    <w:pageBreakBefore w:val="0"/>
                    <w:kinsoku/>
                    <w:wordWrap/>
                    <w:overflowPunct/>
                    <w:topLinePunct w:val="0"/>
                    <w:bidi w:val="0"/>
                    <w:spacing w:line="240" w:lineRule="auto"/>
                    <w:jc w:val="center"/>
                    <w:rPr>
                      <w:rFonts w:hint="default"/>
                      <w:sz w:val="18"/>
                      <w:szCs w:val="18"/>
                      <w:lang w:val="en-US" w:eastAsia="zh-CN"/>
                    </w:rPr>
                  </w:pPr>
                  <w:r>
                    <w:rPr>
                      <w:rFonts w:hint="eastAsia"/>
                      <w:sz w:val="18"/>
                      <w:szCs w:val="18"/>
                      <w:lang w:val="en-US" w:eastAsia="zh-CN"/>
                    </w:rPr>
                    <w:t>1</w:t>
                  </w:r>
                </w:p>
              </w:tc>
              <w:tc>
                <w:tcPr>
                  <w:tcW w:w="314" w:type="pct"/>
                  <w:shd w:val="clear" w:color="auto" w:fill="FFFFFF"/>
                  <w:vAlign w:val="center"/>
                </w:tcPr>
                <w:p w14:paraId="585D1643">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W5</w:t>
                  </w:r>
                </w:p>
              </w:tc>
              <w:tc>
                <w:tcPr>
                  <w:tcW w:w="305" w:type="pct"/>
                  <w:shd w:val="clear" w:color="auto" w:fill="FFFFFF"/>
                  <w:vAlign w:val="bottom"/>
                </w:tcPr>
                <w:p w14:paraId="5B77CED6">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 xml:space="preserve">74.0 </w:t>
                  </w:r>
                </w:p>
              </w:tc>
              <w:tc>
                <w:tcPr>
                  <w:tcW w:w="232" w:type="pct"/>
                  <w:shd w:val="clear" w:color="auto" w:fill="FFFFFF"/>
                  <w:vAlign w:val="center"/>
                </w:tcPr>
                <w:p w14:paraId="3A025000">
                  <w:pPr>
                    <w:keepNext w:val="0"/>
                    <w:keepLines w:val="0"/>
                    <w:pageBreakBefore w:val="0"/>
                    <w:kinsoku/>
                    <w:wordWrap/>
                    <w:overflowPunct/>
                    <w:topLinePunct w:val="0"/>
                    <w:bidi w:val="0"/>
                    <w:spacing w:line="240" w:lineRule="auto"/>
                    <w:jc w:val="center"/>
                    <w:rPr>
                      <w:rFonts w:hint="eastAsia"/>
                      <w:kern w:val="0"/>
                      <w:sz w:val="18"/>
                      <w:szCs w:val="18"/>
                      <w:lang w:eastAsia="zh-CN"/>
                    </w:rPr>
                  </w:pPr>
                  <w:r>
                    <w:rPr>
                      <w:kern w:val="0"/>
                      <w:sz w:val="18"/>
                      <w:szCs w:val="18"/>
                    </w:rPr>
                    <w:t>昼</w:t>
                  </w:r>
                </w:p>
              </w:tc>
              <w:tc>
                <w:tcPr>
                  <w:tcW w:w="358" w:type="pct"/>
                  <w:shd w:val="clear" w:color="auto" w:fill="FFFFFF"/>
                  <w:vAlign w:val="center"/>
                </w:tcPr>
                <w:p w14:paraId="19470A47">
                  <w:pPr>
                    <w:keepNext w:val="0"/>
                    <w:keepLines w:val="0"/>
                    <w:pageBreakBefore w:val="0"/>
                    <w:kinsoku/>
                    <w:wordWrap/>
                    <w:overflowPunct/>
                    <w:topLinePunct w:val="0"/>
                    <w:bidi w:val="0"/>
                    <w:spacing w:line="240" w:lineRule="auto"/>
                    <w:jc w:val="center"/>
                    <w:rPr>
                      <w:rFonts w:hint="eastAsia"/>
                      <w:kern w:val="0"/>
                      <w:sz w:val="18"/>
                      <w:szCs w:val="18"/>
                      <w:lang w:val="en-US" w:eastAsia="zh-CN"/>
                    </w:rPr>
                  </w:pPr>
                  <w:r>
                    <w:rPr>
                      <w:rFonts w:hint="eastAsia"/>
                      <w:kern w:val="0"/>
                      <w:sz w:val="18"/>
                      <w:szCs w:val="18"/>
                      <w:lang w:val="en-US" w:eastAsia="zh-CN"/>
                    </w:rPr>
                    <w:t>20</w:t>
                  </w:r>
                </w:p>
              </w:tc>
              <w:tc>
                <w:tcPr>
                  <w:tcW w:w="320" w:type="pct"/>
                  <w:shd w:val="clear" w:color="auto" w:fill="FFFFFF"/>
                  <w:vAlign w:val="bottom"/>
                </w:tcPr>
                <w:p w14:paraId="04D022FA">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color w:val="000000"/>
                      <w:spacing w:val="-10"/>
                      <w:kern w:val="0"/>
                      <w:sz w:val="18"/>
                      <w:szCs w:val="18"/>
                      <w:lang w:val="en-US" w:eastAsia="zh-CN" w:bidi="ar-SA"/>
                    </w:rPr>
                    <w:t xml:space="preserve">54.0 </w:t>
                  </w:r>
                </w:p>
              </w:tc>
              <w:tc>
                <w:tcPr>
                  <w:tcW w:w="368" w:type="pct"/>
                  <w:shd w:val="clear" w:color="auto" w:fill="FFFFFF"/>
                  <w:vAlign w:val="center"/>
                </w:tcPr>
                <w:p w14:paraId="55DC4459">
                  <w:pPr>
                    <w:keepNext w:val="0"/>
                    <w:keepLines w:val="0"/>
                    <w:pageBreakBefore w:val="0"/>
                    <w:kinsoku/>
                    <w:wordWrap/>
                    <w:overflowPunct/>
                    <w:topLinePunct w:val="0"/>
                    <w:bidi w:val="0"/>
                    <w:spacing w:line="240" w:lineRule="auto"/>
                    <w:jc w:val="center"/>
                    <w:rPr>
                      <w:rFonts w:hint="default"/>
                      <w:sz w:val="18"/>
                      <w:szCs w:val="18"/>
                      <w:lang w:val="en-US" w:eastAsia="zh-CN"/>
                    </w:rPr>
                  </w:pPr>
                  <w:r>
                    <w:rPr>
                      <w:rFonts w:hint="eastAsia"/>
                      <w:sz w:val="18"/>
                      <w:szCs w:val="18"/>
                      <w:lang w:val="en-US" w:eastAsia="zh-CN"/>
                    </w:rPr>
                    <w:t>1</w:t>
                  </w:r>
                </w:p>
              </w:tc>
              <w:tc>
                <w:tcPr>
                  <w:tcW w:w="288" w:type="pct"/>
                  <w:vMerge w:val="continue"/>
                  <w:shd w:val="clear" w:color="auto" w:fill="FFFFFF"/>
                  <w:vAlign w:val="center"/>
                </w:tcPr>
                <w:p w14:paraId="1ECB3A51">
                  <w:pPr>
                    <w:keepNext w:val="0"/>
                    <w:keepLines w:val="0"/>
                    <w:pageBreakBefore w:val="0"/>
                    <w:kinsoku/>
                    <w:wordWrap/>
                    <w:overflowPunct/>
                    <w:topLinePunct w:val="0"/>
                    <w:bidi w:val="0"/>
                    <w:spacing w:line="240" w:lineRule="auto"/>
                    <w:jc w:val="center"/>
                    <w:rPr>
                      <w:sz w:val="18"/>
                      <w:szCs w:val="18"/>
                    </w:rPr>
                  </w:pPr>
                </w:p>
              </w:tc>
            </w:tr>
            <w:tr w14:paraId="4012D0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51" w:type="pct"/>
                  <w:shd w:val="clear" w:color="auto" w:fill="FFFFFF"/>
                  <w:vAlign w:val="center"/>
                </w:tcPr>
                <w:p w14:paraId="16F2275F">
                  <w:pPr>
                    <w:pStyle w:val="24"/>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sz w:val="18"/>
                      <w:szCs w:val="18"/>
                      <w:lang w:val="en-US" w:eastAsia="zh-CN"/>
                    </w:rPr>
                    <w:t>7</w:t>
                  </w:r>
                </w:p>
              </w:tc>
              <w:tc>
                <w:tcPr>
                  <w:tcW w:w="257" w:type="pct"/>
                  <w:vMerge w:val="restart"/>
                  <w:shd w:val="clear" w:color="auto" w:fill="FFFFFF"/>
                  <w:vAlign w:val="center"/>
                </w:tcPr>
                <w:p w14:paraId="18F5CCD2">
                  <w:pPr>
                    <w:pStyle w:val="24"/>
                    <w:keepNext w:val="0"/>
                    <w:keepLines w:val="0"/>
                    <w:pageBreakBefore w:val="0"/>
                    <w:kinsoku/>
                    <w:wordWrap/>
                    <w:overflowPunct/>
                    <w:topLinePunct w:val="0"/>
                    <w:bidi w:val="0"/>
                    <w:spacing w:line="240" w:lineRule="auto"/>
                    <w:jc w:val="center"/>
                    <w:rPr>
                      <w:rFonts w:hint="eastAsia" w:ascii="Times New Roman" w:hAnsi="Times New Roman" w:eastAsia="宋体"/>
                      <w:sz w:val="18"/>
                      <w:szCs w:val="18"/>
                      <w:lang w:eastAsia="zh-CN"/>
                    </w:rPr>
                  </w:pPr>
                  <w:r>
                    <w:rPr>
                      <w:rFonts w:hint="eastAsia" w:ascii="Times New Roman" w:hAnsi="Times New Roman" w:eastAsia="宋体"/>
                      <w:sz w:val="18"/>
                      <w:szCs w:val="18"/>
                      <w:lang w:eastAsia="zh-CN"/>
                    </w:rPr>
                    <w:t>混料车间</w:t>
                  </w:r>
                </w:p>
              </w:tc>
              <w:tc>
                <w:tcPr>
                  <w:tcW w:w="477" w:type="pct"/>
                  <w:shd w:val="clear" w:color="auto" w:fill="FFFFFF"/>
                  <w:vAlign w:val="center"/>
                </w:tcPr>
                <w:p w14:paraId="7BFF671F">
                  <w:pPr>
                    <w:keepNext w:val="0"/>
                    <w:keepLines w:val="0"/>
                    <w:pageBreakBefore w:val="0"/>
                    <w:kinsoku/>
                    <w:wordWrap/>
                    <w:overflowPunct/>
                    <w:topLinePunct w:val="0"/>
                    <w:autoSpaceDE w:val="0"/>
                    <w:autoSpaceDN w:val="0"/>
                    <w:bidi w:val="0"/>
                    <w:spacing w:line="240" w:lineRule="auto"/>
                    <w:jc w:val="center"/>
                    <w:textAlignment w:val="bottom"/>
                    <w:rPr>
                      <w:rFonts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高速混料机</w:t>
                  </w:r>
                </w:p>
              </w:tc>
              <w:tc>
                <w:tcPr>
                  <w:tcW w:w="170" w:type="pct"/>
                  <w:shd w:val="clear" w:color="auto" w:fill="FFFFFF"/>
                  <w:vAlign w:val="center"/>
                </w:tcPr>
                <w:p w14:paraId="355C3CA2">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spacing w:val="-10"/>
                      <w:kern w:val="0"/>
                      <w:sz w:val="18"/>
                      <w:szCs w:val="18"/>
                      <w:lang w:val="en-US" w:eastAsia="zh-CN" w:bidi="ar-SA"/>
                    </w:rPr>
                  </w:pPr>
                  <w:r>
                    <w:rPr>
                      <w:rFonts w:hint="eastAsia" w:cs="Times New Roman"/>
                      <w:color w:val="000000"/>
                      <w:spacing w:val="-10"/>
                      <w:kern w:val="0"/>
                      <w:sz w:val="18"/>
                      <w:szCs w:val="18"/>
                      <w:lang w:val="en-US" w:eastAsia="zh-CN" w:bidi="ar-SA"/>
                    </w:rPr>
                    <w:t>2</w:t>
                  </w:r>
                </w:p>
              </w:tc>
              <w:tc>
                <w:tcPr>
                  <w:tcW w:w="441" w:type="pct"/>
                  <w:shd w:val="clear" w:color="auto" w:fill="FFFFFF"/>
                  <w:vAlign w:val="center"/>
                </w:tcPr>
                <w:p w14:paraId="1EBFB6C1">
                  <w:pPr>
                    <w:keepNext w:val="0"/>
                    <w:keepLines w:val="0"/>
                    <w:pageBreakBefore w:val="0"/>
                    <w:kinsoku/>
                    <w:wordWrap/>
                    <w:overflowPunct/>
                    <w:topLinePunct w:val="0"/>
                    <w:bidi w:val="0"/>
                    <w:spacing w:line="240" w:lineRule="auto"/>
                    <w:jc w:val="center"/>
                    <w:rPr>
                      <w:sz w:val="18"/>
                      <w:szCs w:val="18"/>
                    </w:rPr>
                  </w:pPr>
                  <w:r>
                    <w:rPr>
                      <w:sz w:val="18"/>
                      <w:szCs w:val="18"/>
                    </w:rPr>
                    <w:t>/</w:t>
                  </w:r>
                </w:p>
              </w:tc>
              <w:tc>
                <w:tcPr>
                  <w:tcW w:w="333" w:type="pct"/>
                  <w:shd w:val="clear" w:color="auto" w:fill="FFFFFF"/>
                  <w:vAlign w:val="center"/>
                </w:tcPr>
                <w:p w14:paraId="02F78AD7">
                  <w:pPr>
                    <w:keepNext w:val="0"/>
                    <w:keepLines w:val="0"/>
                    <w:pageBreakBefore w:val="0"/>
                    <w:kinsoku/>
                    <w:wordWrap/>
                    <w:overflowPunct/>
                    <w:topLinePunct w:val="0"/>
                    <w:bidi w:val="0"/>
                    <w:spacing w:line="240" w:lineRule="auto"/>
                    <w:jc w:val="center"/>
                    <w:rPr>
                      <w:sz w:val="18"/>
                      <w:szCs w:val="18"/>
                    </w:rPr>
                  </w:pPr>
                  <w:r>
                    <w:rPr>
                      <w:sz w:val="18"/>
                      <w:szCs w:val="18"/>
                    </w:rPr>
                    <w:t>80</w:t>
                  </w:r>
                </w:p>
              </w:tc>
              <w:tc>
                <w:tcPr>
                  <w:tcW w:w="214" w:type="pct"/>
                  <w:vMerge w:val="continue"/>
                  <w:shd w:val="clear" w:color="auto" w:fill="FFFFFF"/>
                  <w:vAlign w:val="center"/>
                </w:tcPr>
                <w:p w14:paraId="0A558F13">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265" w:type="pct"/>
                  <w:shd w:val="clear" w:color="auto" w:fill="FFFFFF"/>
                  <w:vAlign w:val="center"/>
                </w:tcPr>
                <w:p w14:paraId="0D825D2E">
                  <w:pPr>
                    <w:pStyle w:val="24"/>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12</w:t>
                  </w:r>
                </w:p>
              </w:tc>
              <w:tc>
                <w:tcPr>
                  <w:tcW w:w="270" w:type="pct"/>
                  <w:shd w:val="clear" w:color="auto" w:fill="FFFFFF"/>
                  <w:vAlign w:val="center"/>
                </w:tcPr>
                <w:p w14:paraId="109D3B88">
                  <w:pPr>
                    <w:pStyle w:val="24"/>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sz w:val="18"/>
                      <w:szCs w:val="18"/>
                      <w:lang w:val="en-US" w:eastAsia="zh-CN"/>
                    </w:rPr>
                    <w:t>22</w:t>
                  </w:r>
                </w:p>
              </w:tc>
              <w:tc>
                <w:tcPr>
                  <w:tcW w:w="230" w:type="pct"/>
                  <w:shd w:val="clear" w:color="auto" w:fill="FFFFFF"/>
                  <w:vAlign w:val="center"/>
                </w:tcPr>
                <w:p w14:paraId="78399FF3">
                  <w:pPr>
                    <w:keepNext w:val="0"/>
                    <w:keepLines w:val="0"/>
                    <w:pageBreakBefore w:val="0"/>
                    <w:kinsoku/>
                    <w:wordWrap/>
                    <w:overflowPunct/>
                    <w:topLinePunct w:val="0"/>
                    <w:bidi w:val="0"/>
                    <w:spacing w:line="240" w:lineRule="auto"/>
                    <w:jc w:val="center"/>
                    <w:rPr>
                      <w:sz w:val="18"/>
                      <w:szCs w:val="18"/>
                    </w:rPr>
                  </w:pPr>
                  <w:r>
                    <w:rPr>
                      <w:rFonts w:hint="eastAsia"/>
                      <w:sz w:val="18"/>
                      <w:szCs w:val="18"/>
                      <w:lang w:val="en-US" w:eastAsia="zh-CN"/>
                    </w:rPr>
                    <w:t>1</w:t>
                  </w:r>
                </w:p>
              </w:tc>
              <w:tc>
                <w:tcPr>
                  <w:tcW w:w="314" w:type="pct"/>
                  <w:shd w:val="clear" w:color="auto" w:fill="FFFFFF"/>
                  <w:vAlign w:val="center"/>
                </w:tcPr>
                <w:p w14:paraId="2C84884D">
                  <w:pPr>
                    <w:keepNext w:val="0"/>
                    <w:keepLines w:val="0"/>
                    <w:pageBreakBefore w:val="0"/>
                    <w:kinsoku/>
                    <w:wordWrap/>
                    <w:overflowPunct/>
                    <w:topLinePunct w:val="0"/>
                    <w:bidi w:val="0"/>
                    <w:spacing w:line="240" w:lineRule="auto"/>
                    <w:jc w:val="center"/>
                    <w:rPr>
                      <w:rFonts w:hint="default" w:eastAsia="宋体"/>
                      <w:sz w:val="18"/>
                      <w:szCs w:val="18"/>
                      <w:lang w:val="en-US" w:eastAsia="zh-CN"/>
                    </w:rPr>
                  </w:pPr>
                  <w:r>
                    <w:rPr>
                      <w:rFonts w:hint="eastAsia"/>
                      <w:sz w:val="18"/>
                      <w:szCs w:val="18"/>
                      <w:lang w:val="en-US" w:eastAsia="zh-CN"/>
                    </w:rPr>
                    <w:t>W12</w:t>
                  </w:r>
                </w:p>
              </w:tc>
              <w:tc>
                <w:tcPr>
                  <w:tcW w:w="305" w:type="pct"/>
                  <w:shd w:val="clear" w:color="auto" w:fill="FFFFFF"/>
                  <w:vAlign w:val="bottom"/>
                </w:tcPr>
                <w:p w14:paraId="3D74E9DC">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 xml:space="preserve">61.4 </w:t>
                  </w:r>
                </w:p>
              </w:tc>
              <w:tc>
                <w:tcPr>
                  <w:tcW w:w="232" w:type="pct"/>
                  <w:shd w:val="clear" w:color="auto" w:fill="FFFFFF"/>
                  <w:vAlign w:val="center"/>
                </w:tcPr>
                <w:p w14:paraId="52F73482">
                  <w:pPr>
                    <w:keepNext w:val="0"/>
                    <w:keepLines w:val="0"/>
                    <w:pageBreakBefore w:val="0"/>
                    <w:kinsoku/>
                    <w:wordWrap/>
                    <w:overflowPunct/>
                    <w:topLinePunct w:val="0"/>
                    <w:bidi w:val="0"/>
                    <w:spacing w:line="240" w:lineRule="auto"/>
                    <w:jc w:val="center"/>
                    <w:rPr>
                      <w:kern w:val="0"/>
                      <w:sz w:val="18"/>
                      <w:szCs w:val="18"/>
                    </w:rPr>
                  </w:pPr>
                  <w:r>
                    <w:rPr>
                      <w:kern w:val="0"/>
                      <w:sz w:val="18"/>
                      <w:szCs w:val="18"/>
                    </w:rPr>
                    <w:t>昼</w:t>
                  </w:r>
                </w:p>
              </w:tc>
              <w:tc>
                <w:tcPr>
                  <w:tcW w:w="358" w:type="pct"/>
                  <w:shd w:val="clear" w:color="auto" w:fill="FFFFFF"/>
                  <w:vAlign w:val="center"/>
                </w:tcPr>
                <w:p w14:paraId="26F66154">
                  <w:pPr>
                    <w:keepNext w:val="0"/>
                    <w:keepLines w:val="0"/>
                    <w:pageBreakBefore w:val="0"/>
                    <w:kinsoku/>
                    <w:wordWrap/>
                    <w:overflowPunct/>
                    <w:topLinePunct w:val="0"/>
                    <w:bidi w:val="0"/>
                    <w:spacing w:line="240" w:lineRule="auto"/>
                    <w:jc w:val="center"/>
                    <w:rPr>
                      <w:kern w:val="0"/>
                      <w:sz w:val="18"/>
                      <w:szCs w:val="18"/>
                    </w:rPr>
                  </w:pPr>
                  <w:r>
                    <w:rPr>
                      <w:kern w:val="0"/>
                      <w:sz w:val="18"/>
                      <w:szCs w:val="18"/>
                    </w:rPr>
                    <w:t>20</w:t>
                  </w:r>
                </w:p>
              </w:tc>
              <w:tc>
                <w:tcPr>
                  <w:tcW w:w="320" w:type="pct"/>
                  <w:shd w:val="clear" w:color="auto" w:fill="FFFFFF"/>
                  <w:vAlign w:val="bottom"/>
                </w:tcPr>
                <w:p w14:paraId="7D5DE3CE">
                  <w:pPr>
                    <w:keepNext w:val="0"/>
                    <w:keepLines w:val="0"/>
                    <w:pageBreakBefore w:val="0"/>
                    <w:widowControl/>
                    <w:suppressLineNumbers w:val="0"/>
                    <w:kinsoku/>
                    <w:wordWrap/>
                    <w:overflowPunct/>
                    <w:topLinePunct w:val="0"/>
                    <w:bidi w:val="0"/>
                    <w:spacing w:line="240" w:lineRule="auto"/>
                    <w:jc w:val="center"/>
                    <w:textAlignment w:val="bottom"/>
                    <w:rPr>
                      <w:kern w:val="0"/>
                      <w:sz w:val="18"/>
                      <w:szCs w:val="18"/>
                    </w:rPr>
                  </w:pPr>
                  <w:r>
                    <w:rPr>
                      <w:rFonts w:hint="eastAsia" w:ascii="Times New Roman" w:hAnsi="Times New Roman" w:eastAsia="宋体" w:cs="Times New Roman"/>
                      <w:color w:val="000000"/>
                      <w:spacing w:val="-10"/>
                      <w:kern w:val="0"/>
                      <w:sz w:val="18"/>
                      <w:szCs w:val="18"/>
                      <w:lang w:val="en-US" w:eastAsia="zh-CN" w:bidi="ar-SA"/>
                    </w:rPr>
                    <w:t xml:space="preserve">61.4 </w:t>
                  </w:r>
                </w:p>
              </w:tc>
              <w:tc>
                <w:tcPr>
                  <w:tcW w:w="368" w:type="pct"/>
                  <w:shd w:val="clear" w:color="auto" w:fill="FFFFFF"/>
                  <w:vAlign w:val="center"/>
                </w:tcPr>
                <w:p w14:paraId="26433587">
                  <w:pPr>
                    <w:keepNext w:val="0"/>
                    <w:keepLines w:val="0"/>
                    <w:pageBreakBefore w:val="0"/>
                    <w:kinsoku/>
                    <w:wordWrap/>
                    <w:overflowPunct/>
                    <w:topLinePunct w:val="0"/>
                    <w:bidi w:val="0"/>
                    <w:spacing w:line="240" w:lineRule="auto"/>
                    <w:jc w:val="center"/>
                    <w:rPr>
                      <w:sz w:val="18"/>
                      <w:szCs w:val="18"/>
                    </w:rPr>
                  </w:pPr>
                  <w:r>
                    <w:rPr>
                      <w:sz w:val="18"/>
                      <w:szCs w:val="18"/>
                    </w:rPr>
                    <w:t>1</w:t>
                  </w:r>
                </w:p>
              </w:tc>
              <w:tc>
                <w:tcPr>
                  <w:tcW w:w="288" w:type="pct"/>
                  <w:vMerge w:val="continue"/>
                  <w:shd w:val="clear" w:color="auto" w:fill="FFFFFF"/>
                  <w:vAlign w:val="center"/>
                </w:tcPr>
                <w:p w14:paraId="0906873E">
                  <w:pPr>
                    <w:keepNext w:val="0"/>
                    <w:keepLines w:val="0"/>
                    <w:pageBreakBefore w:val="0"/>
                    <w:kinsoku/>
                    <w:wordWrap/>
                    <w:overflowPunct/>
                    <w:topLinePunct w:val="0"/>
                    <w:bidi w:val="0"/>
                    <w:spacing w:line="240" w:lineRule="auto"/>
                    <w:jc w:val="center"/>
                    <w:rPr>
                      <w:sz w:val="18"/>
                      <w:szCs w:val="18"/>
                    </w:rPr>
                  </w:pPr>
                </w:p>
              </w:tc>
            </w:tr>
            <w:tr w14:paraId="6F9F22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51" w:type="pct"/>
                  <w:shd w:val="clear" w:color="auto" w:fill="FFFFFF"/>
                  <w:vAlign w:val="center"/>
                </w:tcPr>
                <w:p w14:paraId="7C2A17D7">
                  <w:pPr>
                    <w:pStyle w:val="24"/>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sz w:val="18"/>
                      <w:szCs w:val="18"/>
                      <w:lang w:val="en-US" w:eastAsia="zh-CN"/>
                    </w:rPr>
                    <w:t>8</w:t>
                  </w:r>
                </w:p>
              </w:tc>
              <w:tc>
                <w:tcPr>
                  <w:tcW w:w="257" w:type="pct"/>
                  <w:vMerge w:val="continue"/>
                  <w:shd w:val="clear" w:color="auto" w:fill="FFFFFF"/>
                  <w:vAlign w:val="center"/>
                </w:tcPr>
                <w:p w14:paraId="356312F0">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477" w:type="pct"/>
                  <w:shd w:val="clear" w:color="auto" w:fill="FFFFFF"/>
                  <w:vAlign w:val="center"/>
                </w:tcPr>
                <w:p w14:paraId="303B46BC">
                  <w:pPr>
                    <w:keepNext w:val="0"/>
                    <w:keepLines w:val="0"/>
                    <w:pageBreakBefore w:val="0"/>
                    <w:kinsoku/>
                    <w:wordWrap/>
                    <w:overflowPunct/>
                    <w:topLinePunct w:val="0"/>
                    <w:autoSpaceDE w:val="0"/>
                    <w:autoSpaceDN w:val="0"/>
                    <w:bidi w:val="0"/>
                    <w:spacing w:line="240" w:lineRule="auto"/>
                    <w:jc w:val="center"/>
                    <w:textAlignment w:val="bottom"/>
                    <w:rPr>
                      <w:rFonts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低速混料机</w:t>
                  </w:r>
                </w:p>
              </w:tc>
              <w:tc>
                <w:tcPr>
                  <w:tcW w:w="170" w:type="pct"/>
                  <w:shd w:val="clear" w:color="auto" w:fill="FFFFFF"/>
                  <w:vAlign w:val="center"/>
                </w:tcPr>
                <w:p w14:paraId="5D2F54CF">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spacing w:val="-10"/>
                      <w:kern w:val="0"/>
                      <w:sz w:val="18"/>
                      <w:szCs w:val="18"/>
                      <w:lang w:val="en-US" w:eastAsia="zh-CN" w:bidi="ar-SA"/>
                    </w:rPr>
                  </w:pPr>
                  <w:r>
                    <w:rPr>
                      <w:rFonts w:hint="eastAsia" w:cs="Times New Roman"/>
                      <w:color w:val="000000"/>
                      <w:spacing w:val="-10"/>
                      <w:kern w:val="0"/>
                      <w:sz w:val="18"/>
                      <w:szCs w:val="18"/>
                      <w:lang w:val="en-US" w:eastAsia="zh-CN" w:bidi="ar-SA"/>
                    </w:rPr>
                    <w:t>3</w:t>
                  </w:r>
                </w:p>
              </w:tc>
              <w:tc>
                <w:tcPr>
                  <w:tcW w:w="441" w:type="pct"/>
                  <w:shd w:val="clear" w:color="auto" w:fill="FFFFFF"/>
                  <w:vAlign w:val="center"/>
                </w:tcPr>
                <w:p w14:paraId="1F5AE37E">
                  <w:pPr>
                    <w:keepNext w:val="0"/>
                    <w:keepLines w:val="0"/>
                    <w:pageBreakBefore w:val="0"/>
                    <w:kinsoku/>
                    <w:wordWrap/>
                    <w:overflowPunct/>
                    <w:topLinePunct w:val="0"/>
                    <w:bidi w:val="0"/>
                    <w:spacing w:line="240" w:lineRule="auto"/>
                    <w:jc w:val="center"/>
                    <w:rPr>
                      <w:sz w:val="18"/>
                      <w:szCs w:val="18"/>
                    </w:rPr>
                  </w:pPr>
                  <w:r>
                    <w:rPr>
                      <w:sz w:val="18"/>
                      <w:szCs w:val="18"/>
                    </w:rPr>
                    <w:t>/</w:t>
                  </w:r>
                </w:p>
              </w:tc>
              <w:tc>
                <w:tcPr>
                  <w:tcW w:w="333" w:type="pct"/>
                  <w:shd w:val="clear" w:color="auto" w:fill="FFFFFF"/>
                  <w:vAlign w:val="center"/>
                </w:tcPr>
                <w:p w14:paraId="0A57CA85">
                  <w:pPr>
                    <w:keepNext w:val="0"/>
                    <w:keepLines w:val="0"/>
                    <w:pageBreakBefore w:val="0"/>
                    <w:kinsoku/>
                    <w:wordWrap/>
                    <w:overflowPunct/>
                    <w:topLinePunct w:val="0"/>
                    <w:bidi w:val="0"/>
                    <w:spacing w:line="240" w:lineRule="auto"/>
                    <w:jc w:val="center"/>
                    <w:rPr>
                      <w:sz w:val="18"/>
                      <w:szCs w:val="18"/>
                    </w:rPr>
                  </w:pPr>
                  <w:r>
                    <w:rPr>
                      <w:sz w:val="18"/>
                      <w:szCs w:val="18"/>
                    </w:rPr>
                    <w:t>80</w:t>
                  </w:r>
                </w:p>
              </w:tc>
              <w:tc>
                <w:tcPr>
                  <w:tcW w:w="214" w:type="pct"/>
                  <w:vMerge w:val="continue"/>
                  <w:shd w:val="clear" w:color="auto" w:fill="FFFFFF"/>
                  <w:vAlign w:val="center"/>
                </w:tcPr>
                <w:p w14:paraId="74E68827">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265" w:type="pct"/>
                  <w:shd w:val="clear" w:color="auto" w:fill="FFFFFF"/>
                  <w:vAlign w:val="center"/>
                </w:tcPr>
                <w:p w14:paraId="719FBBDB">
                  <w:pPr>
                    <w:pStyle w:val="24"/>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16</w:t>
                  </w:r>
                </w:p>
              </w:tc>
              <w:tc>
                <w:tcPr>
                  <w:tcW w:w="270" w:type="pct"/>
                  <w:shd w:val="clear" w:color="auto" w:fill="FFFFFF"/>
                  <w:vAlign w:val="center"/>
                </w:tcPr>
                <w:p w14:paraId="3390D073">
                  <w:pPr>
                    <w:pStyle w:val="24"/>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sz w:val="18"/>
                      <w:szCs w:val="18"/>
                      <w:lang w:val="en-US" w:eastAsia="zh-CN"/>
                    </w:rPr>
                    <w:t>20</w:t>
                  </w:r>
                </w:p>
              </w:tc>
              <w:tc>
                <w:tcPr>
                  <w:tcW w:w="230" w:type="pct"/>
                  <w:shd w:val="clear" w:color="auto" w:fill="FFFFFF"/>
                  <w:vAlign w:val="center"/>
                </w:tcPr>
                <w:p w14:paraId="42A394D1">
                  <w:pPr>
                    <w:keepNext w:val="0"/>
                    <w:keepLines w:val="0"/>
                    <w:pageBreakBefore w:val="0"/>
                    <w:kinsoku/>
                    <w:wordWrap/>
                    <w:overflowPunct/>
                    <w:topLinePunct w:val="0"/>
                    <w:bidi w:val="0"/>
                    <w:spacing w:line="240" w:lineRule="auto"/>
                    <w:jc w:val="center"/>
                    <w:rPr>
                      <w:rFonts w:ascii="Times New Roman" w:hAnsi="Times New Roman" w:eastAsia="宋体"/>
                      <w:sz w:val="18"/>
                      <w:szCs w:val="18"/>
                    </w:rPr>
                  </w:pPr>
                  <w:r>
                    <w:rPr>
                      <w:rFonts w:hint="eastAsia"/>
                      <w:sz w:val="18"/>
                      <w:szCs w:val="18"/>
                      <w:lang w:val="en-US" w:eastAsia="zh-CN"/>
                    </w:rPr>
                    <w:t>1</w:t>
                  </w:r>
                </w:p>
              </w:tc>
              <w:tc>
                <w:tcPr>
                  <w:tcW w:w="314" w:type="pct"/>
                  <w:shd w:val="clear" w:color="auto" w:fill="FFFFFF"/>
                  <w:vAlign w:val="center"/>
                </w:tcPr>
                <w:p w14:paraId="475D1E45">
                  <w:pPr>
                    <w:keepNext w:val="0"/>
                    <w:keepLines w:val="0"/>
                    <w:pageBreakBefore w:val="0"/>
                    <w:kinsoku/>
                    <w:wordWrap/>
                    <w:overflowPunct/>
                    <w:topLinePunct w:val="0"/>
                    <w:bidi w:val="0"/>
                    <w:spacing w:line="240" w:lineRule="auto"/>
                    <w:jc w:val="center"/>
                    <w:rPr>
                      <w:rFonts w:hint="default" w:eastAsia="宋体"/>
                      <w:sz w:val="18"/>
                      <w:szCs w:val="18"/>
                      <w:lang w:val="en-US" w:eastAsia="zh-CN"/>
                    </w:rPr>
                  </w:pPr>
                  <w:r>
                    <w:rPr>
                      <w:rFonts w:hint="eastAsia"/>
                      <w:sz w:val="18"/>
                      <w:szCs w:val="18"/>
                      <w:lang w:val="en-US" w:eastAsia="zh-CN"/>
                    </w:rPr>
                    <w:t>N10</w:t>
                  </w:r>
                </w:p>
              </w:tc>
              <w:tc>
                <w:tcPr>
                  <w:tcW w:w="305" w:type="pct"/>
                  <w:shd w:val="clear" w:color="auto" w:fill="FFFFFF"/>
                  <w:vAlign w:val="bottom"/>
                </w:tcPr>
                <w:p w14:paraId="5415BEDF">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 xml:space="preserve">64.8 </w:t>
                  </w:r>
                </w:p>
              </w:tc>
              <w:tc>
                <w:tcPr>
                  <w:tcW w:w="232" w:type="pct"/>
                  <w:shd w:val="clear" w:color="auto" w:fill="FFFFFF"/>
                  <w:vAlign w:val="center"/>
                </w:tcPr>
                <w:p w14:paraId="4A6C47CC">
                  <w:pPr>
                    <w:keepNext w:val="0"/>
                    <w:keepLines w:val="0"/>
                    <w:pageBreakBefore w:val="0"/>
                    <w:kinsoku/>
                    <w:wordWrap/>
                    <w:overflowPunct/>
                    <w:topLinePunct w:val="0"/>
                    <w:bidi w:val="0"/>
                    <w:spacing w:line="240" w:lineRule="auto"/>
                    <w:jc w:val="center"/>
                    <w:rPr>
                      <w:kern w:val="0"/>
                      <w:sz w:val="18"/>
                      <w:szCs w:val="18"/>
                    </w:rPr>
                  </w:pPr>
                  <w:r>
                    <w:rPr>
                      <w:kern w:val="0"/>
                      <w:sz w:val="18"/>
                      <w:szCs w:val="18"/>
                    </w:rPr>
                    <w:t>昼</w:t>
                  </w:r>
                </w:p>
              </w:tc>
              <w:tc>
                <w:tcPr>
                  <w:tcW w:w="358" w:type="pct"/>
                  <w:shd w:val="clear" w:color="auto" w:fill="FFFFFF"/>
                  <w:vAlign w:val="center"/>
                </w:tcPr>
                <w:p w14:paraId="2D13829B">
                  <w:pPr>
                    <w:keepNext w:val="0"/>
                    <w:keepLines w:val="0"/>
                    <w:pageBreakBefore w:val="0"/>
                    <w:kinsoku/>
                    <w:wordWrap/>
                    <w:overflowPunct/>
                    <w:topLinePunct w:val="0"/>
                    <w:bidi w:val="0"/>
                    <w:spacing w:line="240" w:lineRule="auto"/>
                    <w:jc w:val="center"/>
                    <w:rPr>
                      <w:kern w:val="0"/>
                      <w:sz w:val="18"/>
                      <w:szCs w:val="18"/>
                    </w:rPr>
                  </w:pPr>
                  <w:r>
                    <w:rPr>
                      <w:kern w:val="0"/>
                      <w:sz w:val="18"/>
                      <w:szCs w:val="18"/>
                    </w:rPr>
                    <w:t>20</w:t>
                  </w:r>
                </w:p>
              </w:tc>
              <w:tc>
                <w:tcPr>
                  <w:tcW w:w="320" w:type="pct"/>
                  <w:shd w:val="clear" w:color="auto" w:fill="FFFFFF"/>
                  <w:vAlign w:val="bottom"/>
                </w:tcPr>
                <w:p w14:paraId="7B94C303">
                  <w:pPr>
                    <w:keepNext w:val="0"/>
                    <w:keepLines w:val="0"/>
                    <w:pageBreakBefore w:val="0"/>
                    <w:widowControl/>
                    <w:suppressLineNumbers w:val="0"/>
                    <w:kinsoku/>
                    <w:wordWrap/>
                    <w:overflowPunct/>
                    <w:topLinePunct w:val="0"/>
                    <w:bidi w:val="0"/>
                    <w:spacing w:line="240" w:lineRule="auto"/>
                    <w:jc w:val="center"/>
                    <w:textAlignment w:val="bottom"/>
                    <w:rPr>
                      <w:kern w:val="0"/>
                      <w:sz w:val="18"/>
                      <w:szCs w:val="18"/>
                    </w:rPr>
                  </w:pPr>
                  <w:r>
                    <w:rPr>
                      <w:rFonts w:hint="eastAsia" w:ascii="Times New Roman" w:hAnsi="Times New Roman" w:eastAsia="宋体" w:cs="Times New Roman"/>
                      <w:color w:val="000000"/>
                      <w:spacing w:val="-10"/>
                      <w:kern w:val="0"/>
                      <w:sz w:val="18"/>
                      <w:szCs w:val="18"/>
                      <w:lang w:val="en-US" w:eastAsia="zh-CN" w:bidi="ar-SA"/>
                    </w:rPr>
                    <w:t xml:space="preserve">64.8 </w:t>
                  </w:r>
                </w:p>
              </w:tc>
              <w:tc>
                <w:tcPr>
                  <w:tcW w:w="368" w:type="pct"/>
                  <w:shd w:val="clear" w:color="auto" w:fill="FFFFFF"/>
                  <w:vAlign w:val="center"/>
                </w:tcPr>
                <w:p w14:paraId="1D367642">
                  <w:pPr>
                    <w:keepNext w:val="0"/>
                    <w:keepLines w:val="0"/>
                    <w:pageBreakBefore w:val="0"/>
                    <w:kinsoku/>
                    <w:wordWrap/>
                    <w:overflowPunct/>
                    <w:topLinePunct w:val="0"/>
                    <w:bidi w:val="0"/>
                    <w:spacing w:line="240" w:lineRule="auto"/>
                    <w:jc w:val="center"/>
                    <w:rPr>
                      <w:sz w:val="18"/>
                      <w:szCs w:val="18"/>
                    </w:rPr>
                  </w:pPr>
                  <w:r>
                    <w:rPr>
                      <w:sz w:val="18"/>
                      <w:szCs w:val="18"/>
                    </w:rPr>
                    <w:t>1</w:t>
                  </w:r>
                </w:p>
              </w:tc>
              <w:tc>
                <w:tcPr>
                  <w:tcW w:w="288" w:type="pct"/>
                  <w:vMerge w:val="continue"/>
                  <w:shd w:val="clear" w:color="auto" w:fill="FFFFFF"/>
                  <w:vAlign w:val="center"/>
                </w:tcPr>
                <w:p w14:paraId="2F9765DC">
                  <w:pPr>
                    <w:keepNext w:val="0"/>
                    <w:keepLines w:val="0"/>
                    <w:pageBreakBefore w:val="0"/>
                    <w:kinsoku/>
                    <w:wordWrap/>
                    <w:overflowPunct/>
                    <w:topLinePunct w:val="0"/>
                    <w:bidi w:val="0"/>
                    <w:spacing w:line="240" w:lineRule="auto"/>
                    <w:jc w:val="center"/>
                    <w:rPr>
                      <w:sz w:val="18"/>
                      <w:szCs w:val="18"/>
                    </w:rPr>
                  </w:pPr>
                </w:p>
              </w:tc>
            </w:tr>
            <w:tr w14:paraId="06498E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51" w:type="pct"/>
                  <w:shd w:val="clear" w:color="auto" w:fill="FFFFFF"/>
                  <w:vAlign w:val="center"/>
                </w:tcPr>
                <w:p w14:paraId="28257BE1">
                  <w:pPr>
                    <w:pStyle w:val="24"/>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sz w:val="18"/>
                      <w:szCs w:val="18"/>
                      <w:lang w:val="en-US" w:eastAsia="zh-CN"/>
                    </w:rPr>
                    <w:t>9</w:t>
                  </w:r>
                </w:p>
              </w:tc>
              <w:tc>
                <w:tcPr>
                  <w:tcW w:w="257" w:type="pct"/>
                  <w:vMerge w:val="continue"/>
                  <w:shd w:val="clear" w:color="auto" w:fill="FFFFFF"/>
                  <w:vAlign w:val="center"/>
                </w:tcPr>
                <w:p w14:paraId="5F4999BF">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477" w:type="pct"/>
                  <w:shd w:val="clear" w:color="auto" w:fill="FFFFFF"/>
                  <w:vAlign w:val="center"/>
                </w:tcPr>
                <w:p w14:paraId="3D9999D6">
                  <w:pPr>
                    <w:keepNext w:val="0"/>
                    <w:keepLines w:val="0"/>
                    <w:pageBreakBefore w:val="0"/>
                    <w:kinsoku/>
                    <w:wordWrap/>
                    <w:overflowPunct/>
                    <w:topLinePunct w:val="0"/>
                    <w:autoSpaceDE w:val="0"/>
                    <w:autoSpaceDN w:val="0"/>
                    <w:bidi w:val="0"/>
                    <w:spacing w:line="240" w:lineRule="auto"/>
                    <w:jc w:val="center"/>
                    <w:textAlignment w:val="bottom"/>
                    <w:rPr>
                      <w:rFonts w:ascii="Times New Roman" w:hAnsi="Times New Roman" w:eastAsia="宋体" w:cs="Times New Roman"/>
                      <w:color w:val="000000"/>
                      <w:spacing w:val="-10"/>
                      <w:kern w:val="0"/>
                      <w:sz w:val="18"/>
                      <w:szCs w:val="18"/>
                      <w:lang w:val="en-US" w:eastAsia="zh-CN" w:bidi="ar-SA"/>
                    </w:rPr>
                  </w:pPr>
                  <w:r>
                    <w:rPr>
                      <w:rFonts w:hint="eastAsia" w:cs="Times New Roman"/>
                      <w:color w:val="000000"/>
                      <w:spacing w:val="-10"/>
                      <w:kern w:val="0"/>
                      <w:sz w:val="18"/>
                      <w:szCs w:val="18"/>
                      <w:lang w:val="en-US" w:eastAsia="zh-CN" w:bidi="ar-SA"/>
                    </w:rPr>
                    <w:t>螺旋</w:t>
                  </w:r>
                  <w:r>
                    <w:rPr>
                      <w:rFonts w:hint="eastAsia" w:ascii="Times New Roman" w:hAnsi="Times New Roman" w:eastAsia="宋体" w:cs="Times New Roman"/>
                      <w:color w:val="000000"/>
                      <w:spacing w:val="-10"/>
                      <w:kern w:val="0"/>
                      <w:sz w:val="18"/>
                      <w:szCs w:val="18"/>
                      <w:lang w:val="en-US" w:eastAsia="zh-CN" w:bidi="ar-SA"/>
                    </w:rPr>
                    <w:t>上料机</w:t>
                  </w:r>
                </w:p>
              </w:tc>
              <w:tc>
                <w:tcPr>
                  <w:tcW w:w="170" w:type="pct"/>
                  <w:shd w:val="clear" w:color="auto" w:fill="FFFFFF"/>
                  <w:vAlign w:val="center"/>
                </w:tcPr>
                <w:p w14:paraId="61998A5D">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spacing w:val="-10"/>
                      <w:kern w:val="0"/>
                      <w:sz w:val="18"/>
                      <w:szCs w:val="18"/>
                      <w:lang w:val="en-US" w:eastAsia="zh-CN" w:bidi="ar-SA"/>
                    </w:rPr>
                  </w:pPr>
                  <w:r>
                    <w:rPr>
                      <w:rFonts w:hint="eastAsia" w:cs="Times New Roman"/>
                      <w:color w:val="000000"/>
                      <w:spacing w:val="-10"/>
                      <w:kern w:val="0"/>
                      <w:sz w:val="18"/>
                      <w:szCs w:val="18"/>
                      <w:lang w:val="en-US" w:eastAsia="zh-CN" w:bidi="ar-SA"/>
                    </w:rPr>
                    <w:t>2</w:t>
                  </w:r>
                </w:p>
              </w:tc>
              <w:tc>
                <w:tcPr>
                  <w:tcW w:w="441" w:type="pct"/>
                  <w:shd w:val="clear" w:color="auto" w:fill="FFFFFF"/>
                  <w:vAlign w:val="center"/>
                </w:tcPr>
                <w:p w14:paraId="158134F9">
                  <w:pPr>
                    <w:keepNext w:val="0"/>
                    <w:keepLines w:val="0"/>
                    <w:pageBreakBefore w:val="0"/>
                    <w:kinsoku/>
                    <w:wordWrap/>
                    <w:overflowPunct/>
                    <w:topLinePunct w:val="0"/>
                    <w:bidi w:val="0"/>
                    <w:spacing w:line="240" w:lineRule="auto"/>
                    <w:jc w:val="center"/>
                    <w:rPr>
                      <w:sz w:val="18"/>
                      <w:szCs w:val="18"/>
                    </w:rPr>
                  </w:pPr>
                  <w:r>
                    <w:rPr>
                      <w:sz w:val="18"/>
                      <w:szCs w:val="18"/>
                    </w:rPr>
                    <w:t>/</w:t>
                  </w:r>
                </w:p>
              </w:tc>
              <w:tc>
                <w:tcPr>
                  <w:tcW w:w="333" w:type="pct"/>
                  <w:shd w:val="clear" w:color="auto" w:fill="FFFFFF"/>
                  <w:vAlign w:val="center"/>
                </w:tcPr>
                <w:p w14:paraId="5C20FEE0">
                  <w:pPr>
                    <w:keepNext w:val="0"/>
                    <w:keepLines w:val="0"/>
                    <w:pageBreakBefore w:val="0"/>
                    <w:kinsoku/>
                    <w:wordWrap/>
                    <w:overflowPunct/>
                    <w:topLinePunct w:val="0"/>
                    <w:bidi w:val="0"/>
                    <w:spacing w:line="240" w:lineRule="auto"/>
                    <w:jc w:val="center"/>
                    <w:rPr>
                      <w:rFonts w:hint="default" w:eastAsia="宋体"/>
                      <w:sz w:val="18"/>
                      <w:szCs w:val="18"/>
                      <w:lang w:val="en-US" w:eastAsia="zh-CN"/>
                    </w:rPr>
                  </w:pPr>
                  <w:r>
                    <w:rPr>
                      <w:rFonts w:hint="eastAsia"/>
                      <w:sz w:val="18"/>
                      <w:szCs w:val="18"/>
                      <w:lang w:val="en-US" w:eastAsia="zh-CN"/>
                    </w:rPr>
                    <w:t>75</w:t>
                  </w:r>
                </w:p>
              </w:tc>
              <w:tc>
                <w:tcPr>
                  <w:tcW w:w="214" w:type="pct"/>
                  <w:vMerge w:val="continue"/>
                  <w:shd w:val="clear" w:color="auto" w:fill="FFFFFF"/>
                  <w:vAlign w:val="center"/>
                </w:tcPr>
                <w:p w14:paraId="227138C8">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265" w:type="pct"/>
                  <w:shd w:val="clear" w:color="auto" w:fill="FFFFFF"/>
                  <w:vAlign w:val="center"/>
                </w:tcPr>
                <w:p w14:paraId="740C01A6">
                  <w:pPr>
                    <w:pStyle w:val="24"/>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8</w:t>
                  </w:r>
                </w:p>
              </w:tc>
              <w:tc>
                <w:tcPr>
                  <w:tcW w:w="270" w:type="pct"/>
                  <w:shd w:val="clear" w:color="auto" w:fill="FFFFFF"/>
                  <w:vAlign w:val="center"/>
                </w:tcPr>
                <w:p w14:paraId="79CBCD33">
                  <w:pPr>
                    <w:pStyle w:val="24"/>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sz w:val="18"/>
                      <w:szCs w:val="18"/>
                      <w:lang w:val="en-US" w:eastAsia="zh-CN"/>
                    </w:rPr>
                    <w:t>18</w:t>
                  </w:r>
                </w:p>
              </w:tc>
              <w:tc>
                <w:tcPr>
                  <w:tcW w:w="230" w:type="pct"/>
                  <w:shd w:val="clear" w:color="auto" w:fill="FFFFFF"/>
                  <w:vAlign w:val="center"/>
                </w:tcPr>
                <w:p w14:paraId="7C09BBBA">
                  <w:pPr>
                    <w:keepNext w:val="0"/>
                    <w:keepLines w:val="0"/>
                    <w:pageBreakBefore w:val="0"/>
                    <w:kinsoku/>
                    <w:wordWrap/>
                    <w:overflowPunct/>
                    <w:topLinePunct w:val="0"/>
                    <w:bidi w:val="0"/>
                    <w:spacing w:line="240" w:lineRule="auto"/>
                    <w:jc w:val="center"/>
                    <w:rPr>
                      <w:sz w:val="18"/>
                      <w:szCs w:val="18"/>
                    </w:rPr>
                  </w:pPr>
                  <w:r>
                    <w:rPr>
                      <w:rFonts w:hint="eastAsia"/>
                      <w:sz w:val="18"/>
                      <w:szCs w:val="18"/>
                      <w:lang w:val="en-US" w:eastAsia="zh-CN"/>
                    </w:rPr>
                    <w:t>1</w:t>
                  </w:r>
                </w:p>
              </w:tc>
              <w:tc>
                <w:tcPr>
                  <w:tcW w:w="314" w:type="pct"/>
                  <w:shd w:val="clear" w:color="auto" w:fill="FFFFFF"/>
                  <w:vAlign w:val="center"/>
                </w:tcPr>
                <w:p w14:paraId="2C455153">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W8</w:t>
                  </w:r>
                </w:p>
              </w:tc>
              <w:tc>
                <w:tcPr>
                  <w:tcW w:w="305" w:type="pct"/>
                  <w:shd w:val="clear" w:color="auto" w:fill="FFFFFF"/>
                  <w:vAlign w:val="bottom"/>
                </w:tcPr>
                <w:p w14:paraId="6E3481D8">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 xml:space="preserve">59.9 </w:t>
                  </w:r>
                </w:p>
              </w:tc>
              <w:tc>
                <w:tcPr>
                  <w:tcW w:w="232" w:type="pct"/>
                  <w:shd w:val="clear" w:color="auto" w:fill="FFFFFF"/>
                  <w:vAlign w:val="center"/>
                </w:tcPr>
                <w:p w14:paraId="5FF5A3C4">
                  <w:pPr>
                    <w:keepNext w:val="0"/>
                    <w:keepLines w:val="0"/>
                    <w:pageBreakBefore w:val="0"/>
                    <w:kinsoku/>
                    <w:wordWrap/>
                    <w:overflowPunct/>
                    <w:topLinePunct w:val="0"/>
                    <w:bidi w:val="0"/>
                    <w:spacing w:line="240" w:lineRule="auto"/>
                    <w:jc w:val="center"/>
                    <w:rPr>
                      <w:kern w:val="0"/>
                      <w:sz w:val="18"/>
                      <w:szCs w:val="18"/>
                    </w:rPr>
                  </w:pPr>
                  <w:r>
                    <w:rPr>
                      <w:kern w:val="0"/>
                      <w:sz w:val="18"/>
                      <w:szCs w:val="18"/>
                    </w:rPr>
                    <w:t>昼</w:t>
                  </w:r>
                </w:p>
              </w:tc>
              <w:tc>
                <w:tcPr>
                  <w:tcW w:w="358" w:type="pct"/>
                  <w:shd w:val="clear" w:color="auto" w:fill="FFFFFF"/>
                  <w:vAlign w:val="center"/>
                </w:tcPr>
                <w:p w14:paraId="73381B44">
                  <w:pPr>
                    <w:keepNext w:val="0"/>
                    <w:keepLines w:val="0"/>
                    <w:pageBreakBefore w:val="0"/>
                    <w:kinsoku/>
                    <w:wordWrap/>
                    <w:overflowPunct/>
                    <w:topLinePunct w:val="0"/>
                    <w:bidi w:val="0"/>
                    <w:spacing w:line="240" w:lineRule="auto"/>
                    <w:jc w:val="center"/>
                    <w:rPr>
                      <w:kern w:val="0"/>
                      <w:sz w:val="18"/>
                      <w:szCs w:val="18"/>
                    </w:rPr>
                  </w:pPr>
                  <w:r>
                    <w:rPr>
                      <w:kern w:val="0"/>
                      <w:sz w:val="18"/>
                      <w:szCs w:val="18"/>
                    </w:rPr>
                    <w:t>20</w:t>
                  </w:r>
                </w:p>
              </w:tc>
              <w:tc>
                <w:tcPr>
                  <w:tcW w:w="320" w:type="pct"/>
                  <w:shd w:val="clear" w:color="auto" w:fill="FFFFFF"/>
                  <w:vAlign w:val="bottom"/>
                </w:tcPr>
                <w:p w14:paraId="1AA0B270">
                  <w:pPr>
                    <w:keepNext w:val="0"/>
                    <w:keepLines w:val="0"/>
                    <w:pageBreakBefore w:val="0"/>
                    <w:widowControl/>
                    <w:suppressLineNumbers w:val="0"/>
                    <w:kinsoku/>
                    <w:wordWrap/>
                    <w:overflowPunct/>
                    <w:topLinePunct w:val="0"/>
                    <w:bidi w:val="0"/>
                    <w:spacing w:line="240" w:lineRule="auto"/>
                    <w:jc w:val="center"/>
                    <w:textAlignment w:val="bottom"/>
                    <w:rPr>
                      <w:kern w:val="0"/>
                      <w:sz w:val="18"/>
                      <w:szCs w:val="18"/>
                    </w:rPr>
                  </w:pPr>
                  <w:r>
                    <w:rPr>
                      <w:rFonts w:hint="eastAsia" w:ascii="Times New Roman" w:hAnsi="Times New Roman" w:eastAsia="宋体" w:cs="Times New Roman"/>
                      <w:color w:val="000000"/>
                      <w:spacing w:val="-10"/>
                      <w:kern w:val="0"/>
                      <w:sz w:val="18"/>
                      <w:szCs w:val="18"/>
                      <w:lang w:val="en-US" w:eastAsia="zh-CN" w:bidi="ar-SA"/>
                    </w:rPr>
                    <w:t xml:space="preserve">59.9 </w:t>
                  </w:r>
                </w:p>
              </w:tc>
              <w:tc>
                <w:tcPr>
                  <w:tcW w:w="368" w:type="pct"/>
                  <w:shd w:val="clear" w:color="auto" w:fill="FFFFFF"/>
                  <w:vAlign w:val="center"/>
                </w:tcPr>
                <w:p w14:paraId="5C3E32DB">
                  <w:pPr>
                    <w:keepNext w:val="0"/>
                    <w:keepLines w:val="0"/>
                    <w:pageBreakBefore w:val="0"/>
                    <w:kinsoku/>
                    <w:wordWrap/>
                    <w:overflowPunct/>
                    <w:topLinePunct w:val="0"/>
                    <w:bidi w:val="0"/>
                    <w:spacing w:line="240" w:lineRule="auto"/>
                    <w:jc w:val="center"/>
                    <w:rPr>
                      <w:sz w:val="18"/>
                      <w:szCs w:val="18"/>
                    </w:rPr>
                  </w:pPr>
                  <w:r>
                    <w:rPr>
                      <w:sz w:val="18"/>
                      <w:szCs w:val="18"/>
                    </w:rPr>
                    <w:t>1</w:t>
                  </w:r>
                </w:p>
              </w:tc>
              <w:tc>
                <w:tcPr>
                  <w:tcW w:w="288" w:type="pct"/>
                  <w:vMerge w:val="continue"/>
                  <w:shd w:val="clear" w:color="auto" w:fill="FFFFFF"/>
                  <w:vAlign w:val="center"/>
                </w:tcPr>
                <w:p w14:paraId="446FDB9F">
                  <w:pPr>
                    <w:keepNext w:val="0"/>
                    <w:keepLines w:val="0"/>
                    <w:pageBreakBefore w:val="0"/>
                    <w:kinsoku/>
                    <w:wordWrap/>
                    <w:overflowPunct/>
                    <w:topLinePunct w:val="0"/>
                    <w:bidi w:val="0"/>
                    <w:spacing w:line="240" w:lineRule="auto"/>
                    <w:jc w:val="center"/>
                    <w:rPr>
                      <w:sz w:val="18"/>
                      <w:szCs w:val="18"/>
                    </w:rPr>
                  </w:pPr>
                </w:p>
              </w:tc>
            </w:tr>
            <w:tr w14:paraId="53773E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51" w:type="pct"/>
                  <w:shd w:val="clear" w:color="auto" w:fill="FFFFFF"/>
                  <w:vAlign w:val="center"/>
                </w:tcPr>
                <w:p w14:paraId="25A34627">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10</w:t>
                  </w:r>
                </w:p>
              </w:tc>
              <w:tc>
                <w:tcPr>
                  <w:tcW w:w="257" w:type="pct"/>
                  <w:vMerge w:val="continue"/>
                  <w:shd w:val="clear" w:color="auto" w:fill="FFFFFF"/>
                  <w:vAlign w:val="center"/>
                </w:tcPr>
                <w:p w14:paraId="7CFC5770">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477" w:type="pct"/>
                  <w:shd w:val="clear" w:color="auto" w:fill="FFFFFF"/>
                  <w:vAlign w:val="center"/>
                </w:tcPr>
                <w:p w14:paraId="7120F3FC">
                  <w:pPr>
                    <w:keepNext w:val="0"/>
                    <w:keepLines w:val="0"/>
                    <w:pageBreakBefore w:val="0"/>
                    <w:kinsoku/>
                    <w:wordWrap/>
                    <w:overflowPunct/>
                    <w:topLinePunct w:val="0"/>
                    <w:autoSpaceDE w:val="0"/>
                    <w:autoSpaceDN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cs="Times New Roman"/>
                      <w:color w:val="000000"/>
                      <w:spacing w:val="-10"/>
                      <w:kern w:val="0"/>
                      <w:sz w:val="18"/>
                      <w:szCs w:val="18"/>
                      <w:lang w:val="en-US" w:eastAsia="zh-CN" w:bidi="ar-SA"/>
                    </w:rPr>
                    <w:t>真空上料机</w:t>
                  </w:r>
                </w:p>
              </w:tc>
              <w:tc>
                <w:tcPr>
                  <w:tcW w:w="170" w:type="pct"/>
                  <w:shd w:val="clear" w:color="auto" w:fill="FFFFFF"/>
                  <w:vAlign w:val="center"/>
                </w:tcPr>
                <w:p w14:paraId="7475C64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pacing w:val="-10"/>
                      <w:kern w:val="0"/>
                      <w:sz w:val="18"/>
                      <w:szCs w:val="18"/>
                      <w:lang w:val="en-US" w:eastAsia="zh-CN" w:bidi="ar-SA"/>
                    </w:rPr>
                  </w:pPr>
                  <w:r>
                    <w:rPr>
                      <w:rFonts w:hint="eastAsia" w:cs="Times New Roman"/>
                      <w:color w:val="000000"/>
                      <w:spacing w:val="-10"/>
                      <w:kern w:val="0"/>
                      <w:sz w:val="18"/>
                      <w:szCs w:val="18"/>
                      <w:lang w:val="en-US" w:eastAsia="zh-CN" w:bidi="ar-SA"/>
                    </w:rPr>
                    <w:t>2</w:t>
                  </w:r>
                </w:p>
              </w:tc>
              <w:tc>
                <w:tcPr>
                  <w:tcW w:w="441" w:type="pct"/>
                  <w:shd w:val="clear" w:color="auto" w:fill="FFFFFF"/>
                  <w:vAlign w:val="center"/>
                </w:tcPr>
                <w:p w14:paraId="5F19A39B">
                  <w:pPr>
                    <w:keepNext w:val="0"/>
                    <w:keepLines w:val="0"/>
                    <w:pageBreakBefore w:val="0"/>
                    <w:kinsoku/>
                    <w:wordWrap/>
                    <w:overflowPunct/>
                    <w:topLinePunct w:val="0"/>
                    <w:bidi w:val="0"/>
                    <w:spacing w:line="240" w:lineRule="auto"/>
                    <w:jc w:val="center"/>
                    <w:rPr>
                      <w:sz w:val="18"/>
                      <w:szCs w:val="18"/>
                    </w:rPr>
                  </w:pPr>
                </w:p>
              </w:tc>
              <w:tc>
                <w:tcPr>
                  <w:tcW w:w="333" w:type="pct"/>
                  <w:shd w:val="clear" w:color="auto" w:fill="FFFFFF"/>
                  <w:vAlign w:val="center"/>
                </w:tcPr>
                <w:p w14:paraId="5FD4C35B">
                  <w:pPr>
                    <w:keepNext w:val="0"/>
                    <w:keepLines w:val="0"/>
                    <w:pageBreakBefore w:val="0"/>
                    <w:kinsoku/>
                    <w:wordWrap/>
                    <w:overflowPunct/>
                    <w:topLinePunct w:val="0"/>
                    <w:bidi w:val="0"/>
                    <w:spacing w:line="240" w:lineRule="auto"/>
                    <w:jc w:val="center"/>
                    <w:rPr>
                      <w:rFonts w:hint="default" w:eastAsia="宋体"/>
                      <w:sz w:val="18"/>
                      <w:szCs w:val="18"/>
                      <w:lang w:val="en-US" w:eastAsia="zh-CN"/>
                    </w:rPr>
                  </w:pPr>
                  <w:r>
                    <w:rPr>
                      <w:rFonts w:hint="eastAsia"/>
                      <w:sz w:val="18"/>
                      <w:szCs w:val="18"/>
                      <w:lang w:val="en-US" w:eastAsia="zh-CN"/>
                    </w:rPr>
                    <w:t>75</w:t>
                  </w:r>
                </w:p>
              </w:tc>
              <w:tc>
                <w:tcPr>
                  <w:tcW w:w="214" w:type="pct"/>
                  <w:vMerge w:val="continue"/>
                  <w:shd w:val="clear" w:color="auto" w:fill="FFFFFF"/>
                  <w:vAlign w:val="center"/>
                </w:tcPr>
                <w:p w14:paraId="127CB78B">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265" w:type="pct"/>
                  <w:shd w:val="clear" w:color="auto" w:fill="FFFFFF"/>
                  <w:vAlign w:val="center"/>
                </w:tcPr>
                <w:p w14:paraId="407BA27E">
                  <w:pPr>
                    <w:pStyle w:val="24"/>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10</w:t>
                  </w:r>
                </w:p>
              </w:tc>
              <w:tc>
                <w:tcPr>
                  <w:tcW w:w="270" w:type="pct"/>
                  <w:shd w:val="clear" w:color="auto" w:fill="FFFFFF"/>
                  <w:vAlign w:val="center"/>
                </w:tcPr>
                <w:p w14:paraId="4F540990">
                  <w:pPr>
                    <w:pStyle w:val="24"/>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15</w:t>
                  </w:r>
                </w:p>
              </w:tc>
              <w:tc>
                <w:tcPr>
                  <w:tcW w:w="230" w:type="pct"/>
                  <w:shd w:val="clear" w:color="auto" w:fill="FFFFFF"/>
                  <w:vAlign w:val="center"/>
                </w:tcPr>
                <w:p w14:paraId="6771A901">
                  <w:pPr>
                    <w:keepNext w:val="0"/>
                    <w:keepLines w:val="0"/>
                    <w:pageBreakBefore w:val="0"/>
                    <w:kinsoku/>
                    <w:wordWrap/>
                    <w:overflowPunct/>
                    <w:topLinePunct w:val="0"/>
                    <w:bidi w:val="0"/>
                    <w:spacing w:line="240" w:lineRule="auto"/>
                    <w:jc w:val="center"/>
                    <w:rPr>
                      <w:rFonts w:hint="default"/>
                      <w:sz w:val="18"/>
                      <w:szCs w:val="18"/>
                      <w:lang w:val="en-US" w:eastAsia="zh-CN"/>
                    </w:rPr>
                  </w:pPr>
                  <w:r>
                    <w:rPr>
                      <w:rFonts w:hint="eastAsia"/>
                      <w:sz w:val="18"/>
                      <w:szCs w:val="18"/>
                      <w:lang w:val="en-US" w:eastAsia="zh-CN"/>
                    </w:rPr>
                    <w:t>1</w:t>
                  </w:r>
                </w:p>
              </w:tc>
              <w:tc>
                <w:tcPr>
                  <w:tcW w:w="314" w:type="pct"/>
                  <w:shd w:val="clear" w:color="auto" w:fill="FFFFFF"/>
                  <w:vAlign w:val="center"/>
                </w:tcPr>
                <w:p w14:paraId="2820D2F8">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W10</w:t>
                  </w:r>
                </w:p>
              </w:tc>
              <w:tc>
                <w:tcPr>
                  <w:tcW w:w="305" w:type="pct"/>
                  <w:shd w:val="clear" w:color="auto" w:fill="FFFFFF"/>
                  <w:vAlign w:val="bottom"/>
                </w:tcPr>
                <w:p w14:paraId="50E62F75">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 xml:space="preserve">58.0 </w:t>
                  </w:r>
                </w:p>
              </w:tc>
              <w:tc>
                <w:tcPr>
                  <w:tcW w:w="232" w:type="pct"/>
                  <w:shd w:val="clear" w:color="auto" w:fill="FFFFFF"/>
                  <w:vAlign w:val="center"/>
                </w:tcPr>
                <w:p w14:paraId="2D1A77B3">
                  <w:pPr>
                    <w:keepNext w:val="0"/>
                    <w:keepLines w:val="0"/>
                    <w:pageBreakBefore w:val="0"/>
                    <w:kinsoku/>
                    <w:wordWrap/>
                    <w:overflowPunct/>
                    <w:topLinePunct w:val="0"/>
                    <w:bidi w:val="0"/>
                    <w:spacing w:line="240" w:lineRule="auto"/>
                    <w:jc w:val="center"/>
                    <w:rPr>
                      <w:kern w:val="0"/>
                      <w:sz w:val="18"/>
                      <w:szCs w:val="18"/>
                    </w:rPr>
                  </w:pPr>
                  <w:r>
                    <w:rPr>
                      <w:kern w:val="0"/>
                      <w:sz w:val="18"/>
                      <w:szCs w:val="18"/>
                    </w:rPr>
                    <w:t>昼</w:t>
                  </w:r>
                </w:p>
              </w:tc>
              <w:tc>
                <w:tcPr>
                  <w:tcW w:w="358" w:type="pct"/>
                  <w:shd w:val="clear" w:color="auto" w:fill="FFFFFF"/>
                  <w:vAlign w:val="center"/>
                </w:tcPr>
                <w:p w14:paraId="75F5E786">
                  <w:pPr>
                    <w:keepNext w:val="0"/>
                    <w:keepLines w:val="0"/>
                    <w:pageBreakBefore w:val="0"/>
                    <w:kinsoku/>
                    <w:wordWrap/>
                    <w:overflowPunct/>
                    <w:topLinePunct w:val="0"/>
                    <w:bidi w:val="0"/>
                    <w:spacing w:line="240" w:lineRule="auto"/>
                    <w:jc w:val="center"/>
                    <w:rPr>
                      <w:rFonts w:hint="default" w:eastAsia="宋体"/>
                      <w:kern w:val="0"/>
                      <w:sz w:val="18"/>
                      <w:szCs w:val="18"/>
                      <w:lang w:val="en-US" w:eastAsia="zh-CN"/>
                    </w:rPr>
                  </w:pPr>
                  <w:r>
                    <w:rPr>
                      <w:rFonts w:hint="eastAsia"/>
                      <w:kern w:val="0"/>
                      <w:sz w:val="18"/>
                      <w:szCs w:val="18"/>
                      <w:lang w:val="en-US" w:eastAsia="zh-CN"/>
                    </w:rPr>
                    <w:t>20</w:t>
                  </w:r>
                </w:p>
              </w:tc>
              <w:tc>
                <w:tcPr>
                  <w:tcW w:w="320" w:type="pct"/>
                  <w:shd w:val="clear" w:color="auto" w:fill="FFFFFF"/>
                  <w:vAlign w:val="bottom"/>
                </w:tcPr>
                <w:p w14:paraId="220F8FA8">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color w:val="000000"/>
                      <w:spacing w:val="-10"/>
                      <w:kern w:val="0"/>
                      <w:sz w:val="18"/>
                      <w:szCs w:val="18"/>
                      <w:lang w:val="en-US" w:eastAsia="zh-CN" w:bidi="ar-SA"/>
                    </w:rPr>
                    <w:t xml:space="preserve">58.0 </w:t>
                  </w:r>
                </w:p>
              </w:tc>
              <w:tc>
                <w:tcPr>
                  <w:tcW w:w="368" w:type="pct"/>
                  <w:shd w:val="clear" w:color="auto" w:fill="FFFFFF"/>
                  <w:vAlign w:val="center"/>
                </w:tcPr>
                <w:p w14:paraId="1491088E">
                  <w:pPr>
                    <w:keepNext w:val="0"/>
                    <w:keepLines w:val="0"/>
                    <w:pageBreakBefore w:val="0"/>
                    <w:kinsoku/>
                    <w:wordWrap/>
                    <w:overflowPunct/>
                    <w:topLinePunct w:val="0"/>
                    <w:bidi w:val="0"/>
                    <w:spacing w:line="240" w:lineRule="auto"/>
                    <w:jc w:val="center"/>
                    <w:rPr>
                      <w:rFonts w:hint="eastAsia" w:eastAsia="宋体"/>
                      <w:sz w:val="18"/>
                      <w:szCs w:val="18"/>
                      <w:lang w:val="en-US" w:eastAsia="zh-CN"/>
                    </w:rPr>
                  </w:pPr>
                  <w:r>
                    <w:rPr>
                      <w:rFonts w:hint="eastAsia"/>
                      <w:sz w:val="18"/>
                      <w:szCs w:val="18"/>
                      <w:lang w:val="en-US" w:eastAsia="zh-CN"/>
                    </w:rPr>
                    <w:t>1</w:t>
                  </w:r>
                </w:p>
              </w:tc>
              <w:tc>
                <w:tcPr>
                  <w:tcW w:w="288" w:type="pct"/>
                  <w:vMerge w:val="continue"/>
                  <w:shd w:val="clear" w:color="auto" w:fill="FFFFFF"/>
                  <w:vAlign w:val="center"/>
                </w:tcPr>
                <w:p w14:paraId="0A938409">
                  <w:pPr>
                    <w:keepNext w:val="0"/>
                    <w:keepLines w:val="0"/>
                    <w:pageBreakBefore w:val="0"/>
                    <w:kinsoku/>
                    <w:wordWrap/>
                    <w:overflowPunct/>
                    <w:topLinePunct w:val="0"/>
                    <w:bidi w:val="0"/>
                    <w:spacing w:line="240" w:lineRule="auto"/>
                    <w:jc w:val="center"/>
                    <w:rPr>
                      <w:sz w:val="18"/>
                      <w:szCs w:val="18"/>
                    </w:rPr>
                  </w:pPr>
                </w:p>
              </w:tc>
            </w:tr>
            <w:tr w14:paraId="0A4BA1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 w:type="pct"/>
                  <w:shd w:val="clear" w:color="auto" w:fill="FFFFFF"/>
                  <w:vAlign w:val="center"/>
                </w:tcPr>
                <w:p w14:paraId="410EE251">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11</w:t>
                  </w:r>
                </w:p>
              </w:tc>
              <w:tc>
                <w:tcPr>
                  <w:tcW w:w="257" w:type="pct"/>
                  <w:vMerge w:val="continue"/>
                  <w:shd w:val="clear" w:color="auto" w:fill="FFFFFF"/>
                  <w:vAlign w:val="center"/>
                </w:tcPr>
                <w:p w14:paraId="56F1A882">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477" w:type="pct"/>
                  <w:shd w:val="clear" w:color="auto" w:fill="FFFFFF"/>
                  <w:vAlign w:val="center"/>
                </w:tcPr>
                <w:p w14:paraId="55B9F54F">
                  <w:pPr>
                    <w:keepNext w:val="0"/>
                    <w:keepLines w:val="0"/>
                    <w:pageBreakBefore w:val="0"/>
                    <w:kinsoku/>
                    <w:wordWrap/>
                    <w:overflowPunct/>
                    <w:topLinePunct w:val="0"/>
                    <w:autoSpaceDE w:val="0"/>
                    <w:autoSpaceDN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cs="Times New Roman"/>
                      <w:color w:val="000000"/>
                      <w:spacing w:val="-10"/>
                      <w:kern w:val="0"/>
                      <w:sz w:val="18"/>
                      <w:szCs w:val="18"/>
                      <w:lang w:val="en-US" w:eastAsia="zh-CN" w:bidi="ar-SA"/>
                    </w:rPr>
                    <w:t>磨粉机</w:t>
                  </w:r>
                </w:p>
              </w:tc>
              <w:tc>
                <w:tcPr>
                  <w:tcW w:w="170" w:type="pct"/>
                  <w:shd w:val="clear" w:color="auto" w:fill="FFFFFF"/>
                  <w:vAlign w:val="center"/>
                </w:tcPr>
                <w:p w14:paraId="1781391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pacing w:val="-10"/>
                      <w:kern w:val="0"/>
                      <w:sz w:val="18"/>
                      <w:szCs w:val="18"/>
                      <w:lang w:val="en-US" w:eastAsia="zh-CN" w:bidi="ar-SA"/>
                    </w:rPr>
                  </w:pPr>
                  <w:r>
                    <w:rPr>
                      <w:rFonts w:hint="eastAsia" w:cs="Times New Roman"/>
                      <w:color w:val="000000"/>
                      <w:spacing w:val="-10"/>
                      <w:kern w:val="0"/>
                      <w:sz w:val="18"/>
                      <w:szCs w:val="18"/>
                      <w:lang w:val="en-US" w:eastAsia="zh-CN" w:bidi="ar-SA"/>
                    </w:rPr>
                    <w:t>1</w:t>
                  </w:r>
                </w:p>
              </w:tc>
              <w:tc>
                <w:tcPr>
                  <w:tcW w:w="441" w:type="pct"/>
                  <w:shd w:val="clear" w:color="auto" w:fill="FFFFFF"/>
                  <w:vAlign w:val="center"/>
                </w:tcPr>
                <w:p w14:paraId="0E8D8FD5">
                  <w:pPr>
                    <w:keepNext w:val="0"/>
                    <w:keepLines w:val="0"/>
                    <w:pageBreakBefore w:val="0"/>
                    <w:kinsoku/>
                    <w:wordWrap/>
                    <w:overflowPunct/>
                    <w:topLinePunct w:val="0"/>
                    <w:bidi w:val="0"/>
                    <w:spacing w:line="240" w:lineRule="auto"/>
                    <w:jc w:val="center"/>
                    <w:rPr>
                      <w:sz w:val="18"/>
                      <w:szCs w:val="18"/>
                    </w:rPr>
                  </w:pPr>
                </w:p>
              </w:tc>
              <w:tc>
                <w:tcPr>
                  <w:tcW w:w="333" w:type="pct"/>
                  <w:shd w:val="clear" w:color="auto" w:fill="FFFFFF"/>
                  <w:vAlign w:val="center"/>
                </w:tcPr>
                <w:p w14:paraId="773ED055">
                  <w:pPr>
                    <w:keepNext w:val="0"/>
                    <w:keepLines w:val="0"/>
                    <w:pageBreakBefore w:val="0"/>
                    <w:kinsoku/>
                    <w:wordWrap/>
                    <w:overflowPunct/>
                    <w:topLinePunct w:val="0"/>
                    <w:bidi w:val="0"/>
                    <w:spacing w:line="240" w:lineRule="auto"/>
                    <w:jc w:val="center"/>
                    <w:rPr>
                      <w:rFonts w:hint="default" w:eastAsia="宋体"/>
                      <w:sz w:val="18"/>
                      <w:szCs w:val="18"/>
                      <w:lang w:val="en-US" w:eastAsia="zh-CN"/>
                    </w:rPr>
                  </w:pPr>
                  <w:r>
                    <w:rPr>
                      <w:rFonts w:hint="eastAsia"/>
                      <w:sz w:val="18"/>
                      <w:szCs w:val="18"/>
                      <w:lang w:val="en-US" w:eastAsia="zh-CN"/>
                    </w:rPr>
                    <w:t>80</w:t>
                  </w:r>
                </w:p>
              </w:tc>
              <w:tc>
                <w:tcPr>
                  <w:tcW w:w="214" w:type="pct"/>
                  <w:vMerge w:val="continue"/>
                  <w:shd w:val="clear" w:color="auto" w:fill="FFFFFF"/>
                  <w:vAlign w:val="center"/>
                </w:tcPr>
                <w:p w14:paraId="35362296">
                  <w:pPr>
                    <w:pStyle w:val="24"/>
                    <w:keepNext w:val="0"/>
                    <w:keepLines w:val="0"/>
                    <w:pageBreakBefore w:val="0"/>
                    <w:kinsoku/>
                    <w:wordWrap/>
                    <w:overflowPunct/>
                    <w:topLinePunct w:val="0"/>
                    <w:bidi w:val="0"/>
                    <w:spacing w:line="240" w:lineRule="auto"/>
                    <w:jc w:val="center"/>
                    <w:rPr>
                      <w:rFonts w:ascii="Times New Roman" w:hAnsi="Times New Roman" w:eastAsia="宋体"/>
                      <w:sz w:val="18"/>
                      <w:szCs w:val="18"/>
                    </w:rPr>
                  </w:pPr>
                </w:p>
              </w:tc>
              <w:tc>
                <w:tcPr>
                  <w:tcW w:w="265" w:type="pct"/>
                  <w:shd w:val="clear" w:color="auto" w:fill="FFFFFF"/>
                  <w:vAlign w:val="center"/>
                </w:tcPr>
                <w:p w14:paraId="19EA3497">
                  <w:pPr>
                    <w:pStyle w:val="24"/>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20</w:t>
                  </w:r>
                </w:p>
              </w:tc>
              <w:tc>
                <w:tcPr>
                  <w:tcW w:w="270" w:type="pct"/>
                  <w:shd w:val="clear" w:color="auto" w:fill="FFFFFF"/>
                  <w:vAlign w:val="center"/>
                </w:tcPr>
                <w:p w14:paraId="77DA4521">
                  <w:pPr>
                    <w:pStyle w:val="24"/>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22</w:t>
                  </w:r>
                </w:p>
              </w:tc>
              <w:tc>
                <w:tcPr>
                  <w:tcW w:w="230" w:type="pct"/>
                  <w:shd w:val="clear" w:color="auto" w:fill="FFFFFF"/>
                  <w:vAlign w:val="center"/>
                </w:tcPr>
                <w:p w14:paraId="2E4C628E">
                  <w:pPr>
                    <w:keepNext w:val="0"/>
                    <w:keepLines w:val="0"/>
                    <w:pageBreakBefore w:val="0"/>
                    <w:kinsoku/>
                    <w:wordWrap/>
                    <w:overflowPunct/>
                    <w:topLinePunct w:val="0"/>
                    <w:bidi w:val="0"/>
                    <w:spacing w:line="240" w:lineRule="auto"/>
                    <w:jc w:val="center"/>
                    <w:rPr>
                      <w:rFonts w:hint="default"/>
                      <w:sz w:val="18"/>
                      <w:szCs w:val="18"/>
                      <w:lang w:val="en-US" w:eastAsia="zh-CN"/>
                    </w:rPr>
                  </w:pPr>
                  <w:r>
                    <w:rPr>
                      <w:rFonts w:hint="eastAsia"/>
                      <w:sz w:val="18"/>
                      <w:szCs w:val="18"/>
                      <w:lang w:val="en-US" w:eastAsia="zh-CN"/>
                    </w:rPr>
                    <w:t>1</w:t>
                  </w:r>
                </w:p>
              </w:tc>
              <w:tc>
                <w:tcPr>
                  <w:tcW w:w="314" w:type="pct"/>
                  <w:shd w:val="clear" w:color="auto" w:fill="FFFFFF"/>
                  <w:vAlign w:val="center"/>
                </w:tcPr>
                <w:p w14:paraId="0B627431">
                  <w:pPr>
                    <w:pStyle w:val="24"/>
                    <w:keepNext w:val="0"/>
                    <w:keepLines w:val="0"/>
                    <w:pageBreakBefore w:val="0"/>
                    <w:kinsoku/>
                    <w:wordWrap/>
                    <w:overflowPunct/>
                    <w:topLinePunct w:val="0"/>
                    <w:bidi w:val="0"/>
                    <w:spacing w:line="240" w:lineRule="auto"/>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N3</w:t>
                  </w:r>
                </w:p>
              </w:tc>
              <w:tc>
                <w:tcPr>
                  <w:tcW w:w="305" w:type="pct"/>
                  <w:shd w:val="clear" w:color="auto" w:fill="FFFFFF"/>
                  <w:vAlign w:val="bottom"/>
                </w:tcPr>
                <w:p w14:paraId="40A10CFD">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color w:val="000000"/>
                      <w:spacing w:val="-10"/>
                      <w:kern w:val="0"/>
                      <w:sz w:val="18"/>
                      <w:szCs w:val="18"/>
                      <w:lang w:val="en-US" w:eastAsia="zh-CN" w:bidi="ar-SA"/>
                    </w:rPr>
                  </w:pPr>
                  <w:r>
                    <w:rPr>
                      <w:rFonts w:hint="eastAsia" w:ascii="Times New Roman" w:hAnsi="Times New Roman" w:eastAsia="宋体" w:cs="Times New Roman"/>
                      <w:color w:val="000000"/>
                      <w:spacing w:val="-10"/>
                      <w:kern w:val="0"/>
                      <w:sz w:val="18"/>
                      <w:szCs w:val="18"/>
                      <w:lang w:val="en-US" w:eastAsia="zh-CN" w:bidi="ar-SA"/>
                    </w:rPr>
                    <w:t xml:space="preserve">70.5 </w:t>
                  </w:r>
                </w:p>
              </w:tc>
              <w:tc>
                <w:tcPr>
                  <w:tcW w:w="232" w:type="pct"/>
                  <w:shd w:val="clear" w:color="auto" w:fill="FFFFFF"/>
                  <w:vAlign w:val="center"/>
                </w:tcPr>
                <w:p w14:paraId="181CCC45">
                  <w:pPr>
                    <w:keepNext w:val="0"/>
                    <w:keepLines w:val="0"/>
                    <w:pageBreakBefore w:val="0"/>
                    <w:kinsoku/>
                    <w:wordWrap/>
                    <w:overflowPunct/>
                    <w:topLinePunct w:val="0"/>
                    <w:bidi w:val="0"/>
                    <w:spacing w:line="240" w:lineRule="auto"/>
                    <w:jc w:val="center"/>
                    <w:rPr>
                      <w:kern w:val="0"/>
                      <w:sz w:val="18"/>
                      <w:szCs w:val="18"/>
                    </w:rPr>
                  </w:pPr>
                  <w:r>
                    <w:rPr>
                      <w:kern w:val="0"/>
                      <w:sz w:val="18"/>
                      <w:szCs w:val="18"/>
                    </w:rPr>
                    <w:t>昼</w:t>
                  </w:r>
                </w:p>
              </w:tc>
              <w:tc>
                <w:tcPr>
                  <w:tcW w:w="358" w:type="pct"/>
                  <w:shd w:val="clear" w:color="auto" w:fill="FFFFFF"/>
                  <w:vAlign w:val="center"/>
                </w:tcPr>
                <w:p w14:paraId="5BCEAB47">
                  <w:pPr>
                    <w:keepNext w:val="0"/>
                    <w:keepLines w:val="0"/>
                    <w:pageBreakBefore w:val="0"/>
                    <w:kinsoku/>
                    <w:wordWrap/>
                    <w:overflowPunct/>
                    <w:topLinePunct w:val="0"/>
                    <w:bidi w:val="0"/>
                    <w:spacing w:line="240" w:lineRule="auto"/>
                    <w:jc w:val="center"/>
                    <w:rPr>
                      <w:rFonts w:hint="default" w:eastAsia="宋体"/>
                      <w:kern w:val="0"/>
                      <w:sz w:val="18"/>
                      <w:szCs w:val="18"/>
                      <w:lang w:val="en-US" w:eastAsia="zh-CN"/>
                    </w:rPr>
                  </w:pPr>
                  <w:r>
                    <w:rPr>
                      <w:rFonts w:hint="eastAsia"/>
                      <w:kern w:val="0"/>
                      <w:sz w:val="18"/>
                      <w:szCs w:val="18"/>
                      <w:lang w:val="en-US" w:eastAsia="zh-CN"/>
                    </w:rPr>
                    <w:t>20</w:t>
                  </w:r>
                </w:p>
              </w:tc>
              <w:tc>
                <w:tcPr>
                  <w:tcW w:w="320" w:type="pct"/>
                  <w:shd w:val="clear" w:color="auto" w:fill="FFFFFF"/>
                  <w:vAlign w:val="bottom"/>
                </w:tcPr>
                <w:p w14:paraId="110F23AB">
                  <w:pPr>
                    <w:keepNext w:val="0"/>
                    <w:keepLines w:val="0"/>
                    <w:pageBreakBefore w:val="0"/>
                    <w:widowControl/>
                    <w:suppressLineNumbers w:val="0"/>
                    <w:kinsoku/>
                    <w:wordWrap/>
                    <w:overflowPunct/>
                    <w:topLinePunct w:val="0"/>
                    <w:bidi w:val="0"/>
                    <w:spacing w:line="240" w:lineRule="auto"/>
                    <w:jc w:val="center"/>
                    <w:textAlignment w:val="bottom"/>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color w:val="000000"/>
                      <w:spacing w:val="-10"/>
                      <w:kern w:val="0"/>
                      <w:sz w:val="18"/>
                      <w:szCs w:val="18"/>
                      <w:lang w:val="en-US" w:eastAsia="zh-CN" w:bidi="ar-SA"/>
                    </w:rPr>
                    <w:t xml:space="preserve">70.5 </w:t>
                  </w:r>
                </w:p>
              </w:tc>
              <w:tc>
                <w:tcPr>
                  <w:tcW w:w="368" w:type="pct"/>
                  <w:shd w:val="clear" w:color="auto" w:fill="FFFFFF"/>
                  <w:vAlign w:val="center"/>
                </w:tcPr>
                <w:p w14:paraId="32118748">
                  <w:pPr>
                    <w:keepNext w:val="0"/>
                    <w:keepLines w:val="0"/>
                    <w:pageBreakBefore w:val="0"/>
                    <w:kinsoku/>
                    <w:wordWrap/>
                    <w:overflowPunct/>
                    <w:topLinePunct w:val="0"/>
                    <w:bidi w:val="0"/>
                    <w:spacing w:line="240" w:lineRule="auto"/>
                    <w:jc w:val="center"/>
                    <w:rPr>
                      <w:rFonts w:hint="eastAsia" w:eastAsia="宋体"/>
                      <w:sz w:val="18"/>
                      <w:szCs w:val="18"/>
                      <w:lang w:val="en-US" w:eastAsia="zh-CN"/>
                    </w:rPr>
                  </w:pPr>
                  <w:r>
                    <w:rPr>
                      <w:rFonts w:hint="eastAsia"/>
                      <w:sz w:val="18"/>
                      <w:szCs w:val="18"/>
                      <w:lang w:val="en-US" w:eastAsia="zh-CN"/>
                    </w:rPr>
                    <w:t>1</w:t>
                  </w:r>
                </w:p>
              </w:tc>
              <w:tc>
                <w:tcPr>
                  <w:tcW w:w="288" w:type="pct"/>
                  <w:vMerge w:val="continue"/>
                  <w:shd w:val="clear" w:color="auto" w:fill="FFFFFF"/>
                  <w:vAlign w:val="center"/>
                </w:tcPr>
                <w:p w14:paraId="31E0C568">
                  <w:pPr>
                    <w:keepNext w:val="0"/>
                    <w:keepLines w:val="0"/>
                    <w:pageBreakBefore w:val="0"/>
                    <w:kinsoku/>
                    <w:wordWrap/>
                    <w:overflowPunct/>
                    <w:topLinePunct w:val="0"/>
                    <w:bidi w:val="0"/>
                    <w:spacing w:line="240" w:lineRule="auto"/>
                    <w:jc w:val="center"/>
                    <w:rPr>
                      <w:sz w:val="18"/>
                      <w:szCs w:val="18"/>
                    </w:rPr>
                  </w:pPr>
                </w:p>
              </w:tc>
            </w:tr>
            <w:bookmarkEnd w:id="9"/>
            <w:bookmarkEnd w:id="10"/>
          </w:tbl>
          <w:p w14:paraId="7B667F42">
            <w:pPr>
              <w:jc w:val="left"/>
              <w:outlineLvl w:val="0"/>
              <w:rPr>
                <w:b/>
                <w:bCs/>
                <w:sz w:val="15"/>
                <w:szCs w:val="18"/>
              </w:rPr>
            </w:pPr>
            <w:r>
              <w:rPr>
                <w:b/>
                <w:bCs/>
                <w:sz w:val="15"/>
                <w:szCs w:val="18"/>
              </w:rPr>
              <w:t>注：以厂界最西南侧角为（0.0）点，正东向为X轴正方向，正北向为Y轴正方向；门窗吸声系数数据来源于《环境工程手册 环境噪声控制卷》（郑长聚主编，高等教育出版社，2000年）。</w:t>
            </w:r>
          </w:p>
          <w:p w14:paraId="38D0A106">
            <w:pPr>
              <w:autoSpaceDE w:val="0"/>
              <w:autoSpaceDN w:val="0"/>
              <w:adjustRightInd w:val="0"/>
              <w:spacing w:line="500" w:lineRule="exact"/>
              <w:jc w:val="center"/>
              <w:rPr>
                <w:b/>
                <w:bCs/>
                <w:szCs w:val="21"/>
              </w:rPr>
            </w:pPr>
            <w:r>
              <w:rPr>
                <w:b/>
                <w:bCs/>
                <w:szCs w:val="21"/>
              </w:rPr>
              <w:t>表4-</w:t>
            </w:r>
            <w:r>
              <w:rPr>
                <w:rFonts w:hint="eastAsia"/>
                <w:b/>
                <w:bCs/>
                <w:szCs w:val="21"/>
              </w:rPr>
              <w:t>1</w:t>
            </w:r>
            <w:r>
              <w:rPr>
                <w:rFonts w:hint="eastAsia"/>
                <w:b/>
                <w:bCs/>
                <w:szCs w:val="21"/>
                <w:lang w:val="en-US" w:eastAsia="zh-CN"/>
              </w:rPr>
              <w:t>7</w:t>
            </w:r>
            <w:r>
              <w:rPr>
                <w:b/>
                <w:bCs/>
                <w:szCs w:val="21"/>
              </w:rPr>
              <w:t xml:space="preserve"> 工业企业噪声源强调查清单（室外）</w:t>
            </w:r>
          </w:p>
          <w:tbl>
            <w:tblPr>
              <w:tblStyle w:val="16"/>
              <w:tblW w:w="499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320"/>
              <w:gridCol w:w="720"/>
              <w:gridCol w:w="660"/>
              <w:gridCol w:w="600"/>
              <w:gridCol w:w="2876"/>
              <w:gridCol w:w="1175"/>
              <w:gridCol w:w="2428"/>
              <w:gridCol w:w="1565"/>
              <w:gridCol w:w="827"/>
            </w:tblGrid>
            <w:tr w14:paraId="0381DC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 w:type="pct"/>
                  <w:vMerge w:val="restart"/>
                  <w:vAlign w:val="center"/>
                </w:tcPr>
                <w:p w14:paraId="026C7AD9">
                  <w:pPr>
                    <w:jc w:val="center"/>
                    <w:rPr>
                      <w:sz w:val="18"/>
                      <w:szCs w:val="18"/>
                    </w:rPr>
                  </w:pPr>
                  <w:r>
                    <w:rPr>
                      <w:sz w:val="18"/>
                      <w:szCs w:val="18"/>
                    </w:rPr>
                    <w:t>序号</w:t>
                  </w:r>
                </w:p>
              </w:tc>
              <w:tc>
                <w:tcPr>
                  <w:tcW w:w="520" w:type="pct"/>
                  <w:vMerge w:val="restart"/>
                  <w:vAlign w:val="center"/>
                </w:tcPr>
                <w:p w14:paraId="78435691">
                  <w:pPr>
                    <w:jc w:val="center"/>
                    <w:rPr>
                      <w:sz w:val="18"/>
                      <w:szCs w:val="18"/>
                    </w:rPr>
                  </w:pPr>
                  <w:r>
                    <w:rPr>
                      <w:sz w:val="18"/>
                      <w:szCs w:val="18"/>
                    </w:rPr>
                    <w:t>声源名称</w:t>
                  </w:r>
                </w:p>
              </w:tc>
              <w:tc>
                <w:tcPr>
                  <w:tcW w:w="780" w:type="pct"/>
                  <w:gridSpan w:val="3"/>
                  <w:vAlign w:val="center"/>
                </w:tcPr>
                <w:p w14:paraId="1776AEA8">
                  <w:pPr>
                    <w:jc w:val="center"/>
                    <w:rPr>
                      <w:sz w:val="18"/>
                      <w:szCs w:val="18"/>
                    </w:rPr>
                  </w:pPr>
                  <w:r>
                    <w:rPr>
                      <w:sz w:val="18"/>
                      <w:szCs w:val="18"/>
                    </w:rPr>
                    <w:t>空间相对位置m</w:t>
                  </w:r>
                </w:p>
              </w:tc>
              <w:tc>
                <w:tcPr>
                  <w:tcW w:w="1597" w:type="pct"/>
                  <w:gridSpan w:val="2"/>
                  <w:vAlign w:val="center"/>
                </w:tcPr>
                <w:p w14:paraId="41189EF9">
                  <w:pPr>
                    <w:jc w:val="center"/>
                    <w:rPr>
                      <w:sz w:val="18"/>
                      <w:szCs w:val="18"/>
                    </w:rPr>
                  </w:pPr>
                  <w:r>
                    <w:rPr>
                      <w:sz w:val="18"/>
                      <w:szCs w:val="18"/>
                    </w:rPr>
                    <w:t>声源源强（任选一种）</w:t>
                  </w:r>
                </w:p>
              </w:tc>
              <w:tc>
                <w:tcPr>
                  <w:tcW w:w="957" w:type="pct"/>
                  <w:vMerge w:val="restart"/>
                  <w:vAlign w:val="center"/>
                </w:tcPr>
                <w:p w14:paraId="3F158869">
                  <w:pPr>
                    <w:jc w:val="center"/>
                    <w:rPr>
                      <w:sz w:val="18"/>
                      <w:szCs w:val="18"/>
                    </w:rPr>
                  </w:pPr>
                  <w:r>
                    <w:rPr>
                      <w:sz w:val="18"/>
                      <w:szCs w:val="18"/>
                    </w:rPr>
                    <w:t>声源控制措施</w:t>
                  </w:r>
                </w:p>
              </w:tc>
              <w:tc>
                <w:tcPr>
                  <w:tcW w:w="617" w:type="pct"/>
                  <w:vMerge w:val="restart"/>
                  <w:vAlign w:val="center"/>
                </w:tcPr>
                <w:p w14:paraId="32EB9DD1">
                  <w:pPr>
                    <w:jc w:val="center"/>
                    <w:rPr>
                      <w:sz w:val="18"/>
                      <w:szCs w:val="18"/>
                    </w:rPr>
                  </w:pPr>
                  <w:r>
                    <w:rPr>
                      <w:sz w:val="18"/>
                      <w:szCs w:val="18"/>
                    </w:rPr>
                    <w:t>采取控制措施后声功率级/dB(A)</w:t>
                  </w:r>
                </w:p>
              </w:tc>
              <w:tc>
                <w:tcPr>
                  <w:tcW w:w="326" w:type="pct"/>
                  <w:vMerge w:val="restart"/>
                  <w:vAlign w:val="center"/>
                </w:tcPr>
                <w:p w14:paraId="19D36466">
                  <w:pPr>
                    <w:jc w:val="center"/>
                    <w:rPr>
                      <w:sz w:val="18"/>
                      <w:szCs w:val="18"/>
                    </w:rPr>
                  </w:pPr>
                  <w:r>
                    <w:rPr>
                      <w:sz w:val="18"/>
                      <w:szCs w:val="18"/>
                    </w:rPr>
                    <w:t>运行时段</w:t>
                  </w:r>
                </w:p>
              </w:tc>
            </w:tr>
            <w:tr w14:paraId="67F4DB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99" w:type="pct"/>
                  <w:vMerge w:val="continue"/>
                  <w:vAlign w:val="center"/>
                </w:tcPr>
                <w:p w14:paraId="4AD46970">
                  <w:pPr>
                    <w:jc w:val="center"/>
                    <w:rPr>
                      <w:sz w:val="18"/>
                      <w:szCs w:val="18"/>
                    </w:rPr>
                  </w:pPr>
                </w:p>
              </w:tc>
              <w:tc>
                <w:tcPr>
                  <w:tcW w:w="520" w:type="pct"/>
                  <w:vMerge w:val="continue"/>
                  <w:vAlign w:val="center"/>
                </w:tcPr>
                <w:p w14:paraId="16BBD597">
                  <w:pPr>
                    <w:jc w:val="center"/>
                    <w:rPr>
                      <w:sz w:val="18"/>
                      <w:szCs w:val="18"/>
                    </w:rPr>
                  </w:pPr>
                </w:p>
              </w:tc>
              <w:tc>
                <w:tcPr>
                  <w:tcW w:w="283" w:type="pct"/>
                  <w:vAlign w:val="center"/>
                </w:tcPr>
                <w:p w14:paraId="50D2B2AA">
                  <w:pPr>
                    <w:jc w:val="center"/>
                    <w:rPr>
                      <w:sz w:val="18"/>
                      <w:szCs w:val="18"/>
                    </w:rPr>
                  </w:pPr>
                  <w:r>
                    <w:rPr>
                      <w:sz w:val="18"/>
                      <w:szCs w:val="18"/>
                    </w:rPr>
                    <w:t>X</w:t>
                  </w:r>
                </w:p>
              </w:tc>
              <w:tc>
                <w:tcPr>
                  <w:tcW w:w="260" w:type="pct"/>
                  <w:vAlign w:val="center"/>
                </w:tcPr>
                <w:p w14:paraId="47E39A73">
                  <w:pPr>
                    <w:jc w:val="center"/>
                    <w:rPr>
                      <w:sz w:val="18"/>
                      <w:szCs w:val="18"/>
                    </w:rPr>
                  </w:pPr>
                  <w:r>
                    <w:rPr>
                      <w:sz w:val="18"/>
                      <w:szCs w:val="18"/>
                    </w:rPr>
                    <w:t>Y</w:t>
                  </w:r>
                </w:p>
              </w:tc>
              <w:tc>
                <w:tcPr>
                  <w:tcW w:w="236" w:type="pct"/>
                  <w:vAlign w:val="center"/>
                </w:tcPr>
                <w:p w14:paraId="6C498E92">
                  <w:pPr>
                    <w:jc w:val="center"/>
                    <w:rPr>
                      <w:sz w:val="18"/>
                      <w:szCs w:val="18"/>
                    </w:rPr>
                  </w:pPr>
                  <w:r>
                    <w:rPr>
                      <w:sz w:val="18"/>
                      <w:szCs w:val="18"/>
                    </w:rPr>
                    <w:t>Z</w:t>
                  </w:r>
                </w:p>
              </w:tc>
              <w:tc>
                <w:tcPr>
                  <w:tcW w:w="1134" w:type="pct"/>
                  <w:vAlign w:val="center"/>
                </w:tcPr>
                <w:p w14:paraId="758C9FE5">
                  <w:pPr>
                    <w:jc w:val="both"/>
                    <w:rPr>
                      <w:sz w:val="18"/>
                      <w:szCs w:val="18"/>
                    </w:rPr>
                  </w:pPr>
                  <w:r>
                    <w:rPr>
                      <w:sz w:val="18"/>
                      <w:szCs w:val="18"/>
                    </w:rPr>
                    <w:t>（声压级/距声源距离）/（dB(A)/m）</w:t>
                  </w:r>
                </w:p>
              </w:tc>
              <w:tc>
                <w:tcPr>
                  <w:tcW w:w="463" w:type="pct"/>
                  <w:vAlign w:val="center"/>
                </w:tcPr>
                <w:p w14:paraId="059095AF">
                  <w:pPr>
                    <w:jc w:val="center"/>
                    <w:rPr>
                      <w:sz w:val="18"/>
                      <w:szCs w:val="18"/>
                    </w:rPr>
                  </w:pPr>
                  <w:r>
                    <w:rPr>
                      <w:sz w:val="18"/>
                      <w:szCs w:val="18"/>
                    </w:rPr>
                    <w:t>声功率级/dB(A)</w:t>
                  </w:r>
                </w:p>
              </w:tc>
              <w:tc>
                <w:tcPr>
                  <w:tcW w:w="957" w:type="pct"/>
                  <w:vMerge w:val="continue"/>
                  <w:vAlign w:val="center"/>
                </w:tcPr>
                <w:p w14:paraId="1F47131D">
                  <w:pPr>
                    <w:jc w:val="center"/>
                    <w:rPr>
                      <w:sz w:val="18"/>
                      <w:szCs w:val="18"/>
                    </w:rPr>
                  </w:pPr>
                </w:p>
              </w:tc>
              <w:tc>
                <w:tcPr>
                  <w:tcW w:w="617" w:type="pct"/>
                  <w:vMerge w:val="continue"/>
                  <w:vAlign w:val="center"/>
                </w:tcPr>
                <w:p w14:paraId="7A236360">
                  <w:pPr>
                    <w:jc w:val="center"/>
                    <w:rPr>
                      <w:sz w:val="18"/>
                      <w:szCs w:val="18"/>
                    </w:rPr>
                  </w:pPr>
                </w:p>
              </w:tc>
              <w:tc>
                <w:tcPr>
                  <w:tcW w:w="326" w:type="pct"/>
                  <w:vMerge w:val="continue"/>
                  <w:vAlign w:val="center"/>
                </w:tcPr>
                <w:p w14:paraId="2D2C0CD7">
                  <w:pPr>
                    <w:jc w:val="center"/>
                    <w:rPr>
                      <w:sz w:val="18"/>
                      <w:szCs w:val="18"/>
                    </w:rPr>
                  </w:pPr>
                </w:p>
              </w:tc>
            </w:tr>
            <w:tr w14:paraId="74741F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 w:type="pct"/>
                  <w:vAlign w:val="center"/>
                </w:tcPr>
                <w:p w14:paraId="38DE6892">
                  <w:pPr>
                    <w:jc w:val="center"/>
                    <w:rPr>
                      <w:sz w:val="18"/>
                      <w:szCs w:val="18"/>
                    </w:rPr>
                  </w:pPr>
                  <w:r>
                    <w:rPr>
                      <w:sz w:val="18"/>
                      <w:szCs w:val="18"/>
                    </w:rPr>
                    <w:t>1</w:t>
                  </w:r>
                </w:p>
              </w:tc>
              <w:tc>
                <w:tcPr>
                  <w:tcW w:w="520" w:type="pct"/>
                  <w:vAlign w:val="center"/>
                </w:tcPr>
                <w:p w14:paraId="4FCD7605">
                  <w:pPr>
                    <w:jc w:val="center"/>
                    <w:rPr>
                      <w:rFonts w:hint="default"/>
                      <w:sz w:val="18"/>
                      <w:szCs w:val="18"/>
                      <w:lang w:val="en-US"/>
                    </w:rPr>
                  </w:pPr>
                  <w:r>
                    <w:rPr>
                      <w:rFonts w:hint="eastAsia"/>
                      <w:sz w:val="18"/>
                      <w:szCs w:val="18"/>
                      <w:lang w:eastAsia="zh-CN"/>
                    </w:rPr>
                    <w:t>风机</w:t>
                  </w:r>
                  <w:r>
                    <w:rPr>
                      <w:rFonts w:hint="eastAsia"/>
                      <w:sz w:val="18"/>
                      <w:szCs w:val="18"/>
                      <w:lang w:val="en-US" w:eastAsia="zh-CN"/>
                    </w:rPr>
                    <w:t>1</w:t>
                  </w:r>
                </w:p>
              </w:tc>
              <w:tc>
                <w:tcPr>
                  <w:tcW w:w="283" w:type="pct"/>
                  <w:vAlign w:val="center"/>
                </w:tcPr>
                <w:p w14:paraId="3811D85B">
                  <w:pPr>
                    <w:jc w:val="center"/>
                    <w:rPr>
                      <w:rFonts w:hint="default" w:eastAsia="宋体"/>
                      <w:sz w:val="18"/>
                      <w:szCs w:val="18"/>
                      <w:lang w:val="en-US" w:eastAsia="zh-CN"/>
                    </w:rPr>
                  </w:pPr>
                  <w:r>
                    <w:rPr>
                      <w:rFonts w:hint="eastAsia"/>
                      <w:sz w:val="18"/>
                      <w:szCs w:val="18"/>
                      <w:lang w:val="en-US" w:eastAsia="zh-CN"/>
                    </w:rPr>
                    <w:t>50</w:t>
                  </w:r>
                </w:p>
              </w:tc>
              <w:tc>
                <w:tcPr>
                  <w:tcW w:w="260" w:type="pct"/>
                  <w:vAlign w:val="center"/>
                </w:tcPr>
                <w:p w14:paraId="726CF683">
                  <w:pPr>
                    <w:jc w:val="center"/>
                    <w:rPr>
                      <w:rFonts w:hint="default" w:eastAsia="宋体"/>
                      <w:sz w:val="18"/>
                      <w:szCs w:val="18"/>
                      <w:lang w:val="en-US" w:eastAsia="zh-CN"/>
                    </w:rPr>
                  </w:pPr>
                  <w:r>
                    <w:rPr>
                      <w:rFonts w:hint="eastAsia"/>
                      <w:sz w:val="18"/>
                      <w:szCs w:val="18"/>
                      <w:lang w:val="en-US" w:eastAsia="zh-CN"/>
                    </w:rPr>
                    <w:t>46</w:t>
                  </w:r>
                </w:p>
              </w:tc>
              <w:tc>
                <w:tcPr>
                  <w:tcW w:w="236" w:type="pct"/>
                  <w:vAlign w:val="center"/>
                </w:tcPr>
                <w:p w14:paraId="0E6040E9">
                  <w:pPr>
                    <w:jc w:val="center"/>
                    <w:rPr>
                      <w:sz w:val="18"/>
                      <w:szCs w:val="18"/>
                    </w:rPr>
                  </w:pPr>
                  <w:r>
                    <w:rPr>
                      <w:sz w:val="18"/>
                      <w:szCs w:val="18"/>
                    </w:rPr>
                    <w:t>1</w:t>
                  </w:r>
                </w:p>
              </w:tc>
              <w:tc>
                <w:tcPr>
                  <w:tcW w:w="1134" w:type="pct"/>
                  <w:vAlign w:val="center"/>
                </w:tcPr>
                <w:p w14:paraId="075AB82F">
                  <w:pPr>
                    <w:jc w:val="center"/>
                    <w:rPr>
                      <w:rFonts w:hint="default" w:eastAsia="宋体"/>
                      <w:sz w:val="18"/>
                      <w:szCs w:val="18"/>
                      <w:lang w:val="en-US" w:eastAsia="zh-CN"/>
                    </w:rPr>
                  </w:pPr>
                  <w:r>
                    <w:rPr>
                      <w:rFonts w:hint="eastAsia"/>
                      <w:sz w:val="18"/>
                      <w:szCs w:val="18"/>
                      <w:lang w:val="en-US" w:eastAsia="zh-CN"/>
                    </w:rPr>
                    <w:t>10</w:t>
                  </w:r>
                </w:p>
              </w:tc>
              <w:tc>
                <w:tcPr>
                  <w:tcW w:w="463" w:type="pct"/>
                  <w:vAlign w:val="center"/>
                </w:tcPr>
                <w:p w14:paraId="0B45FAF5">
                  <w:pPr>
                    <w:jc w:val="center"/>
                    <w:rPr>
                      <w:rFonts w:hint="eastAsia" w:eastAsia="宋体"/>
                      <w:sz w:val="18"/>
                      <w:szCs w:val="18"/>
                      <w:lang w:eastAsia="zh-CN"/>
                    </w:rPr>
                  </w:pPr>
                  <w:r>
                    <w:rPr>
                      <w:sz w:val="18"/>
                      <w:szCs w:val="18"/>
                    </w:rPr>
                    <w:t>8</w:t>
                  </w:r>
                  <w:r>
                    <w:rPr>
                      <w:rFonts w:hint="eastAsia"/>
                      <w:sz w:val="18"/>
                      <w:szCs w:val="18"/>
                      <w:lang w:val="en-US" w:eastAsia="zh-CN"/>
                    </w:rPr>
                    <w:t>0</w:t>
                  </w:r>
                </w:p>
              </w:tc>
              <w:tc>
                <w:tcPr>
                  <w:tcW w:w="957" w:type="pct"/>
                  <w:vAlign w:val="center"/>
                </w:tcPr>
                <w:p w14:paraId="2B2B1FFA">
                  <w:pPr>
                    <w:jc w:val="center"/>
                    <w:rPr>
                      <w:sz w:val="18"/>
                      <w:szCs w:val="18"/>
                    </w:rPr>
                  </w:pPr>
                  <w:r>
                    <w:rPr>
                      <w:sz w:val="18"/>
                      <w:szCs w:val="18"/>
                    </w:rPr>
                    <w:t>减震基础、软连接、隔声罩</w:t>
                  </w:r>
                </w:p>
              </w:tc>
              <w:tc>
                <w:tcPr>
                  <w:tcW w:w="617" w:type="pct"/>
                  <w:vAlign w:val="center"/>
                </w:tcPr>
                <w:p w14:paraId="08267700">
                  <w:pPr>
                    <w:jc w:val="center"/>
                    <w:rPr>
                      <w:rFonts w:hint="default" w:eastAsia="宋体"/>
                      <w:sz w:val="18"/>
                      <w:szCs w:val="18"/>
                      <w:lang w:val="en-US" w:eastAsia="zh-CN"/>
                    </w:rPr>
                  </w:pPr>
                  <w:r>
                    <w:rPr>
                      <w:rFonts w:hint="eastAsia"/>
                      <w:sz w:val="18"/>
                      <w:szCs w:val="18"/>
                      <w:lang w:val="en-US" w:eastAsia="zh-CN"/>
                    </w:rPr>
                    <w:t>60</w:t>
                  </w:r>
                </w:p>
              </w:tc>
              <w:tc>
                <w:tcPr>
                  <w:tcW w:w="326" w:type="pct"/>
                  <w:vAlign w:val="center"/>
                </w:tcPr>
                <w:p w14:paraId="7D493062">
                  <w:pPr>
                    <w:jc w:val="center"/>
                    <w:rPr>
                      <w:sz w:val="18"/>
                      <w:szCs w:val="18"/>
                    </w:rPr>
                  </w:pPr>
                  <w:r>
                    <w:rPr>
                      <w:sz w:val="18"/>
                      <w:szCs w:val="18"/>
                    </w:rPr>
                    <w:t>昼</w:t>
                  </w:r>
                </w:p>
              </w:tc>
            </w:tr>
            <w:tr w14:paraId="4A849B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 w:type="pct"/>
                  <w:vAlign w:val="center"/>
                </w:tcPr>
                <w:p w14:paraId="06FBDE15">
                  <w:pPr>
                    <w:jc w:val="center"/>
                    <w:rPr>
                      <w:rFonts w:hint="eastAsia" w:eastAsia="宋体"/>
                      <w:sz w:val="18"/>
                      <w:szCs w:val="18"/>
                      <w:lang w:val="en-US" w:eastAsia="zh-CN"/>
                    </w:rPr>
                  </w:pPr>
                  <w:r>
                    <w:rPr>
                      <w:rFonts w:hint="eastAsia"/>
                      <w:sz w:val="18"/>
                      <w:szCs w:val="18"/>
                      <w:lang w:val="en-US" w:eastAsia="zh-CN"/>
                    </w:rPr>
                    <w:t>2</w:t>
                  </w:r>
                </w:p>
              </w:tc>
              <w:tc>
                <w:tcPr>
                  <w:tcW w:w="520" w:type="pct"/>
                  <w:vAlign w:val="center"/>
                </w:tcPr>
                <w:p w14:paraId="2B636846">
                  <w:pPr>
                    <w:jc w:val="center"/>
                    <w:rPr>
                      <w:rFonts w:hint="eastAsia"/>
                      <w:sz w:val="18"/>
                      <w:szCs w:val="18"/>
                      <w:lang w:eastAsia="zh-CN"/>
                    </w:rPr>
                  </w:pPr>
                  <w:r>
                    <w:rPr>
                      <w:rFonts w:hint="eastAsia"/>
                      <w:sz w:val="18"/>
                      <w:szCs w:val="18"/>
                      <w:lang w:eastAsia="zh-CN"/>
                    </w:rPr>
                    <w:t>风机</w:t>
                  </w:r>
                  <w:r>
                    <w:rPr>
                      <w:rFonts w:hint="eastAsia"/>
                      <w:sz w:val="18"/>
                      <w:szCs w:val="18"/>
                      <w:lang w:val="en-US" w:eastAsia="zh-CN"/>
                    </w:rPr>
                    <w:t>2</w:t>
                  </w:r>
                </w:p>
              </w:tc>
              <w:tc>
                <w:tcPr>
                  <w:tcW w:w="283" w:type="pct"/>
                  <w:vAlign w:val="center"/>
                </w:tcPr>
                <w:p w14:paraId="0CD73C08">
                  <w:pPr>
                    <w:jc w:val="center"/>
                    <w:rPr>
                      <w:rFonts w:hint="default" w:eastAsia="宋体"/>
                      <w:sz w:val="18"/>
                      <w:szCs w:val="18"/>
                      <w:lang w:val="en-US" w:eastAsia="zh-CN"/>
                    </w:rPr>
                  </w:pPr>
                  <w:r>
                    <w:rPr>
                      <w:rFonts w:hint="eastAsia"/>
                      <w:sz w:val="18"/>
                      <w:szCs w:val="18"/>
                      <w:lang w:val="en-US" w:eastAsia="zh-CN"/>
                    </w:rPr>
                    <w:t>60</w:t>
                  </w:r>
                </w:p>
              </w:tc>
              <w:tc>
                <w:tcPr>
                  <w:tcW w:w="260" w:type="pct"/>
                  <w:vAlign w:val="center"/>
                </w:tcPr>
                <w:p w14:paraId="705D2942">
                  <w:pPr>
                    <w:jc w:val="center"/>
                    <w:rPr>
                      <w:rFonts w:hint="default"/>
                      <w:sz w:val="18"/>
                      <w:szCs w:val="18"/>
                      <w:lang w:val="en-US" w:eastAsia="zh-CN"/>
                    </w:rPr>
                  </w:pPr>
                  <w:r>
                    <w:rPr>
                      <w:rFonts w:hint="eastAsia"/>
                      <w:sz w:val="18"/>
                      <w:szCs w:val="18"/>
                      <w:lang w:val="en-US" w:eastAsia="zh-CN"/>
                    </w:rPr>
                    <w:t>46</w:t>
                  </w:r>
                </w:p>
              </w:tc>
              <w:tc>
                <w:tcPr>
                  <w:tcW w:w="236" w:type="pct"/>
                  <w:vAlign w:val="center"/>
                </w:tcPr>
                <w:p w14:paraId="0351FA6A">
                  <w:pPr>
                    <w:jc w:val="center"/>
                    <w:rPr>
                      <w:rFonts w:hint="eastAsia" w:eastAsia="宋体"/>
                      <w:sz w:val="18"/>
                      <w:szCs w:val="18"/>
                      <w:lang w:val="en-US" w:eastAsia="zh-CN"/>
                    </w:rPr>
                  </w:pPr>
                  <w:r>
                    <w:rPr>
                      <w:rFonts w:hint="eastAsia"/>
                      <w:sz w:val="18"/>
                      <w:szCs w:val="18"/>
                      <w:lang w:val="en-US" w:eastAsia="zh-CN"/>
                    </w:rPr>
                    <w:t>1</w:t>
                  </w:r>
                </w:p>
              </w:tc>
              <w:tc>
                <w:tcPr>
                  <w:tcW w:w="1134" w:type="pct"/>
                  <w:vAlign w:val="center"/>
                </w:tcPr>
                <w:p w14:paraId="13DD52AE">
                  <w:pPr>
                    <w:jc w:val="center"/>
                    <w:rPr>
                      <w:rFonts w:hint="eastAsia"/>
                      <w:sz w:val="18"/>
                      <w:szCs w:val="18"/>
                      <w:lang w:val="en-US" w:eastAsia="zh-CN"/>
                    </w:rPr>
                  </w:pPr>
                  <w:r>
                    <w:rPr>
                      <w:rFonts w:hint="eastAsia"/>
                      <w:sz w:val="18"/>
                      <w:szCs w:val="18"/>
                      <w:lang w:val="en-US" w:eastAsia="zh-CN"/>
                    </w:rPr>
                    <w:t>10</w:t>
                  </w:r>
                </w:p>
              </w:tc>
              <w:tc>
                <w:tcPr>
                  <w:tcW w:w="463" w:type="pct"/>
                  <w:vAlign w:val="center"/>
                </w:tcPr>
                <w:p w14:paraId="40E63299">
                  <w:pPr>
                    <w:jc w:val="center"/>
                    <w:rPr>
                      <w:rFonts w:hint="eastAsia" w:eastAsia="宋体"/>
                      <w:sz w:val="18"/>
                      <w:szCs w:val="18"/>
                      <w:lang w:val="en-US" w:eastAsia="zh-CN"/>
                    </w:rPr>
                  </w:pPr>
                  <w:r>
                    <w:rPr>
                      <w:sz w:val="18"/>
                      <w:szCs w:val="18"/>
                    </w:rPr>
                    <w:t>8</w:t>
                  </w:r>
                  <w:r>
                    <w:rPr>
                      <w:rFonts w:hint="eastAsia"/>
                      <w:sz w:val="18"/>
                      <w:szCs w:val="18"/>
                      <w:lang w:val="en-US" w:eastAsia="zh-CN"/>
                    </w:rPr>
                    <w:t>0</w:t>
                  </w:r>
                </w:p>
              </w:tc>
              <w:tc>
                <w:tcPr>
                  <w:tcW w:w="957" w:type="pct"/>
                  <w:vAlign w:val="center"/>
                </w:tcPr>
                <w:p w14:paraId="6B903D15">
                  <w:pPr>
                    <w:jc w:val="center"/>
                    <w:rPr>
                      <w:sz w:val="18"/>
                      <w:szCs w:val="18"/>
                    </w:rPr>
                  </w:pPr>
                  <w:r>
                    <w:rPr>
                      <w:sz w:val="18"/>
                      <w:szCs w:val="18"/>
                    </w:rPr>
                    <w:t>减震基础、软连接、隔声罩</w:t>
                  </w:r>
                </w:p>
              </w:tc>
              <w:tc>
                <w:tcPr>
                  <w:tcW w:w="617" w:type="pct"/>
                  <w:vAlign w:val="center"/>
                </w:tcPr>
                <w:p w14:paraId="6075AC3F">
                  <w:pPr>
                    <w:jc w:val="center"/>
                    <w:rPr>
                      <w:rFonts w:hint="default"/>
                      <w:sz w:val="18"/>
                      <w:szCs w:val="18"/>
                      <w:lang w:val="en-US" w:eastAsia="zh-CN"/>
                    </w:rPr>
                  </w:pPr>
                  <w:r>
                    <w:rPr>
                      <w:rFonts w:hint="eastAsia"/>
                      <w:sz w:val="18"/>
                      <w:szCs w:val="18"/>
                      <w:lang w:val="en-US" w:eastAsia="zh-CN"/>
                    </w:rPr>
                    <w:t>60</w:t>
                  </w:r>
                </w:p>
              </w:tc>
              <w:tc>
                <w:tcPr>
                  <w:tcW w:w="326" w:type="pct"/>
                  <w:vAlign w:val="center"/>
                </w:tcPr>
                <w:p w14:paraId="22E9B83F">
                  <w:pPr>
                    <w:jc w:val="center"/>
                    <w:rPr>
                      <w:sz w:val="18"/>
                      <w:szCs w:val="18"/>
                    </w:rPr>
                  </w:pPr>
                  <w:r>
                    <w:rPr>
                      <w:sz w:val="18"/>
                      <w:szCs w:val="18"/>
                    </w:rPr>
                    <w:t>昼</w:t>
                  </w:r>
                </w:p>
              </w:tc>
            </w:tr>
            <w:tr w14:paraId="619492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 w:type="pct"/>
                  <w:vAlign w:val="center"/>
                </w:tcPr>
                <w:p w14:paraId="7F11DFB6">
                  <w:pPr>
                    <w:jc w:val="center"/>
                    <w:rPr>
                      <w:rFonts w:hint="default"/>
                      <w:sz w:val="18"/>
                      <w:szCs w:val="18"/>
                      <w:lang w:val="en-US" w:eastAsia="zh-CN"/>
                    </w:rPr>
                  </w:pPr>
                  <w:r>
                    <w:rPr>
                      <w:rFonts w:hint="eastAsia"/>
                      <w:sz w:val="18"/>
                      <w:szCs w:val="18"/>
                      <w:lang w:val="en-US" w:eastAsia="zh-CN"/>
                    </w:rPr>
                    <w:t>3</w:t>
                  </w:r>
                </w:p>
              </w:tc>
              <w:tc>
                <w:tcPr>
                  <w:tcW w:w="520" w:type="pct"/>
                  <w:vAlign w:val="center"/>
                </w:tcPr>
                <w:p w14:paraId="6E7EA9BB">
                  <w:pPr>
                    <w:jc w:val="center"/>
                    <w:rPr>
                      <w:rFonts w:hint="eastAsia"/>
                      <w:sz w:val="18"/>
                      <w:szCs w:val="18"/>
                      <w:lang w:eastAsia="zh-CN"/>
                    </w:rPr>
                  </w:pPr>
                  <w:r>
                    <w:rPr>
                      <w:rFonts w:hint="eastAsia"/>
                      <w:sz w:val="18"/>
                      <w:szCs w:val="18"/>
                      <w:lang w:eastAsia="zh-CN"/>
                    </w:rPr>
                    <w:t>冷却塔</w:t>
                  </w:r>
                </w:p>
              </w:tc>
              <w:tc>
                <w:tcPr>
                  <w:tcW w:w="283" w:type="pct"/>
                  <w:vAlign w:val="center"/>
                </w:tcPr>
                <w:p w14:paraId="7DBA4EF0">
                  <w:pPr>
                    <w:jc w:val="center"/>
                    <w:rPr>
                      <w:rFonts w:hint="default"/>
                      <w:sz w:val="18"/>
                      <w:szCs w:val="18"/>
                      <w:lang w:val="en-US" w:eastAsia="zh-CN"/>
                    </w:rPr>
                  </w:pPr>
                  <w:r>
                    <w:rPr>
                      <w:rFonts w:hint="eastAsia"/>
                      <w:sz w:val="18"/>
                      <w:szCs w:val="18"/>
                      <w:lang w:val="en-US" w:eastAsia="zh-CN"/>
                    </w:rPr>
                    <w:t>63</w:t>
                  </w:r>
                </w:p>
              </w:tc>
              <w:tc>
                <w:tcPr>
                  <w:tcW w:w="260" w:type="pct"/>
                  <w:vAlign w:val="center"/>
                </w:tcPr>
                <w:p w14:paraId="0BFBFF5E">
                  <w:pPr>
                    <w:jc w:val="center"/>
                    <w:rPr>
                      <w:rFonts w:hint="default"/>
                      <w:sz w:val="18"/>
                      <w:szCs w:val="18"/>
                      <w:lang w:val="en-US" w:eastAsia="zh-CN"/>
                    </w:rPr>
                  </w:pPr>
                  <w:r>
                    <w:rPr>
                      <w:rFonts w:hint="eastAsia"/>
                      <w:sz w:val="18"/>
                      <w:szCs w:val="18"/>
                      <w:lang w:val="en-US" w:eastAsia="zh-CN"/>
                    </w:rPr>
                    <w:t>48</w:t>
                  </w:r>
                </w:p>
              </w:tc>
              <w:tc>
                <w:tcPr>
                  <w:tcW w:w="236" w:type="pct"/>
                  <w:vAlign w:val="center"/>
                </w:tcPr>
                <w:p w14:paraId="4C4E2709">
                  <w:pPr>
                    <w:jc w:val="center"/>
                    <w:rPr>
                      <w:rFonts w:hint="default"/>
                      <w:sz w:val="18"/>
                      <w:szCs w:val="18"/>
                      <w:lang w:val="en-US" w:eastAsia="zh-CN"/>
                    </w:rPr>
                  </w:pPr>
                  <w:r>
                    <w:rPr>
                      <w:rFonts w:hint="eastAsia"/>
                      <w:sz w:val="18"/>
                      <w:szCs w:val="18"/>
                      <w:lang w:val="en-US" w:eastAsia="zh-CN"/>
                    </w:rPr>
                    <w:t>1</w:t>
                  </w:r>
                </w:p>
              </w:tc>
              <w:tc>
                <w:tcPr>
                  <w:tcW w:w="1134" w:type="pct"/>
                  <w:vAlign w:val="center"/>
                </w:tcPr>
                <w:p w14:paraId="7246FE67">
                  <w:pPr>
                    <w:jc w:val="center"/>
                    <w:rPr>
                      <w:rFonts w:hint="default"/>
                      <w:sz w:val="18"/>
                      <w:szCs w:val="18"/>
                      <w:lang w:val="en-US" w:eastAsia="zh-CN"/>
                    </w:rPr>
                  </w:pPr>
                  <w:r>
                    <w:rPr>
                      <w:rFonts w:hint="eastAsia"/>
                      <w:sz w:val="18"/>
                      <w:szCs w:val="18"/>
                      <w:lang w:val="en-US" w:eastAsia="zh-CN"/>
                    </w:rPr>
                    <w:t>10</w:t>
                  </w:r>
                </w:p>
              </w:tc>
              <w:tc>
                <w:tcPr>
                  <w:tcW w:w="463" w:type="pct"/>
                  <w:vAlign w:val="center"/>
                </w:tcPr>
                <w:p w14:paraId="5973B3CA">
                  <w:pPr>
                    <w:jc w:val="center"/>
                    <w:rPr>
                      <w:sz w:val="18"/>
                      <w:szCs w:val="18"/>
                    </w:rPr>
                  </w:pPr>
                  <w:r>
                    <w:rPr>
                      <w:sz w:val="18"/>
                      <w:szCs w:val="18"/>
                    </w:rPr>
                    <w:t>8</w:t>
                  </w:r>
                  <w:r>
                    <w:rPr>
                      <w:rFonts w:hint="eastAsia"/>
                      <w:sz w:val="18"/>
                      <w:szCs w:val="18"/>
                      <w:lang w:val="en-US" w:eastAsia="zh-CN"/>
                    </w:rPr>
                    <w:t>0</w:t>
                  </w:r>
                </w:p>
              </w:tc>
              <w:tc>
                <w:tcPr>
                  <w:tcW w:w="957" w:type="pct"/>
                  <w:vAlign w:val="center"/>
                </w:tcPr>
                <w:p w14:paraId="4D532CE4">
                  <w:pPr>
                    <w:jc w:val="center"/>
                    <w:rPr>
                      <w:sz w:val="18"/>
                      <w:szCs w:val="18"/>
                    </w:rPr>
                  </w:pPr>
                  <w:r>
                    <w:rPr>
                      <w:sz w:val="18"/>
                      <w:szCs w:val="18"/>
                    </w:rPr>
                    <w:t>减震基础、软连接、隔声罩</w:t>
                  </w:r>
                </w:p>
              </w:tc>
              <w:tc>
                <w:tcPr>
                  <w:tcW w:w="617" w:type="pct"/>
                  <w:vAlign w:val="center"/>
                </w:tcPr>
                <w:p w14:paraId="4736D4E9">
                  <w:pPr>
                    <w:jc w:val="center"/>
                    <w:rPr>
                      <w:rFonts w:hint="eastAsia"/>
                      <w:sz w:val="18"/>
                      <w:szCs w:val="18"/>
                      <w:lang w:val="en-US" w:eastAsia="zh-CN"/>
                    </w:rPr>
                  </w:pPr>
                  <w:r>
                    <w:rPr>
                      <w:rFonts w:hint="eastAsia"/>
                      <w:sz w:val="18"/>
                      <w:szCs w:val="18"/>
                      <w:lang w:val="en-US" w:eastAsia="zh-CN"/>
                    </w:rPr>
                    <w:t>60</w:t>
                  </w:r>
                </w:p>
              </w:tc>
              <w:tc>
                <w:tcPr>
                  <w:tcW w:w="326" w:type="pct"/>
                  <w:vAlign w:val="center"/>
                </w:tcPr>
                <w:p w14:paraId="79001814">
                  <w:pPr>
                    <w:jc w:val="center"/>
                    <w:rPr>
                      <w:sz w:val="18"/>
                      <w:szCs w:val="18"/>
                    </w:rPr>
                  </w:pPr>
                  <w:r>
                    <w:rPr>
                      <w:sz w:val="18"/>
                      <w:szCs w:val="18"/>
                    </w:rPr>
                    <w:t>昼</w:t>
                  </w:r>
                </w:p>
              </w:tc>
            </w:tr>
          </w:tbl>
          <w:p w14:paraId="623EA0F2">
            <w:r>
              <w:rPr>
                <w:b/>
                <w:bCs/>
                <w:sz w:val="15"/>
                <w:szCs w:val="18"/>
              </w:rPr>
              <w:t>注：以厂区最西南侧为（0.0）点，正东向为X轴正方向，正北向为Y轴正方向；门窗吸声系数数据来源于《环境工程手册 环境噪声控制卷》（郑长聚主编，高等教育出版社，2000年）。</w:t>
            </w:r>
          </w:p>
        </w:tc>
      </w:tr>
    </w:tbl>
    <w:p w14:paraId="2FE7E134">
      <w:pPr>
        <w:spacing w:before="157" w:beforeLines="50" w:after="157" w:afterLines="50"/>
        <w:jc w:val="center"/>
        <w:outlineLvl w:val="0"/>
        <w:rPr>
          <w:rFonts w:ascii="黑体" w:hAnsi="黑体" w:eastAsia="黑体"/>
          <w:sz w:val="30"/>
          <w:szCs w:val="30"/>
        </w:rPr>
        <w:sectPr>
          <w:pgSz w:w="16838" w:h="11906" w:orient="landscape"/>
          <w:pgMar w:top="1531" w:right="1701" w:bottom="1531" w:left="1701" w:header="851" w:footer="794" w:gutter="0"/>
          <w:pgBorders>
            <w:top w:val="none" w:sz="0" w:space="0"/>
            <w:left w:val="none" w:sz="0" w:space="0"/>
            <w:bottom w:val="none" w:sz="0" w:space="0"/>
            <w:right w:val="none" w:sz="0" w:space="0"/>
          </w:pgBorders>
          <w:pgNumType w:fmt="numberInDash"/>
          <w:cols w:space="720" w:num="1"/>
          <w:docGrid w:type="lines" w:linePitch="315" w:charSpace="0"/>
        </w:sect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8286"/>
      </w:tblGrid>
      <w:tr w14:paraId="1881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4" w:type="dxa"/>
          </w:tcPr>
          <w:p w14:paraId="1A363E95">
            <w:pPr>
              <w:pStyle w:val="4"/>
              <w:spacing w:before="0" w:after="0" w:line="240" w:lineRule="auto"/>
            </w:pPr>
          </w:p>
        </w:tc>
        <w:tc>
          <w:tcPr>
            <w:tcW w:w="8286" w:type="dxa"/>
          </w:tcPr>
          <w:p w14:paraId="2844428D">
            <w:pPr>
              <w:numPr>
                <w:ilvl w:val="0"/>
                <w:numId w:val="5"/>
              </w:numPr>
              <w:tabs>
                <w:tab w:val="left" w:pos="2672"/>
              </w:tabs>
              <w:spacing w:line="360" w:lineRule="auto"/>
              <w:ind w:firstLine="420" w:firstLineChars="200"/>
              <w:jc w:val="left"/>
              <w:rPr>
                <w:kern w:val="0"/>
                <w:szCs w:val="21"/>
              </w:rPr>
            </w:pPr>
            <w:r>
              <w:rPr>
                <w:kern w:val="0"/>
                <w:szCs w:val="21"/>
              </w:rPr>
              <w:t>噪声预测</w:t>
            </w:r>
          </w:p>
          <w:p w14:paraId="6C3FC560">
            <w:pPr>
              <w:tabs>
                <w:tab w:val="left" w:pos="2672"/>
              </w:tabs>
              <w:spacing w:line="360" w:lineRule="auto"/>
              <w:ind w:firstLine="420" w:firstLineChars="200"/>
              <w:jc w:val="left"/>
              <w:rPr>
                <w:bCs/>
                <w:szCs w:val="21"/>
              </w:rPr>
            </w:pPr>
            <w:r>
              <w:rPr>
                <w:rFonts w:hint="eastAsia"/>
                <w:bCs/>
                <w:szCs w:val="21"/>
              </w:rPr>
              <w:t>根据项目建设内容及《环境影响评价技术导则—声环境》（HJ2.4-2021）的要求，项目环评采用的模型为《环境影响评价技术导则—声环境》（HJ2.4.2021）附录A（规范性附录）户外声传播的衰减和附录B（规范性附录）中“B.1工业噪声预测计算模型”。</w:t>
            </w:r>
          </w:p>
          <w:p w14:paraId="5B4C347A">
            <w:pPr>
              <w:adjustRightInd w:val="0"/>
              <w:snapToGrid w:val="0"/>
              <w:spacing w:line="500" w:lineRule="exact"/>
              <w:ind w:firstLine="420" w:firstLineChars="200"/>
              <w:rPr>
                <w:bCs/>
                <w:szCs w:val="21"/>
              </w:rPr>
            </w:pPr>
            <w:r>
              <w:rPr>
                <w:rFonts w:hint="eastAsia"/>
                <w:bCs/>
                <w:szCs w:val="21"/>
              </w:rPr>
              <w:t>2、降噪措施</w:t>
            </w:r>
          </w:p>
          <w:p w14:paraId="333BE3C3">
            <w:pPr>
              <w:adjustRightInd w:val="0"/>
              <w:snapToGrid w:val="0"/>
              <w:spacing w:line="500" w:lineRule="exact"/>
              <w:ind w:firstLine="420" w:firstLineChars="200"/>
              <w:rPr>
                <w:bCs/>
                <w:szCs w:val="21"/>
              </w:rPr>
            </w:pPr>
            <w:r>
              <w:rPr>
                <w:rFonts w:hint="eastAsia"/>
                <w:bCs/>
                <w:szCs w:val="21"/>
              </w:rPr>
              <w:t>为了确保项目厂界噪声值能够达到功能区标准，建设方针对不同的噪声源强拟采取相应的处理措施：</w:t>
            </w:r>
          </w:p>
          <w:p w14:paraId="013CDE2A">
            <w:pPr>
              <w:adjustRightInd w:val="0"/>
              <w:snapToGrid w:val="0"/>
              <w:spacing w:line="500" w:lineRule="exact"/>
              <w:ind w:firstLine="420" w:firstLineChars="200"/>
              <w:rPr>
                <w:bCs/>
                <w:szCs w:val="21"/>
              </w:rPr>
            </w:pPr>
            <w:r>
              <w:rPr>
                <w:rFonts w:hint="eastAsia"/>
                <w:bCs/>
                <w:szCs w:val="21"/>
              </w:rPr>
              <w:t>1）统筹规划、合理布局</w:t>
            </w:r>
          </w:p>
          <w:p w14:paraId="14429876">
            <w:pPr>
              <w:adjustRightInd w:val="0"/>
              <w:snapToGrid w:val="0"/>
              <w:spacing w:line="500" w:lineRule="exact"/>
              <w:ind w:firstLine="420" w:firstLineChars="200"/>
              <w:rPr>
                <w:bCs/>
                <w:szCs w:val="21"/>
              </w:rPr>
            </w:pPr>
            <w:r>
              <w:rPr>
                <w:rFonts w:hint="eastAsia"/>
                <w:bCs/>
                <w:szCs w:val="21"/>
              </w:rPr>
              <w:t>高噪声设备集中分布于车间中部，通过建筑物的屏蔽作用及距离衰减，使声级值降低，减少对厂界外周围环境的影响；</w:t>
            </w:r>
          </w:p>
          <w:p w14:paraId="3171E376">
            <w:pPr>
              <w:adjustRightInd w:val="0"/>
              <w:snapToGrid w:val="0"/>
              <w:spacing w:line="500" w:lineRule="exact"/>
              <w:ind w:firstLine="420" w:firstLineChars="200"/>
              <w:rPr>
                <w:bCs/>
                <w:szCs w:val="21"/>
              </w:rPr>
            </w:pPr>
            <w:r>
              <w:rPr>
                <w:rFonts w:hint="eastAsia"/>
                <w:bCs/>
                <w:szCs w:val="21"/>
              </w:rPr>
              <w:t>2）订购低噪音设备</w:t>
            </w:r>
          </w:p>
          <w:p w14:paraId="5BB47BB4">
            <w:pPr>
              <w:adjustRightInd w:val="0"/>
              <w:snapToGrid w:val="0"/>
              <w:spacing w:line="500" w:lineRule="exact"/>
              <w:ind w:firstLine="420" w:firstLineChars="200"/>
              <w:rPr>
                <w:bCs/>
                <w:szCs w:val="21"/>
              </w:rPr>
            </w:pPr>
            <w:r>
              <w:rPr>
                <w:rFonts w:hint="eastAsia"/>
                <w:bCs/>
                <w:szCs w:val="21"/>
              </w:rPr>
              <w:t>在满足工艺要求的前提下，优先选择高效低噪声设备，低噪声设备的电能损耗相比高噪声设备要低；</w:t>
            </w:r>
          </w:p>
          <w:p w14:paraId="04AA6725">
            <w:pPr>
              <w:adjustRightInd w:val="0"/>
              <w:snapToGrid w:val="0"/>
              <w:spacing w:line="500" w:lineRule="exact"/>
              <w:ind w:firstLine="420" w:firstLineChars="200"/>
              <w:rPr>
                <w:bCs/>
                <w:szCs w:val="21"/>
              </w:rPr>
            </w:pPr>
            <w:r>
              <w:rPr>
                <w:rFonts w:hint="eastAsia"/>
                <w:bCs/>
                <w:szCs w:val="21"/>
              </w:rPr>
              <w:t>3）对噪声源采取治理措施</w:t>
            </w:r>
          </w:p>
          <w:p w14:paraId="54A00381">
            <w:pPr>
              <w:adjustRightInd w:val="0"/>
              <w:snapToGrid w:val="0"/>
              <w:spacing w:line="500" w:lineRule="exact"/>
              <w:ind w:firstLine="420" w:firstLineChars="200"/>
              <w:rPr>
                <w:bCs/>
                <w:szCs w:val="21"/>
              </w:rPr>
            </w:pPr>
            <w:r>
              <w:rPr>
                <w:rFonts w:hint="eastAsia"/>
                <w:bCs/>
                <w:szCs w:val="21"/>
              </w:rPr>
              <w:t>采用隔声和吸声材料处理高噪声车间厂房；电机等设备作减振基础，对高噪声设备，应采取局部隔离，并保证与厂界有一定的距离。</w:t>
            </w:r>
          </w:p>
          <w:p w14:paraId="637E1D41">
            <w:pPr>
              <w:adjustRightInd w:val="0"/>
              <w:snapToGrid w:val="0"/>
              <w:spacing w:line="500" w:lineRule="exact"/>
              <w:ind w:firstLine="420" w:firstLineChars="200"/>
              <w:rPr>
                <w:bCs/>
                <w:szCs w:val="21"/>
              </w:rPr>
            </w:pPr>
            <w:r>
              <w:rPr>
                <w:rFonts w:hint="eastAsia"/>
                <w:bCs/>
                <w:szCs w:val="21"/>
              </w:rPr>
              <w:t>4）合理利用距离衰减，减少对厂界外环境的影响</w:t>
            </w:r>
          </w:p>
          <w:p w14:paraId="22AA7E03">
            <w:pPr>
              <w:adjustRightInd w:val="0"/>
              <w:snapToGrid w:val="0"/>
              <w:spacing w:line="500" w:lineRule="exact"/>
              <w:ind w:firstLine="420" w:firstLineChars="200"/>
              <w:rPr>
                <w:bCs/>
                <w:szCs w:val="21"/>
              </w:rPr>
            </w:pPr>
            <w:r>
              <w:rPr>
                <w:rFonts w:hint="eastAsia"/>
                <w:bCs/>
                <w:szCs w:val="21"/>
              </w:rPr>
              <w:t>上述措施均常规有效的吸声、消声、减振措施，可确保噪声源有大幅度的削弱。</w:t>
            </w:r>
          </w:p>
          <w:p w14:paraId="17D0A65C">
            <w:pPr>
              <w:adjustRightInd w:val="0"/>
              <w:snapToGrid w:val="0"/>
              <w:spacing w:line="500" w:lineRule="exact"/>
              <w:ind w:firstLine="420" w:firstLineChars="200"/>
              <w:rPr>
                <w:bCs/>
                <w:szCs w:val="21"/>
              </w:rPr>
            </w:pPr>
            <w:r>
              <w:rPr>
                <w:rFonts w:hint="eastAsia"/>
                <w:bCs/>
                <w:szCs w:val="21"/>
              </w:rPr>
              <w:t>3、预测结果</w:t>
            </w:r>
          </w:p>
          <w:p w14:paraId="2C090D22">
            <w:pPr>
              <w:autoSpaceDE w:val="0"/>
              <w:autoSpaceDN w:val="0"/>
              <w:adjustRightInd w:val="0"/>
              <w:spacing w:line="500" w:lineRule="exact"/>
              <w:jc w:val="center"/>
              <w:rPr>
                <w:b/>
                <w:bCs/>
              </w:rPr>
            </w:pPr>
            <w:r>
              <w:rPr>
                <w:b/>
                <w:bCs/>
              </w:rPr>
              <w:t>表4-1</w:t>
            </w:r>
            <w:r>
              <w:rPr>
                <w:rFonts w:hint="eastAsia"/>
                <w:b/>
                <w:bCs/>
                <w:lang w:val="en-US" w:eastAsia="zh-CN"/>
              </w:rPr>
              <w:t>8</w:t>
            </w:r>
            <w:r>
              <w:rPr>
                <w:b/>
                <w:bCs/>
              </w:rPr>
              <w:t xml:space="preserve">  厂界噪声预测结果与达标分析表（单位：dB(A)）</w:t>
            </w:r>
          </w:p>
          <w:tbl>
            <w:tblPr>
              <w:tblStyle w:val="1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658"/>
              <w:gridCol w:w="858"/>
              <w:gridCol w:w="858"/>
              <w:gridCol w:w="924"/>
              <w:gridCol w:w="975"/>
              <w:gridCol w:w="835"/>
              <w:gridCol w:w="836"/>
              <w:gridCol w:w="1117"/>
            </w:tblGrid>
            <w:tr w14:paraId="08D5C7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624" w:type="pct"/>
                  <w:vAlign w:val="center"/>
                </w:tcPr>
                <w:p w14:paraId="4EC4A957">
                  <w:pPr>
                    <w:jc w:val="center"/>
                    <w:rPr>
                      <w:color w:val="auto"/>
                      <w:sz w:val="18"/>
                      <w:szCs w:val="18"/>
                    </w:rPr>
                  </w:pPr>
                  <w:r>
                    <w:rPr>
                      <w:color w:val="auto"/>
                      <w:sz w:val="18"/>
                      <w:szCs w:val="18"/>
                    </w:rPr>
                    <w:t>预测</w:t>
                  </w:r>
                </w:p>
                <w:p w14:paraId="75790339">
                  <w:pPr>
                    <w:jc w:val="center"/>
                    <w:rPr>
                      <w:color w:val="auto"/>
                      <w:sz w:val="18"/>
                      <w:szCs w:val="18"/>
                    </w:rPr>
                  </w:pPr>
                  <w:r>
                    <w:rPr>
                      <w:color w:val="auto"/>
                      <w:sz w:val="18"/>
                      <w:szCs w:val="18"/>
                    </w:rPr>
                    <w:t>方位</w:t>
                  </w:r>
                </w:p>
              </w:tc>
              <w:tc>
                <w:tcPr>
                  <w:tcW w:w="407" w:type="pct"/>
                  <w:vAlign w:val="center"/>
                </w:tcPr>
                <w:p w14:paraId="39A55312">
                  <w:pPr>
                    <w:jc w:val="center"/>
                    <w:rPr>
                      <w:color w:val="auto"/>
                      <w:sz w:val="18"/>
                      <w:szCs w:val="18"/>
                    </w:rPr>
                  </w:pPr>
                  <w:r>
                    <w:rPr>
                      <w:color w:val="auto"/>
                      <w:sz w:val="18"/>
                      <w:szCs w:val="18"/>
                    </w:rPr>
                    <w:t>时段</w:t>
                  </w:r>
                </w:p>
              </w:tc>
              <w:tc>
                <w:tcPr>
                  <w:tcW w:w="531" w:type="pct"/>
                  <w:vAlign w:val="center"/>
                </w:tcPr>
                <w:p w14:paraId="5E1D1AB8">
                  <w:pPr>
                    <w:jc w:val="center"/>
                    <w:rPr>
                      <w:color w:val="auto"/>
                      <w:sz w:val="18"/>
                      <w:szCs w:val="18"/>
                    </w:rPr>
                  </w:pPr>
                  <w:r>
                    <w:rPr>
                      <w:rFonts w:hint="eastAsia"/>
                      <w:color w:val="auto"/>
                      <w:sz w:val="18"/>
                      <w:szCs w:val="18"/>
                      <w:highlight w:val="none"/>
                      <w:lang w:eastAsia="zh-CN"/>
                    </w:rPr>
                    <w:t>背景值</w:t>
                  </w:r>
                </w:p>
              </w:tc>
              <w:tc>
                <w:tcPr>
                  <w:tcW w:w="531" w:type="pct"/>
                  <w:vAlign w:val="center"/>
                </w:tcPr>
                <w:p w14:paraId="6595F49D">
                  <w:pPr>
                    <w:jc w:val="center"/>
                    <w:rPr>
                      <w:color w:val="auto"/>
                      <w:sz w:val="18"/>
                      <w:szCs w:val="18"/>
                    </w:rPr>
                  </w:pPr>
                  <w:r>
                    <w:rPr>
                      <w:color w:val="auto"/>
                      <w:sz w:val="18"/>
                      <w:szCs w:val="18"/>
                    </w:rPr>
                    <w:t>现状值</w:t>
                  </w:r>
                </w:p>
              </w:tc>
              <w:tc>
                <w:tcPr>
                  <w:tcW w:w="572" w:type="pct"/>
                  <w:vAlign w:val="center"/>
                </w:tcPr>
                <w:p w14:paraId="2F4F3D16">
                  <w:pPr>
                    <w:jc w:val="center"/>
                    <w:rPr>
                      <w:color w:val="auto"/>
                      <w:sz w:val="18"/>
                      <w:szCs w:val="18"/>
                    </w:rPr>
                  </w:pPr>
                  <w:r>
                    <w:rPr>
                      <w:color w:val="auto"/>
                      <w:sz w:val="18"/>
                      <w:szCs w:val="18"/>
                    </w:rPr>
                    <w:t>贡献值</w:t>
                  </w:r>
                </w:p>
              </w:tc>
              <w:tc>
                <w:tcPr>
                  <w:tcW w:w="604" w:type="pct"/>
                  <w:vAlign w:val="center"/>
                </w:tcPr>
                <w:p w14:paraId="35C4AD89">
                  <w:pPr>
                    <w:jc w:val="center"/>
                    <w:rPr>
                      <w:color w:val="auto"/>
                      <w:sz w:val="18"/>
                      <w:szCs w:val="18"/>
                    </w:rPr>
                  </w:pPr>
                  <w:r>
                    <w:rPr>
                      <w:color w:val="auto"/>
                      <w:sz w:val="18"/>
                      <w:szCs w:val="18"/>
                    </w:rPr>
                    <w:t>预测值</w:t>
                  </w:r>
                </w:p>
              </w:tc>
              <w:tc>
                <w:tcPr>
                  <w:tcW w:w="517" w:type="pct"/>
                  <w:vAlign w:val="center"/>
                </w:tcPr>
                <w:p w14:paraId="15330FB9">
                  <w:pPr>
                    <w:jc w:val="center"/>
                    <w:rPr>
                      <w:color w:val="auto"/>
                      <w:sz w:val="18"/>
                      <w:szCs w:val="18"/>
                    </w:rPr>
                  </w:pPr>
                  <w:r>
                    <w:rPr>
                      <w:color w:val="auto"/>
                      <w:sz w:val="18"/>
                      <w:szCs w:val="18"/>
                    </w:rPr>
                    <w:t>标准限值</w:t>
                  </w:r>
                </w:p>
              </w:tc>
              <w:tc>
                <w:tcPr>
                  <w:tcW w:w="518" w:type="pct"/>
                  <w:vAlign w:val="center"/>
                </w:tcPr>
                <w:p w14:paraId="319931B9">
                  <w:pPr>
                    <w:jc w:val="center"/>
                    <w:rPr>
                      <w:rFonts w:hint="eastAsia" w:eastAsia="宋体"/>
                      <w:color w:val="auto"/>
                      <w:sz w:val="18"/>
                      <w:szCs w:val="18"/>
                      <w:lang w:eastAsia="zh-CN"/>
                    </w:rPr>
                  </w:pPr>
                  <w:r>
                    <w:rPr>
                      <w:rFonts w:hint="eastAsia"/>
                      <w:color w:val="auto"/>
                      <w:sz w:val="18"/>
                      <w:szCs w:val="18"/>
                      <w:lang w:eastAsia="zh-CN"/>
                    </w:rPr>
                    <w:t>较现状增量</w:t>
                  </w:r>
                </w:p>
              </w:tc>
              <w:tc>
                <w:tcPr>
                  <w:tcW w:w="692" w:type="pct"/>
                  <w:vAlign w:val="center"/>
                </w:tcPr>
                <w:p w14:paraId="453DE50A">
                  <w:pPr>
                    <w:jc w:val="center"/>
                    <w:rPr>
                      <w:color w:val="auto"/>
                      <w:sz w:val="18"/>
                      <w:szCs w:val="18"/>
                    </w:rPr>
                  </w:pPr>
                  <w:r>
                    <w:rPr>
                      <w:color w:val="auto"/>
                      <w:sz w:val="18"/>
                      <w:szCs w:val="18"/>
                    </w:rPr>
                    <w:t>达标情况</w:t>
                  </w:r>
                </w:p>
              </w:tc>
            </w:tr>
            <w:tr w14:paraId="2B43F2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624" w:type="pct"/>
                  <w:shd w:val="clear" w:color="auto" w:fill="FFFFFF"/>
                  <w:vAlign w:val="center"/>
                </w:tcPr>
                <w:p w14:paraId="65E9546A">
                  <w:pPr>
                    <w:adjustRightInd w:val="0"/>
                    <w:snapToGrid w:val="0"/>
                    <w:jc w:val="center"/>
                    <w:rPr>
                      <w:color w:val="auto"/>
                      <w:sz w:val="18"/>
                      <w:szCs w:val="18"/>
                    </w:rPr>
                  </w:pPr>
                  <w:r>
                    <w:rPr>
                      <w:rFonts w:hint="eastAsia"/>
                      <w:color w:val="auto"/>
                      <w:sz w:val="18"/>
                      <w:szCs w:val="18"/>
                    </w:rPr>
                    <w:t>东</w:t>
                  </w:r>
                  <w:r>
                    <w:rPr>
                      <w:color w:val="auto"/>
                      <w:sz w:val="18"/>
                      <w:szCs w:val="18"/>
                    </w:rPr>
                    <w:t>厂界</w:t>
                  </w:r>
                </w:p>
              </w:tc>
              <w:tc>
                <w:tcPr>
                  <w:tcW w:w="407" w:type="pct"/>
                  <w:shd w:val="clear" w:color="auto" w:fill="FFFFFF"/>
                  <w:vAlign w:val="center"/>
                </w:tcPr>
                <w:p w14:paraId="53EA3166">
                  <w:pPr>
                    <w:jc w:val="center"/>
                    <w:rPr>
                      <w:color w:val="auto"/>
                      <w:sz w:val="18"/>
                      <w:szCs w:val="18"/>
                    </w:rPr>
                  </w:pPr>
                  <w:r>
                    <w:rPr>
                      <w:color w:val="auto"/>
                      <w:sz w:val="18"/>
                      <w:szCs w:val="18"/>
                    </w:rPr>
                    <w:t>昼间</w:t>
                  </w:r>
                </w:p>
              </w:tc>
              <w:tc>
                <w:tcPr>
                  <w:tcW w:w="531" w:type="pct"/>
                  <w:shd w:val="clear" w:color="auto" w:fill="FFFFFF"/>
                  <w:vAlign w:val="center"/>
                </w:tcPr>
                <w:p w14:paraId="0C7B2F7B">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50</w:t>
                  </w:r>
                </w:p>
              </w:tc>
              <w:tc>
                <w:tcPr>
                  <w:tcW w:w="531" w:type="pct"/>
                  <w:shd w:val="clear" w:color="auto" w:fill="FFFFFF"/>
                  <w:vAlign w:val="center"/>
                </w:tcPr>
                <w:p w14:paraId="5B54D566">
                  <w:pPr>
                    <w:adjustRightInd w:val="0"/>
                    <w:snapToGrid w:val="0"/>
                    <w:jc w:val="center"/>
                    <w:rPr>
                      <w:rFonts w:hint="default"/>
                      <w:color w:val="auto"/>
                      <w:sz w:val="18"/>
                      <w:szCs w:val="18"/>
                      <w:lang w:val="en-US" w:eastAsia="zh-CN"/>
                    </w:rPr>
                  </w:pPr>
                  <w:r>
                    <w:rPr>
                      <w:rFonts w:hint="eastAsia"/>
                      <w:color w:val="auto"/>
                      <w:sz w:val="18"/>
                      <w:szCs w:val="18"/>
                      <w:lang w:val="en-US" w:eastAsia="zh-CN"/>
                    </w:rPr>
                    <w:t>50</w:t>
                  </w:r>
                </w:p>
              </w:tc>
              <w:tc>
                <w:tcPr>
                  <w:tcW w:w="572" w:type="pct"/>
                  <w:shd w:val="clear" w:color="auto" w:fill="FFFFFF"/>
                  <w:vAlign w:val="center"/>
                </w:tcPr>
                <w:p w14:paraId="5EAF96AC">
                  <w:pPr>
                    <w:jc w:val="center"/>
                    <w:rPr>
                      <w:rFonts w:hint="default" w:eastAsia="宋体"/>
                      <w:color w:val="auto"/>
                      <w:sz w:val="18"/>
                      <w:szCs w:val="18"/>
                      <w:lang w:val="en-US" w:eastAsia="zh-CN"/>
                    </w:rPr>
                  </w:pPr>
                  <w:r>
                    <w:rPr>
                      <w:rFonts w:hint="eastAsia"/>
                      <w:color w:val="auto"/>
                      <w:sz w:val="18"/>
                      <w:szCs w:val="18"/>
                      <w:lang w:val="en-US" w:eastAsia="zh-CN"/>
                    </w:rPr>
                    <w:t>34</w:t>
                  </w:r>
                </w:p>
              </w:tc>
              <w:tc>
                <w:tcPr>
                  <w:tcW w:w="604" w:type="pct"/>
                  <w:shd w:val="clear" w:color="auto" w:fill="FFFFFF"/>
                  <w:vAlign w:val="center"/>
                </w:tcPr>
                <w:p w14:paraId="4AED5B95">
                  <w:pPr>
                    <w:jc w:val="center"/>
                    <w:rPr>
                      <w:rFonts w:hint="default" w:eastAsia="宋体"/>
                      <w:color w:val="auto"/>
                      <w:sz w:val="18"/>
                      <w:szCs w:val="18"/>
                      <w:lang w:val="en-US" w:eastAsia="zh-CN"/>
                    </w:rPr>
                  </w:pPr>
                  <w:r>
                    <w:rPr>
                      <w:rFonts w:hint="eastAsia"/>
                      <w:color w:val="auto"/>
                      <w:sz w:val="18"/>
                      <w:szCs w:val="18"/>
                      <w:lang w:val="en-US" w:eastAsia="zh-CN"/>
                    </w:rPr>
                    <w:t>50.1</w:t>
                  </w:r>
                </w:p>
              </w:tc>
              <w:tc>
                <w:tcPr>
                  <w:tcW w:w="517" w:type="pct"/>
                  <w:shd w:val="clear" w:color="auto" w:fill="FFFFFF"/>
                  <w:vAlign w:val="center"/>
                </w:tcPr>
                <w:p w14:paraId="01A7D5A4">
                  <w:pPr>
                    <w:jc w:val="center"/>
                    <w:rPr>
                      <w:rFonts w:hint="default" w:eastAsia="宋体"/>
                      <w:color w:val="auto"/>
                      <w:sz w:val="18"/>
                      <w:szCs w:val="18"/>
                      <w:lang w:val="en-US" w:eastAsia="zh-CN"/>
                    </w:rPr>
                  </w:pPr>
                  <w:r>
                    <w:rPr>
                      <w:rFonts w:hint="eastAsia"/>
                      <w:color w:val="auto"/>
                      <w:sz w:val="18"/>
                      <w:szCs w:val="18"/>
                      <w:lang w:val="en-US" w:eastAsia="zh-CN"/>
                    </w:rPr>
                    <w:t>60</w:t>
                  </w:r>
                </w:p>
              </w:tc>
              <w:tc>
                <w:tcPr>
                  <w:tcW w:w="518" w:type="pct"/>
                  <w:shd w:val="clear" w:color="auto" w:fill="FFFFFF"/>
                  <w:vAlign w:val="center"/>
                </w:tcPr>
                <w:p w14:paraId="0F45402C">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0.1</w:t>
                  </w:r>
                </w:p>
              </w:tc>
              <w:tc>
                <w:tcPr>
                  <w:tcW w:w="692" w:type="pct"/>
                  <w:shd w:val="clear" w:color="auto" w:fill="FFFFFF"/>
                  <w:vAlign w:val="center"/>
                </w:tcPr>
                <w:p w14:paraId="7AF27D80">
                  <w:pPr>
                    <w:jc w:val="center"/>
                    <w:rPr>
                      <w:color w:val="auto"/>
                      <w:sz w:val="18"/>
                      <w:szCs w:val="18"/>
                    </w:rPr>
                  </w:pPr>
                  <w:r>
                    <w:rPr>
                      <w:rFonts w:hint="eastAsia"/>
                      <w:color w:val="auto"/>
                      <w:sz w:val="18"/>
                      <w:szCs w:val="18"/>
                    </w:rPr>
                    <w:t>达标</w:t>
                  </w:r>
                </w:p>
              </w:tc>
            </w:tr>
            <w:tr w14:paraId="678B85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624" w:type="pct"/>
                  <w:shd w:val="clear" w:color="auto" w:fill="FFFFFF"/>
                  <w:vAlign w:val="center"/>
                </w:tcPr>
                <w:p w14:paraId="1C9B3F80">
                  <w:pPr>
                    <w:adjustRightInd w:val="0"/>
                    <w:snapToGrid w:val="0"/>
                    <w:jc w:val="center"/>
                    <w:rPr>
                      <w:color w:val="auto"/>
                      <w:sz w:val="18"/>
                      <w:szCs w:val="18"/>
                    </w:rPr>
                  </w:pPr>
                  <w:r>
                    <w:rPr>
                      <w:rFonts w:hint="eastAsia"/>
                      <w:color w:val="auto"/>
                      <w:sz w:val="18"/>
                      <w:szCs w:val="18"/>
                    </w:rPr>
                    <w:t>南</w:t>
                  </w:r>
                  <w:r>
                    <w:rPr>
                      <w:color w:val="auto"/>
                      <w:sz w:val="18"/>
                      <w:szCs w:val="18"/>
                    </w:rPr>
                    <w:t>厂界</w:t>
                  </w:r>
                </w:p>
              </w:tc>
              <w:tc>
                <w:tcPr>
                  <w:tcW w:w="407" w:type="pct"/>
                  <w:shd w:val="clear" w:color="auto" w:fill="FFFFFF"/>
                  <w:vAlign w:val="center"/>
                </w:tcPr>
                <w:p w14:paraId="160653B0">
                  <w:pPr>
                    <w:jc w:val="center"/>
                    <w:rPr>
                      <w:color w:val="auto"/>
                      <w:sz w:val="18"/>
                      <w:szCs w:val="18"/>
                    </w:rPr>
                  </w:pPr>
                  <w:r>
                    <w:rPr>
                      <w:color w:val="auto"/>
                      <w:sz w:val="18"/>
                      <w:szCs w:val="18"/>
                    </w:rPr>
                    <w:t>昼间</w:t>
                  </w:r>
                </w:p>
              </w:tc>
              <w:tc>
                <w:tcPr>
                  <w:tcW w:w="531" w:type="pct"/>
                  <w:shd w:val="clear" w:color="auto" w:fill="FFFFFF"/>
                  <w:vAlign w:val="center"/>
                </w:tcPr>
                <w:p w14:paraId="552A41CC">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53</w:t>
                  </w:r>
                </w:p>
              </w:tc>
              <w:tc>
                <w:tcPr>
                  <w:tcW w:w="531" w:type="pct"/>
                  <w:shd w:val="clear" w:color="auto" w:fill="FFFFFF"/>
                  <w:vAlign w:val="center"/>
                </w:tcPr>
                <w:p w14:paraId="747E8C41">
                  <w:pPr>
                    <w:adjustRightInd w:val="0"/>
                    <w:snapToGrid w:val="0"/>
                    <w:jc w:val="center"/>
                    <w:rPr>
                      <w:rFonts w:hint="default"/>
                      <w:color w:val="auto"/>
                      <w:sz w:val="18"/>
                      <w:szCs w:val="18"/>
                      <w:lang w:val="en-US" w:eastAsia="zh-CN"/>
                    </w:rPr>
                  </w:pPr>
                  <w:r>
                    <w:rPr>
                      <w:rFonts w:hint="eastAsia"/>
                      <w:color w:val="auto"/>
                      <w:sz w:val="18"/>
                      <w:szCs w:val="18"/>
                      <w:lang w:val="en-US" w:eastAsia="zh-CN"/>
                    </w:rPr>
                    <w:t>53</w:t>
                  </w:r>
                </w:p>
              </w:tc>
              <w:tc>
                <w:tcPr>
                  <w:tcW w:w="572" w:type="pct"/>
                  <w:shd w:val="clear" w:color="auto" w:fill="FFFFFF"/>
                  <w:vAlign w:val="center"/>
                </w:tcPr>
                <w:p w14:paraId="73915A38">
                  <w:pPr>
                    <w:jc w:val="center"/>
                    <w:rPr>
                      <w:rFonts w:hint="default" w:eastAsia="宋体"/>
                      <w:color w:val="auto"/>
                      <w:sz w:val="18"/>
                      <w:szCs w:val="18"/>
                      <w:lang w:val="en-US" w:eastAsia="zh-CN"/>
                    </w:rPr>
                  </w:pPr>
                  <w:r>
                    <w:rPr>
                      <w:rFonts w:hint="eastAsia"/>
                      <w:color w:val="auto"/>
                      <w:sz w:val="18"/>
                      <w:szCs w:val="18"/>
                      <w:lang w:val="en-US" w:eastAsia="zh-CN"/>
                    </w:rPr>
                    <w:t>41.9</w:t>
                  </w:r>
                </w:p>
              </w:tc>
              <w:tc>
                <w:tcPr>
                  <w:tcW w:w="604" w:type="pct"/>
                  <w:shd w:val="clear" w:color="auto" w:fill="FFFFFF"/>
                  <w:vAlign w:val="center"/>
                </w:tcPr>
                <w:p w14:paraId="293E81C0">
                  <w:pPr>
                    <w:jc w:val="center"/>
                    <w:rPr>
                      <w:rFonts w:hint="default" w:eastAsia="宋体"/>
                      <w:color w:val="auto"/>
                      <w:sz w:val="18"/>
                      <w:szCs w:val="18"/>
                      <w:lang w:val="en-US" w:eastAsia="zh-CN"/>
                    </w:rPr>
                  </w:pPr>
                  <w:r>
                    <w:rPr>
                      <w:rFonts w:hint="eastAsia"/>
                      <w:color w:val="auto"/>
                      <w:sz w:val="18"/>
                      <w:szCs w:val="18"/>
                      <w:lang w:val="en-US" w:eastAsia="zh-CN"/>
                    </w:rPr>
                    <w:t>53.3</w:t>
                  </w:r>
                </w:p>
              </w:tc>
              <w:tc>
                <w:tcPr>
                  <w:tcW w:w="517" w:type="pct"/>
                  <w:shd w:val="clear" w:color="auto" w:fill="FFFFFF"/>
                  <w:vAlign w:val="center"/>
                </w:tcPr>
                <w:p w14:paraId="01A63FDD">
                  <w:pPr>
                    <w:jc w:val="center"/>
                    <w:rPr>
                      <w:color w:val="auto"/>
                      <w:sz w:val="18"/>
                      <w:szCs w:val="18"/>
                    </w:rPr>
                  </w:pPr>
                  <w:r>
                    <w:rPr>
                      <w:rFonts w:hint="eastAsia"/>
                      <w:color w:val="auto"/>
                      <w:sz w:val="18"/>
                      <w:szCs w:val="18"/>
                      <w:lang w:val="en-US" w:eastAsia="zh-CN"/>
                    </w:rPr>
                    <w:t>60</w:t>
                  </w:r>
                </w:p>
              </w:tc>
              <w:tc>
                <w:tcPr>
                  <w:tcW w:w="518" w:type="pct"/>
                  <w:shd w:val="clear" w:color="auto" w:fill="FFFFFF"/>
                  <w:vAlign w:val="center"/>
                </w:tcPr>
                <w:p w14:paraId="22365FA8">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0.3</w:t>
                  </w:r>
                </w:p>
              </w:tc>
              <w:tc>
                <w:tcPr>
                  <w:tcW w:w="692" w:type="pct"/>
                  <w:shd w:val="clear" w:color="auto" w:fill="FFFFFF"/>
                  <w:vAlign w:val="center"/>
                </w:tcPr>
                <w:p w14:paraId="44A44C92">
                  <w:pPr>
                    <w:jc w:val="center"/>
                    <w:rPr>
                      <w:color w:val="auto"/>
                      <w:sz w:val="18"/>
                      <w:szCs w:val="18"/>
                    </w:rPr>
                  </w:pPr>
                  <w:r>
                    <w:rPr>
                      <w:rFonts w:hint="eastAsia"/>
                      <w:color w:val="auto"/>
                      <w:sz w:val="18"/>
                      <w:szCs w:val="18"/>
                    </w:rPr>
                    <w:t>达标</w:t>
                  </w:r>
                </w:p>
              </w:tc>
            </w:tr>
            <w:tr w14:paraId="0BE3B9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624" w:type="pct"/>
                  <w:shd w:val="clear" w:color="auto" w:fill="FFFFFF"/>
                  <w:vAlign w:val="center"/>
                </w:tcPr>
                <w:p w14:paraId="0C8ABA25">
                  <w:pPr>
                    <w:adjustRightInd w:val="0"/>
                    <w:snapToGrid w:val="0"/>
                    <w:jc w:val="center"/>
                    <w:rPr>
                      <w:color w:val="auto"/>
                      <w:sz w:val="18"/>
                      <w:szCs w:val="18"/>
                    </w:rPr>
                  </w:pPr>
                  <w:r>
                    <w:rPr>
                      <w:rFonts w:hint="eastAsia"/>
                      <w:color w:val="auto"/>
                      <w:sz w:val="18"/>
                      <w:szCs w:val="18"/>
                    </w:rPr>
                    <w:t>西</w:t>
                  </w:r>
                  <w:r>
                    <w:rPr>
                      <w:color w:val="auto"/>
                      <w:sz w:val="18"/>
                      <w:szCs w:val="18"/>
                    </w:rPr>
                    <w:t>厂界</w:t>
                  </w:r>
                </w:p>
              </w:tc>
              <w:tc>
                <w:tcPr>
                  <w:tcW w:w="407" w:type="pct"/>
                  <w:shd w:val="clear" w:color="auto" w:fill="FFFFFF"/>
                  <w:vAlign w:val="center"/>
                </w:tcPr>
                <w:p w14:paraId="21008821">
                  <w:pPr>
                    <w:jc w:val="center"/>
                    <w:rPr>
                      <w:color w:val="auto"/>
                      <w:sz w:val="18"/>
                      <w:szCs w:val="18"/>
                    </w:rPr>
                  </w:pPr>
                  <w:r>
                    <w:rPr>
                      <w:color w:val="auto"/>
                      <w:sz w:val="18"/>
                      <w:szCs w:val="18"/>
                    </w:rPr>
                    <w:t>昼间</w:t>
                  </w:r>
                </w:p>
              </w:tc>
              <w:tc>
                <w:tcPr>
                  <w:tcW w:w="531" w:type="pct"/>
                  <w:shd w:val="clear" w:color="auto" w:fill="FFFFFF"/>
                  <w:vAlign w:val="center"/>
                </w:tcPr>
                <w:p w14:paraId="6DD8C4EF">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51</w:t>
                  </w:r>
                </w:p>
              </w:tc>
              <w:tc>
                <w:tcPr>
                  <w:tcW w:w="531" w:type="pct"/>
                  <w:shd w:val="clear" w:color="auto" w:fill="FFFFFF"/>
                  <w:vAlign w:val="center"/>
                </w:tcPr>
                <w:p w14:paraId="6F8C39D7">
                  <w:pPr>
                    <w:adjustRightInd w:val="0"/>
                    <w:snapToGrid w:val="0"/>
                    <w:jc w:val="center"/>
                    <w:rPr>
                      <w:rFonts w:hint="default"/>
                      <w:color w:val="auto"/>
                      <w:sz w:val="18"/>
                      <w:szCs w:val="18"/>
                      <w:lang w:val="en-US" w:eastAsia="zh-CN"/>
                    </w:rPr>
                  </w:pPr>
                  <w:r>
                    <w:rPr>
                      <w:rFonts w:hint="eastAsia"/>
                      <w:color w:val="auto"/>
                      <w:sz w:val="18"/>
                      <w:szCs w:val="18"/>
                      <w:lang w:val="en-US" w:eastAsia="zh-CN"/>
                    </w:rPr>
                    <w:t>51</w:t>
                  </w:r>
                </w:p>
              </w:tc>
              <w:tc>
                <w:tcPr>
                  <w:tcW w:w="572" w:type="pct"/>
                  <w:shd w:val="clear" w:color="auto" w:fill="FFFFFF"/>
                  <w:vAlign w:val="center"/>
                </w:tcPr>
                <w:p w14:paraId="4C774528">
                  <w:pPr>
                    <w:jc w:val="center"/>
                    <w:rPr>
                      <w:rFonts w:hint="default" w:eastAsia="宋体"/>
                      <w:color w:val="auto"/>
                      <w:sz w:val="18"/>
                      <w:szCs w:val="18"/>
                      <w:lang w:val="en-US" w:eastAsia="zh-CN"/>
                    </w:rPr>
                  </w:pPr>
                  <w:r>
                    <w:rPr>
                      <w:rFonts w:hint="eastAsia"/>
                      <w:color w:val="auto"/>
                      <w:sz w:val="18"/>
                      <w:szCs w:val="18"/>
                      <w:lang w:val="en-US" w:eastAsia="zh-CN"/>
                    </w:rPr>
                    <w:t>41.9</w:t>
                  </w:r>
                </w:p>
              </w:tc>
              <w:tc>
                <w:tcPr>
                  <w:tcW w:w="604" w:type="pct"/>
                  <w:shd w:val="clear" w:color="auto" w:fill="FFFFFF"/>
                  <w:vAlign w:val="center"/>
                </w:tcPr>
                <w:p w14:paraId="3D0CA4A4">
                  <w:pPr>
                    <w:jc w:val="center"/>
                    <w:rPr>
                      <w:rFonts w:hint="default" w:eastAsia="宋体"/>
                      <w:color w:val="auto"/>
                      <w:sz w:val="18"/>
                      <w:szCs w:val="18"/>
                      <w:lang w:val="en-US" w:eastAsia="zh-CN"/>
                    </w:rPr>
                  </w:pPr>
                  <w:r>
                    <w:rPr>
                      <w:rFonts w:hint="eastAsia"/>
                      <w:color w:val="auto"/>
                      <w:sz w:val="18"/>
                      <w:szCs w:val="18"/>
                      <w:lang w:val="en-US" w:eastAsia="zh-CN"/>
                    </w:rPr>
                    <w:t>51.5</w:t>
                  </w:r>
                </w:p>
              </w:tc>
              <w:tc>
                <w:tcPr>
                  <w:tcW w:w="517" w:type="pct"/>
                  <w:shd w:val="clear" w:color="auto" w:fill="FFFFFF"/>
                  <w:vAlign w:val="center"/>
                </w:tcPr>
                <w:p w14:paraId="726F51C5">
                  <w:pPr>
                    <w:jc w:val="center"/>
                    <w:rPr>
                      <w:color w:val="auto"/>
                      <w:sz w:val="18"/>
                      <w:szCs w:val="18"/>
                    </w:rPr>
                  </w:pPr>
                  <w:r>
                    <w:rPr>
                      <w:rFonts w:hint="eastAsia"/>
                      <w:color w:val="auto"/>
                      <w:sz w:val="18"/>
                      <w:szCs w:val="18"/>
                      <w:lang w:val="en-US" w:eastAsia="zh-CN"/>
                    </w:rPr>
                    <w:t>60</w:t>
                  </w:r>
                </w:p>
              </w:tc>
              <w:tc>
                <w:tcPr>
                  <w:tcW w:w="518" w:type="pct"/>
                  <w:shd w:val="clear" w:color="auto" w:fill="FFFFFF"/>
                  <w:vAlign w:val="center"/>
                </w:tcPr>
                <w:p w14:paraId="3AF1FD61">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0.5</w:t>
                  </w:r>
                </w:p>
              </w:tc>
              <w:tc>
                <w:tcPr>
                  <w:tcW w:w="692" w:type="pct"/>
                  <w:shd w:val="clear" w:color="auto" w:fill="FFFFFF"/>
                  <w:vAlign w:val="center"/>
                </w:tcPr>
                <w:p w14:paraId="10C3E63C">
                  <w:pPr>
                    <w:jc w:val="center"/>
                    <w:rPr>
                      <w:color w:val="auto"/>
                      <w:sz w:val="18"/>
                      <w:szCs w:val="18"/>
                    </w:rPr>
                  </w:pPr>
                  <w:r>
                    <w:rPr>
                      <w:rFonts w:hint="eastAsia"/>
                      <w:color w:val="auto"/>
                      <w:sz w:val="18"/>
                      <w:szCs w:val="18"/>
                    </w:rPr>
                    <w:t>达标</w:t>
                  </w:r>
                </w:p>
              </w:tc>
            </w:tr>
            <w:tr w14:paraId="376354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624" w:type="pct"/>
                  <w:shd w:val="clear" w:color="auto" w:fill="FFFFFF"/>
                  <w:vAlign w:val="center"/>
                </w:tcPr>
                <w:p w14:paraId="25FC350B">
                  <w:pPr>
                    <w:adjustRightInd w:val="0"/>
                    <w:snapToGrid w:val="0"/>
                    <w:jc w:val="center"/>
                    <w:rPr>
                      <w:color w:val="auto"/>
                      <w:sz w:val="18"/>
                      <w:szCs w:val="18"/>
                    </w:rPr>
                  </w:pPr>
                  <w:r>
                    <w:rPr>
                      <w:rFonts w:hint="eastAsia"/>
                      <w:color w:val="auto"/>
                      <w:sz w:val="18"/>
                      <w:szCs w:val="18"/>
                    </w:rPr>
                    <w:t>北</w:t>
                  </w:r>
                  <w:r>
                    <w:rPr>
                      <w:color w:val="auto"/>
                      <w:sz w:val="18"/>
                      <w:szCs w:val="18"/>
                    </w:rPr>
                    <w:t>厂界</w:t>
                  </w:r>
                </w:p>
              </w:tc>
              <w:tc>
                <w:tcPr>
                  <w:tcW w:w="407" w:type="pct"/>
                  <w:shd w:val="clear" w:color="auto" w:fill="FFFFFF"/>
                  <w:vAlign w:val="center"/>
                </w:tcPr>
                <w:p w14:paraId="1DF481C6">
                  <w:pPr>
                    <w:jc w:val="center"/>
                    <w:rPr>
                      <w:color w:val="auto"/>
                      <w:sz w:val="18"/>
                      <w:szCs w:val="18"/>
                    </w:rPr>
                  </w:pPr>
                  <w:r>
                    <w:rPr>
                      <w:color w:val="auto"/>
                      <w:sz w:val="18"/>
                      <w:szCs w:val="18"/>
                    </w:rPr>
                    <w:t>昼间</w:t>
                  </w:r>
                </w:p>
              </w:tc>
              <w:tc>
                <w:tcPr>
                  <w:tcW w:w="531" w:type="pct"/>
                  <w:shd w:val="clear" w:color="auto" w:fill="FFFFFF"/>
                  <w:vAlign w:val="center"/>
                </w:tcPr>
                <w:p w14:paraId="1B1E62D9">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50</w:t>
                  </w:r>
                </w:p>
              </w:tc>
              <w:tc>
                <w:tcPr>
                  <w:tcW w:w="531" w:type="pct"/>
                  <w:shd w:val="clear" w:color="auto" w:fill="FFFFFF"/>
                  <w:vAlign w:val="center"/>
                </w:tcPr>
                <w:p w14:paraId="08DE1521">
                  <w:pPr>
                    <w:adjustRightInd w:val="0"/>
                    <w:snapToGrid w:val="0"/>
                    <w:jc w:val="center"/>
                    <w:rPr>
                      <w:rFonts w:hint="default"/>
                      <w:color w:val="auto"/>
                      <w:sz w:val="18"/>
                      <w:szCs w:val="18"/>
                      <w:lang w:val="en-US" w:eastAsia="zh-CN"/>
                    </w:rPr>
                  </w:pPr>
                  <w:r>
                    <w:rPr>
                      <w:rFonts w:hint="eastAsia"/>
                      <w:color w:val="auto"/>
                      <w:sz w:val="18"/>
                      <w:szCs w:val="18"/>
                      <w:lang w:val="en-US" w:eastAsia="zh-CN"/>
                    </w:rPr>
                    <w:t>50</w:t>
                  </w:r>
                </w:p>
              </w:tc>
              <w:tc>
                <w:tcPr>
                  <w:tcW w:w="572" w:type="pct"/>
                  <w:shd w:val="clear" w:color="auto" w:fill="FFFFFF"/>
                  <w:vAlign w:val="center"/>
                </w:tcPr>
                <w:p w14:paraId="1A20610A">
                  <w:pPr>
                    <w:jc w:val="center"/>
                    <w:rPr>
                      <w:rFonts w:hint="default" w:eastAsia="宋体"/>
                      <w:color w:val="auto"/>
                      <w:sz w:val="18"/>
                      <w:szCs w:val="18"/>
                      <w:lang w:val="en-US" w:eastAsia="zh-CN"/>
                    </w:rPr>
                  </w:pPr>
                  <w:r>
                    <w:rPr>
                      <w:rFonts w:hint="eastAsia"/>
                      <w:color w:val="auto"/>
                      <w:sz w:val="18"/>
                      <w:szCs w:val="18"/>
                      <w:lang w:val="en-US" w:eastAsia="zh-CN"/>
                    </w:rPr>
                    <w:t>44.4</w:t>
                  </w:r>
                </w:p>
              </w:tc>
              <w:tc>
                <w:tcPr>
                  <w:tcW w:w="604" w:type="pct"/>
                  <w:shd w:val="clear" w:color="auto" w:fill="FFFFFF"/>
                  <w:vAlign w:val="center"/>
                </w:tcPr>
                <w:p w14:paraId="155852AB">
                  <w:pPr>
                    <w:jc w:val="center"/>
                    <w:rPr>
                      <w:rFonts w:hint="default" w:eastAsia="宋体"/>
                      <w:color w:val="auto"/>
                      <w:sz w:val="18"/>
                      <w:szCs w:val="18"/>
                      <w:lang w:val="en-US" w:eastAsia="zh-CN"/>
                    </w:rPr>
                  </w:pPr>
                  <w:r>
                    <w:rPr>
                      <w:rFonts w:hint="eastAsia"/>
                      <w:color w:val="auto"/>
                      <w:sz w:val="18"/>
                      <w:szCs w:val="18"/>
                      <w:lang w:val="en-US" w:eastAsia="zh-CN"/>
                    </w:rPr>
                    <w:t>51</w:t>
                  </w:r>
                </w:p>
              </w:tc>
              <w:tc>
                <w:tcPr>
                  <w:tcW w:w="517" w:type="pct"/>
                  <w:shd w:val="clear" w:color="auto" w:fill="FFFFFF"/>
                  <w:vAlign w:val="center"/>
                </w:tcPr>
                <w:p w14:paraId="4B73ADB0">
                  <w:pPr>
                    <w:jc w:val="center"/>
                    <w:rPr>
                      <w:rFonts w:hint="default" w:eastAsia="宋体"/>
                      <w:color w:val="auto"/>
                      <w:sz w:val="18"/>
                      <w:szCs w:val="18"/>
                      <w:lang w:val="en-US" w:eastAsia="zh-CN"/>
                    </w:rPr>
                  </w:pPr>
                  <w:r>
                    <w:rPr>
                      <w:rFonts w:hint="eastAsia"/>
                      <w:color w:val="auto"/>
                      <w:sz w:val="18"/>
                      <w:szCs w:val="18"/>
                      <w:lang w:val="en-US" w:eastAsia="zh-CN"/>
                    </w:rPr>
                    <w:t>60</w:t>
                  </w:r>
                </w:p>
              </w:tc>
              <w:tc>
                <w:tcPr>
                  <w:tcW w:w="518" w:type="pct"/>
                  <w:shd w:val="clear" w:color="auto" w:fill="FFFFFF"/>
                  <w:vAlign w:val="center"/>
                </w:tcPr>
                <w:p w14:paraId="3A365D1C">
                  <w:pPr>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w:t>
                  </w:r>
                </w:p>
              </w:tc>
              <w:tc>
                <w:tcPr>
                  <w:tcW w:w="692" w:type="pct"/>
                  <w:shd w:val="clear" w:color="auto" w:fill="FFFFFF"/>
                  <w:vAlign w:val="center"/>
                </w:tcPr>
                <w:p w14:paraId="1681E0B1">
                  <w:pPr>
                    <w:jc w:val="center"/>
                    <w:rPr>
                      <w:color w:val="auto"/>
                      <w:sz w:val="18"/>
                      <w:szCs w:val="18"/>
                    </w:rPr>
                  </w:pPr>
                  <w:r>
                    <w:rPr>
                      <w:rFonts w:hint="eastAsia"/>
                      <w:color w:val="auto"/>
                      <w:sz w:val="18"/>
                      <w:szCs w:val="18"/>
                    </w:rPr>
                    <w:t>达标</w:t>
                  </w:r>
                </w:p>
              </w:tc>
            </w:tr>
            <w:tr w14:paraId="0573D4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624" w:type="pct"/>
                  <w:shd w:val="clear" w:color="auto" w:fill="FFFFFF"/>
                  <w:vAlign w:val="center"/>
                </w:tcPr>
                <w:p w14:paraId="561B2ED7">
                  <w:pPr>
                    <w:widowControl/>
                    <w:jc w:val="center"/>
                    <w:rPr>
                      <w:rFonts w:hint="eastAsia" w:eastAsia="宋体"/>
                      <w:color w:val="auto"/>
                      <w:sz w:val="18"/>
                      <w:szCs w:val="18"/>
                      <w:lang w:eastAsia="zh-CN"/>
                    </w:rPr>
                  </w:pPr>
                  <w:r>
                    <w:rPr>
                      <w:rFonts w:hint="eastAsia"/>
                      <w:color w:val="auto"/>
                      <w:sz w:val="18"/>
                      <w:szCs w:val="18"/>
                      <w:lang w:eastAsia="zh-CN"/>
                    </w:rPr>
                    <w:t>东南侧散户</w:t>
                  </w:r>
                </w:p>
              </w:tc>
              <w:tc>
                <w:tcPr>
                  <w:tcW w:w="407" w:type="pct"/>
                  <w:shd w:val="clear" w:color="auto" w:fill="FFFFFF"/>
                  <w:vAlign w:val="center"/>
                </w:tcPr>
                <w:p w14:paraId="718A5FB0">
                  <w:pPr>
                    <w:jc w:val="center"/>
                    <w:rPr>
                      <w:color w:val="auto"/>
                      <w:sz w:val="18"/>
                      <w:szCs w:val="18"/>
                    </w:rPr>
                  </w:pPr>
                  <w:r>
                    <w:rPr>
                      <w:color w:val="auto"/>
                      <w:sz w:val="18"/>
                      <w:szCs w:val="18"/>
                    </w:rPr>
                    <w:t>昼间</w:t>
                  </w:r>
                </w:p>
              </w:tc>
              <w:tc>
                <w:tcPr>
                  <w:tcW w:w="531" w:type="pct"/>
                  <w:shd w:val="clear" w:color="auto" w:fill="FFFFFF"/>
                  <w:vAlign w:val="center"/>
                </w:tcPr>
                <w:p w14:paraId="52FCBB5F">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45</w:t>
                  </w:r>
                </w:p>
              </w:tc>
              <w:tc>
                <w:tcPr>
                  <w:tcW w:w="531" w:type="pct"/>
                  <w:shd w:val="clear" w:color="auto" w:fill="FFFFFF"/>
                  <w:vAlign w:val="center"/>
                </w:tcPr>
                <w:p w14:paraId="04C344F5">
                  <w:pPr>
                    <w:adjustRightInd w:val="0"/>
                    <w:snapToGrid w:val="0"/>
                    <w:jc w:val="center"/>
                    <w:rPr>
                      <w:rFonts w:hint="default"/>
                      <w:color w:val="auto"/>
                      <w:sz w:val="18"/>
                      <w:szCs w:val="18"/>
                      <w:lang w:val="en-US" w:eastAsia="zh-CN"/>
                    </w:rPr>
                  </w:pPr>
                  <w:r>
                    <w:rPr>
                      <w:rFonts w:hint="eastAsia"/>
                      <w:color w:val="auto"/>
                      <w:sz w:val="18"/>
                      <w:szCs w:val="18"/>
                      <w:lang w:val="en-US" w:eastAsia="zh-CN"/>
                    </w:rPr>
                    <w:t>45</w:t>
                  </w:r>
                </w:p>
              </w:tc>
              <w:tc>
                <w:tcPr>
                  <w:tcW w:w="572" w:type="pct"/>
                  <w:shd w:val="clear" w:color="auto" w:fill="FFFFFF"/>
                  <w:vAlign w:val="center"/>
                </w:tcPr>
                <w:p w14:paraId="2148B872">
                  <w:pPr>
                    <w:jc w:val="center"/>
                    <w:rPr>
                      <w:color w:val="auto"/>
                      <w:sz w:val="18"/>
                      <w:szCs w:val="18"/>
                    </w:rPr>
                  </w:pPr>
                  <w:r>
                    <w:rPr>
                      <w:rFonts w:hint="eastAsia"/>
                      <w:color w:val="auto"/>
                      <w:sz w:val="18"/>
                      <w:szCs w:val="18"/>
                    </w:rPr>
                    <w:t>20.9</w:t>
                  </w:r>
                </w:p>
              </w:tc>
              <w:tc>
                <w:tcPr>
                  <w:tcW w:w="604" w:type="pct"/>
                  <w:shd w:val="clear" w:color="auto" w:fill="FFFFFF"/>
                  <w:vAlign w:val="center"/>
                </w:tcPr>
                <w:p w14:paraId="3DED74BA">
                  <w:pPr>
                    <w:jc w:val="center"/>
                    <w:rPr>
                      <w:rFonts w:hint="default" w:eastAsia="宋体"/>
                      <w:color w:val="auto"/>
                      <w:sz w:val="18"/>
                      <w:szCs w:val="18"/>
                      <w:lang w:val="en-US" w:eastAsia="zh-CN"/>
                    </w:rPr>
                  </w:pPr>
                  <w:r>
                    <w:rPr>
                      <w:rFonts w:hint="eastAsia"/>
                      <w:color w:val="auto"/>
                      <w:sz w:val="18"/>
                      <w:szCs w:val="18"/>
                      <w:lang w:val="en-US" w:eastAsia="zh-CN"/>
                    </w:rPr>
                    <w:t>45</w:t>
                  </w:r>
                </w:p>
              </w:tc>
              <w:tc>
                <w:tcPr>
                  <w:tcW w:w="517" w:type="pct"/>
                  <w:shd w:val="clear" w:color="auto" w:fill="FFFFFF"/>
                  <w:vAlign w:val="center"/>
                </w:tcPr>
                <w:p w14:paraId="6AD9385E">
                  <w:pPr>
                    <w:jc w:val="center"/>
                    <w:rPr>
                      <w:color w:val="auto"/>
                      <w:sz w:val="18"/>
                      <w:szCs w:val="18"/>
                    </w:rPr>
                  </w:pPr>
                  <w:r>
                    <w:rPr>
                      <w:rFonts w:hint="eastAsia"/>
                      <w:color w:val="auto"/>
                      <w:sz w:val="18"/>
                      <w:szCs w:val="18"/>
                    </w:rPr>
                    <w:t>60</w:t>
                  </w:r>
                </w:p>
              </w:tc>
              <w:tc>
                <w:tcPr>
                  <w:tcW w:w="518" w:type="pct"/>
                  <w:shd w:val="clear" w:color="auto" w:fill="FFFFFF"/>
                  <w:vAlign w:val="center"/>
                </w:tcPr>
                <w:p w14:paraId="19645290">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0.01</w:t>
                  </w:r>
                </w:p>
              </w:tc>
              <w:tc>
                <w:tcPr>
                  <w:tcW w:w="692" w:type="pct"/>
                  <w:shd w:val="clear" w:color="auto" w:fill="FFFFFF"/>
                  <w:vAlign w:val="center"/>
                </w:tcPr>
                <w:p w14:paraId="3AD13FC5">
                  <w:pPr>
                    <w:jc w:val="center"/>
                    <w:rPr>
                      <w:color w:val="auto"/>
                      <w:sz w:val="18"/>
                      <w:szCs w:val="18"/>
                    </w:rPr>
                  </w:pPr>
                  <w:r>
                    <w:rPr>
                      <w:rFonts w:hint="eastAsia"/>
                      <w:color w:val="auto"/>
                      <w:sz w:val="18"/>
                      <w:szCs w:val="18"/>
                    </w:rPr>
                    <w:t>达标</w:t>
                  </w:r>
                </w:p>
              </w:tc>
            </w:tr>
          </w:tbl>
          <w:p w14:paraId="63733CB0">
            <w:pPr>
              <w:wordWrap w:val="0"/>
              <w:adjustRightInd w:val="0"/>
              <w:snapToGrid w:val="0"/>
              <w:spacing w:line="500" w:lineRule="exact"/>
              <w:ind w:firstLine="420" w:firstLineChars="200"/>
            </w:pPr>
            <w:r>
              <w:t>由上表可见，项目噪声设备经距离衰减和厂房隔声后，四周厂界贡献值在</w:t>
            </w:r>
            <w:r>
              <w:rPr>
                <w:rFonts w:hint="eastAsia"/>
                <w:lang w:val="en-US" w:eastAsia="zh-CN"/>
              </w:rPr>
              <w:t>34</w:t>
            </w:r>
            <w:r>
              <w:rPr>
                <w:rFonts w:hint="eastAsia"/>
              </w:rPr>
              <w:t>-</w:t>
            </w:r>
            <w:r>
              <w:rPr>
                <w:rFonts w:hint="eastAsia"/>
                <w:lang w:val="en-US" w:eastAsia="zh-CN"/>
              </w:rPr>
              <w:t>44.4</w:t>
            </w:r>
            <w:r>
              <w:t>dB</w:t>
            </w:r>
            <w:r>
              <w:rPr>
                <w:rFonts w:hint="eastAsia"/>
                <w:lang w:eastAsia="zh-CN"/>
              </w:rPr>
              <w:t>（</w:t>
            </w:r>
            <w:r>
              <w:t>A</w:t>
            </w:r>
            <w:r>
              <w:rPr>
                <w:rFonts w:hint="eastAsia"/>
                <w:lang w:eastAsia="zh-CN"/>
              </w:rPr>
              <w:t>）</w:t>
            </w:r>
            <w:r>
              <w:t>之间，</w:t>
            </w:r>
            <w:r>
              <w:rPr>
                <w:rFonts w:hint="eastAsia"/>
                <w:lang w:eastAsia="zh-CN"/>
              </w:rPr>
              <w:t>四周侧</w:t>
            </w:r>
            <w:r>
              <w:t>厂界噪声能满足《工业企业厂界环境噪声排放标准》（GB12348-2008）表1中</w:t>
            </w:r>
            <w:r>
              <w:rPr>
                <w:rFonts w:hint="eastAsia"/>
                <w:lang w:val="en-US" w:eastAsia="zh-CN"/>
              </w:rPr>
              <w:t>2</w:t>
            </w:r>
            <w:r>
              <w:t>类标准</w:t>
            </w:r>
            <w:r>
              <w:rPr>
                <w:rFonts w:hint="eastAsia"/>
                <w:lang w:eastAsia="zh-CN"/>
              </w:rPr>
              <w:t>，</w:t>
            </w:r>
            <w:r>
              <w:rPr>
                <w:rFonts w:hint="eastAsia"/>
              </w:rPr>
              <w:t>敏感点</w:t>
            </w:r>
            <w:r>
              <w:rPr>
                <w:kern w:val="0"/>
                <w:szCs w:val="21"/>
              </w:rPr>
              <w:t>可满足《声环境质量标准》（GB3096-2008）2类标准限值</w:t>
            </w:r>
            <w:r>
              <w:rPr>
                <w:rFonts w:hint="eastAsia"/>
                <w:kern w:val="0"/>
                <w:szCs w:val="21"/>
              </w:rPr>
              <w:t>。</w:t>
            </w:r>
          </w:p>
          <w:p w14:paraId="4338A99F">
            <w:pPr>
              <w:spacing w:line="500" w:lineRule="exact"/>
              <w:ind w:firstLine="420" w:firstLineChars="200"/>
            </w:pPr>
            <w:r>
              <w:t>3、噪声监测计划</w:t>
            </w:r>
          </w:p>
          <w:p w14:paraId="1C557DD5">
            <w:pPr>
              <w:spacing w:line="500" w:lineRule="exact"/>
              <w:ind w:firstLine="420" w:firstLineChars="200"/>
            </w:pPr>
            <w:r>
              <w:t>根据《排污单位自行监测技术指南 总则》（HJ 819-2017），厂界噪声最低监测频次为季度，厂界噪声监测频次为一季度开展一次，并在噪声监测点附近醒目处设置环境保护图形标志牌。</w:t>
            </w:r>
          </w:p>
          <w:p w14:paraId="7700B2E3">
            <w:pPr>
              <w:spacing w:line="360" w:lineRule="auto"/>
              <w:jc w:val="center"/>
              <w:rPr>
                <w:b/>
                <w:bCs/>
              </w:rPr>
            </w:pPr>
            <w:r>
              <w:rPr>
                <w:b/>
                <w:bCs/>
              </w:rPr>
              <w:t>表4-</w:t>
            </w:r>
            <w:r>
              <w:rPr>
                <w:rFonts w:hint="eastAsia"/>
                <w:b/>
                <w:bCs/>
                <w:lang w:val="en-US" w:eastAsia="zh-CN"/>
              </w:rPr>
              <w:t>19</w:t>
            </w:r>
            <w:r>
              <w:rPr>
                <w:b/>
                <w:bCs/>
              </w:rPr>
              <w:t xml:space="preserve"> 噪声环境监测计划</w:t>
            </w:r>
          </w:p>
          <w:tbl>
            <w:tblPr>
              <w:tblStyle w:val="16"/>
              <w:tblW w:w="807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440"/>
              <w:gridCol w:w="1365"/>
              <w:gridCol w:w="1490"/>
              <w:gridCol w:w="3105"/>
            </w:tblGrid>
            <w:tr w14:paraId="6C4C76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7" w:type="dxa"/>
                  <w:vAlign w:val="center"/>
                </w:tcPr>
                <w:p w14:paraId="375BAE5A">
                  <w:pPr>
                    <w:jc w:val="center"/>
                    <w:rPr>
                      <w:sz w:val="18"/>
                      <w:szCs w:val="18"/>
                    </w:rPr>
                  </w:pPr>
                  <w:r>
                    <w:rPr>
                      <w:sz w:val="18"/>
                      <w:szCs w:val="18"/>
                    </w:rPr>
                    <w:t>类别</w:t>
                  </w:r>
                </w:p>
              </w:tc>
              <w:tc>
                <w:tcPr>
                  <w:tcW w:w="1440" w:type="dxa"/>
                  <w:vAlign w:val="center"/>
                </w:tcPr>
                <w:p w14:paraId="315141DC">
                  <w:pPr>
                    <w:jc w:val="center"/>
                    <w:rPr>
                      <w:sz w:val="18"/>
                      <w:szCs w:val="18"/>
                    </w:rPr>
                  </w:pPr>
                  <w:r>
                    <w:rPr>
                      <w:sz w:val="18"/>
                      <w:szCs w:val="18"/>
                    </w:rPr>
                    <w:t>监测位置</w:t>
                  </w:r>
                </w:p>
              </w:tc>
              <w:tc>
                <w:tcPr>
                  <w:tcW w:w="1365" w:type="dxa"/>
                  <w:vAlign w:val="center"/>
                </w:tcPr>
                <w:p w14:paraId="70F497C3">
                  <w:pPr>
                    <w:jc w:val="center"/>
                    <w:rPr>
                      <w:sz w:val="18"/>
                      <w:szCs w:val="18"/>
                    </w:rPr>
                  </w:pPr>
                  <w:r>
                    <w:rPr>
                      <w:sz w:val="18"/>
                      <w:szCs w:val="18"/>
                    </w:rPr>
                    <w:t>监测项目</w:t>
                  </w:r>
                </w:p>
              </w:tc>
              <w:tc>
                <w:tcPr>
                  <w:tcW w:w="1490" w:type="dxa"/>
                  <w:vAlign w:val="center"/>
                </w:tcPr>
                <w:p w14:paraId="481BAE2D">
                  <w:pPr>
                    <w:jc w:val="center"/>
                    <w:rPr>
                      <w:sz w:val="18"/>
                      <w:szCs w:val="18"/>
                    </w:rPr>
                  </w:pPr>
                  <w:r>
                    <w:rPr>
                      <w:sz w:val="18"/>
                      <w:szCs w:val="18"/>
                    </w:rPr>
                    <w:t>监测频次</w:t>
                  </w:r>
                </w:p>
              </w:tc>
              <w:tc>
                <w:tcPr>
                  <w:tcW w:w="3105" w:type="dxa"/>
                  <w:vAlign w:val="center"/>
                </w:tcPr>
                <w:p w14:paraId="51B300C7">
                  <w:pPr>
                    <w:jc w:val="center"/>
                    <w:rPr>
                      <w:sz w:val="18"/>
                      <w:szCs w:val="18"/>
                    </w:rPr>
                  </w:pPr>
                  <w:r>
                    <w:rPr>
                      <w:sz w:val="18"/>
                      <w:szCs w:val="18"/>
                    </w:rPr>
                    <w:t>执行标准</w:t>
                  </w:r>
                </w:p>
              </w:tc>
            </w:tr>
            <w:tr w14:paraId="464230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77" w:type="dxa"/>
                  <w:vMerge w:val="restart"/>
                  <w:vAlign w:val="center"/>
                </w:tcPr>
                <w:p w14:paraId="40E699E4">
                  <w:pPr>
                    <w:jc w:val="center"/>
                    <w:rPr>
                      <w:sz w:val="18"/>
                      <w:szCs w:val="18"/>
                    </w:rPr>
                  </w:pPr>
                  <w:r>
                    <w:rPr>
                      <w:sz w:val="18"/>
                      <w:szCs w:val="18"/>
                    </w:rPr>
                    <w:t>噪声</w:t>
                  </w:r>
                </w:p>
              </w:tc>
              <w:tc>
                <w:tcPr>
                  <w:tcW w:w="1440" w:type="dxa"/>
                  <w:vAlign w:val="center"/>
                </w:tcPr>
                <w:p w14:paraId="76FD4487">
                  <w:pPr>
                    <w:jc w:val="center"/>
                    <w:rPr>
                      <w:sz w:val="18"/>
                      <w:szCs w:val="18"/>
                    </w:rPr>
                  </w:pPr>
                  <w:r>
                    <w:rPr>
                      <w:sz w:val="18"/>
                      <w:szCs w:val="18"/>
                    </w:rPr>
                    <w:t>厂界外1m</w:t>
                  </w:r>
                </w:p>
              </w:tc>
              <w:tc>
                <w:tcPr>
                  <w:tcW w:w="1365" w:type="dxa"/>
                  <w:vAlign w:val="center"/>
                </w:tcPr>
                <w:p w14:paraId="6EB97E3F">
                  <w:pPr>
                    <w:jc w:val="center"/>
                    <w:rPr>
                      <w:sz w:val="18"/>
                      <w:szCs w:val="18"/>
                    </w:rPr>
                  </w:pPr>
                  <w:r>
                    <w:rPr>
                      <w:sz w:val="18"/>
                      <w:szCs w:val="18"/>
                    </w:rPr>
                    <w:t>连续等效A声级</w:t>
                  </w:r>
                </w:p>
              </w:tc>
              <w:tc>
                <w:tcPr>
                  <w:tcW w:w="1490" w:type="dxa"/>
                  <w:vAlign w:val="center"/>
                </w:tcPr>
                <w:p w14:paraId="539C1A6A">
                  <w:pPr>
                    <w:jc w:val="center"/>
                    <w:rPr>
                      <w:sz w:val="18"/>
                      <w:szCs w:val="18"/>
                    </w:rPr>
                  </w:pPr>
                  <w:r>
                    <w:rPr>
                      <w:sz w:val="18"/>
                      <w:szCs w:val="18"/>
                    </w:rPr>
                    <w:t>一季度一次</w:t>
                  </w:r>
                </w:p>
              </w:tc>
              <w:tc>
                <w:tcPr>
                  <w:tcW w:w="3105" w:type="dxa"/>
                  <w:vAlign w:val="center"/>
                </w:tcPr>
                <w:p w14:paraId="0D18087C">
                  <w:pPr>
                    <w:jc w:val="center"/>
                    <w:rPr>
                      <w:rFonts w:hint="eastAsia" w:eastAsia="宋体"/>
                      <w:sz w:val="18"/>
                      <w:szCs w:val="18"/>
                      <w:lang w:eastAsia="zh-CN"/>
                    </w:rPr>
                  </w:pPr>
                  <w:r>
                    <w:rPr>
                      <w:rFonts w:hint="eastAsia" w:cs="Times New Roman"/>
                      <w:sz w:val="18"/>
                      <w:szCs w:val="18"/>
                      <w:lang w:eastAsia="zh-CN"/>
                    </w:rPr>
                    <w:t>四周</w:t>
                  </w:r>
                  <w:r>
                    <w:rPr>
                      <w:rFonts w:ascii="Times New Roman" w:hAnsi="Times New Roman" w:eastAsia="宋体" w:cs="Times New Roman"/>
                      <w:sz w:val="18"/>
                      <w:szCs w:val="18"/>
                    </w:rPr>
                    <w:t>厂界噪声</w:t>
                  </w:r>
                  <w:r>
                    <w:rPr>
                      <w:rFonts w:hint="eastAsia" w:ascii="Times New Roman" w:hAnsi="Times New Roman" w:eastAsia="宋体" w:cs="Times New Roman"/>
                      <w:sz w:val="18"/>
                      <w:szCs w:val="18"/>
                      <w:lang w:eastAsia="zh-CN"/>
                    </w:rPr>
                    <w:t>执行</w:t>
                  </w:r>
                  <w:r>
                    <w:rPr>
                      <w:rFonts w:ascii="Times New Roman" w:hAnsi="Times New Roman" w:eastAsia="宋体" w:cs="Times New Roman"/>
                      <w:sz w:val="18"/>
                      <w:szCs w:val="18"/>
                    </w:rPr>
                    <w:t>《工业企业厂界环境噪声排</w:t>
                  </w:r>
                  <w:r>
                    <w:rPr>
                      <w:sz w:val="18"/>
                      <w:szCs w:val="18"/>
                    </w:rPr>
                    <w:t>放标准》（GB12348-2008）</w:t>
                  </w:r>
                  <w:r>
                    <w:rPr>
                      <w:rFonts w:hint="eastAsia"/>
                      <w:sz w:val="18"/>
                      <w:szCs w:val="18"/>
                      <w:lang w:val="en-US" w:eastAsia="zh-CN"/>
                    </w:rPr>
                    <w:t>2</w:t>
                  </w:r>
                  <w:r>
                    <w:rPr>
                      <w:sz w:val="18"/>
                      <w:szCs w:val="18"/>
                    </w:rPr>
                    <w:t>类标准</w:t>
                  </w:r>
                </w:p>
              </w:tc>
            </w:tr>
            <w:tr w14:paraId="7231DD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7" w:type="dxa"/>
                  <w:vMerge w:val="continue"/>
                  <w:vAlign w:val="center"/>
                </w:tcPr>
                <w:p w14:paraId="4476AC06">
                  <w:pPr>
                    <w:jc w:val="center"/>
                    <w:rPr>
                      <w:sz w:val="18"/>
                      <w:szCs w:val="18"/>
                    </w:rPr>
                  </w:pPr>
                </w:p>
              </w:tc>
              <w:tc>
                <w:tcPr>
                  <w:tcW w:w="1440" w:type="dxa"/>
                  <w:vAlign w:val="center"/>
                </w:tcPr>
                <w:p w14:paraId="5B05342E">
                  <w:pPr>
                    <w:jc w:val="center"/>
                    <w:rPr>
                      <w:rFonts w:hint="eastAsia" w:eastAsia="宋体"/>
                      <w:color w:val="auto"/>
                      <w:sz w:val="18"/>
                      <w:szCs w:val="18"/>
                      <w:lang w:eastAsia="zh-CN"/>
                    </w:rPr>
                  </w:pPr>
                  <w:r>
                    <w:rPr>
                      <w:rFonts w:hint="eastAsia"/>
                      <w:color w:val="auto"/>
                      <w:sz w:val="18"/>
                      <w:szCs w:val="18"/>
                      <w:lang w:eastAsia="zh-CN"/>
                    </w:rPr>
                    <w:t>东南侧敏感点</w:t>
                  </w:r>
                </w:p>
              </w:tc>
              <w:tc>
                <w:tcPr>
                  <w:tcW w:w="1365" w:type="dxa"/>
                  <w:vAlign w:val="center"/>
                </w:tcPr>
                <w:p w14:paraId="672C0259">
                  <w:pPr>
                    <w:jc w:val="center"/>
                    <w:rPr>
                      <w:color w:val="auto"/>
                      <w:sz w:val="18"/>
                      <w:szCs w:val="18"/>
                    </w:rPr>
                  </w:pPr>
                  <w:r>
                    <w:rPr>
                      <w:color w:val="auto"/>
                      <w:sz w:val="18"/>
                      <w:szCs w:val="18"/>
                    </w:rPr>
                    <w:t>连续等效A声级</w:t>
                  </w:r>
                </w:p>
              </w:tc>
              <w:tc>
                <w:tcPr>
                  <w:tcW w:w="1490" w:type="dxa"/>
                  <w:vAlign w:val="center"/>
                </w:tcPr>
                <w:p w14:paraId="2B281300">
                  <w:pPr>
                    <w:jc w:val="center"/>
                    <w:rPr>
                      <w:sz w:val="18"/>
                      <w:szCs w:val="18"/>
                    </w:rPr>
                  </w:pPr>
                  <w:r>
                    <w:rPr>
                      <w:sz w:val="18"/>
                      <w:szCs w:val="18"/>
                    </w:rPr>
                    <w:t>一季度一次</w:t>
                  </w:r>
                </w:p>
              </w:tc>
              <w:tc>
                <w:tcPr>
                  <w:tcW w:w="3105" w:type="dxa"/>
                  <w:vAlign w:val="center"/>
                </w:tcPr>
                <w:p w14:paraId="5D159C52">
                  <w:pPr>
                    <w:jc w:val="center"/>
                    <w:rPr>
                      <w:sz w:val="18"/>
                      <w:szCs w:val="18"/>
                    </w:rPr>
                  </w:pPr>
                  <w:r>
                    <w:rPr>
                      <w:rFonts w:hint="eastAsia"/>
                      <w:sz w:val="18"/>
                      <w:szCs w:val="18"/>
                    </w:rPr>
                    <w:t>声环境质量标准（GB3096－2008）2</w:t>
                  </w:r>
                  <w:r>
                    <w:rPr>
                      <w:sz w:val="18"/>
                      <w:szCs w:val="18"/>
                    </w:rPr>
                    <w:t>类标准</w:t>
                  </w:r>
                </w:p>
              </w:tc>
            </w:tr>
          </w:tbl>
          <w:p w14:paraId="33F1E1AE">
            <w:pPr>
              <w:adjustRightInd w:val="0"/>
              <w:snapToGrid w:val="0"/>
              <w:spacing w:line="500" w:lineRule="exact"/>
              <w:ind w:firstLine="422" w:firstLineChars="200"/>
              <w:rPr>
                <w:b/>
                <w:bCs/>
                <w:szCs w:val="21"/>
              </w:rPr>
            </w:pPr>
            <w:r>
              <w:rPr>
                <w:rFonts w:hint="eastAsia"/>
                <w:b/>
                <w:bCs/>
                <w:szCs w:val="21"/>
              </w:rPr>
              <w:t>声环境影响评价结论：</w:t>
            </w:r>
          </w:p>
          <w:p w14:paraId="2E1EBACB">
            <w:pPr>
              <w:adjustRightInd w:val="0"/>
              <w:snapToGrid w:val="0"/>
              <w:spacing w:line="500" w:lineRule="exact"/>
              <w:ind w:firstLine="420" w:firstLineChars="200"/>
              <w:rPr>
                <w:bCs/>
                <w:szCs w:val="21"/>
              </w:rPr>
            </w:pPr>
            <w:r>
              <w:rPr>
                <w:rFonts w:hint="eastAsia"/>
                <w:bCs/>
                <w:szCs w:val="21"/>
              </w:rPr>
              <w:t>综上所述，在采取了降噪措施后，项目运行噪声对环境影响轻微，不会改变附近区域声环境质量。</w:t>
            </w:r>
          </w:p>
          <w:p w14:paraId="77D5EFB8">
            <w:pPr>
              <w:adjustRightInd w:val="0"/>
              <w:snapToGrid w:val="0"/>
              <w:spacing w:line="500" w:lineRule="exact"/>
              <w:rPr>
                <w:b/>
                <w:szCs w:val="21"/>
              </w:rPr>
            </w:pPr>
            <w:r>
              <w:rPr>
                <w:rFonts w:hint="eastAsia"/>
                <w:b/>
                <w:szCs w:val="21"/>
              </w:rPr>
              <w:t>四、固体废物</w:t>
            </w:r>
          </w:p>
          <w:p w14:paraId="0DCD9154">
            <w:pPr>
              <w:spacing w:line="500" w:lineRule="exact"/>
              <w:ind w:firstLine="420" w:firstLineChars="200"/>
            </w:pPr>
            <w:r>
              <w:t>（1）生活垃圾</w:t>
            </w:r>
          </w:p>
          <w:p w14:paraId="0E957A96">
            <w:pPr>
              <w:spacing w:line="500" w:lineRule="exact"/>
              <w:ind w:firstLine="420" w:firstLineChars="200"/>
            </w:pPr>
            <w:r>
              <w:t>本项目运营期生活垃圾产生量按每人每天0.</w:t>
            </w:r>
            <w:r>
              <w:rPr>
                <w:rFonts w:hint="eastAsia"/>
              </w:rPr>
              <w:t>5</w:t>
            </w:r>
            <w:r>
              <w:t>kg计，员工</w:t>
            </w:r>
            <w:r>
              <w:rPr>
                <w:rFonts w:hint="eastAsia"/>
                <w:lang w:val="en-US" w:eastAsia="zh-CN"/>
              </w:rPr>
              <w:t>20</w:t>
            </w:r>
            <w:r>
              <w:t>人，年工作日以</w:t>
            </w:r>
            <w:r>
              <w:rPr>
                <w:rFonts w:hint="eastAsia"/>
                <w:lang w:val="en-US" w:eastAsia="zh-CN"/>
              </w:rPr>
              <w:t>300</w:t>
            </w:r>
            <w:r>
              <w:t>d计算，年产生垃圾量为</w:t>
            </w:r>
            <w:r>
              <w:rPr>
                <w:rFonts w:hint="eastAsia"/>
                <w:lang w:val="en-US" w:eastAsia="zh-CN"/>
              </w:rPr>
              <w:t>3</w:t>
            </w:r>
            <w:r>
              <w:t>t/a，厂区收集后，统一交由环卫部门及时清理。</w:t>
            </w:r>
          </w:p>
          <w:p w14:paraId="78E4A400">
            <w:pPr>
              <w:spacing w:line="500" w:lineRule="exact"/>
              <w:ind w:firstLine="420" w:firstLineChars="200"/>
            </w:pPr>
            <w:r>
              <w:t>（2）一般生产固废</w:t>
            </w:r>
          </w:p>
          <w:p w14:paraId="15696E49">
            <w:pPr>
              <w:widowControl/>
              <w:spacing w:line="500" w:lineRule="exact"/>
              <w:ind w:firstLine="420" w:firstLineChars="200"/>
              <w:jc w:val="left"/>
              <w:rPr>
                <w:rFonts w:hint="default" w:eastAsia="宋体"/>
                <w:color w:val="auto"/>
                <w:lang w:val="en-US" w:eastAsia="zh-CN"/>
              </w:rPr>
            </w:pPr>
            <w:r>
              <w:rPr>
                <w:color w:val="auto"/>
              </w:rPr>
              <w:t>①</w:t>
            </w:r>
            <w:r>
              <w:rPr>
                <w:rFonts w:hint="eastAsia"/>
                <w:color w:val="auto"/>
                <w:lang w:eastAsia="zh-CN"/>
              </w:rPr>
              <w:t>废包装材料</w:t>
            </w:r>
            <w:r>
              <w:rPr>
                <w:color w:val="auto"/>
              </w:rPr>
              <w:t>：</w:t>
            </w:r>
            <w:r>
              <w:rPr>
                <w:rFonts w:hint="eastAsia"/>
                <w:color w:val="auto"/>
              </w:rPr>
              <w:t>本项目生产所用的原料为袋装，因此，在生产过程中会产生一定量的废包装袋。本项目PP（聚丙烯）使用量为</w:t>
            </w:r>
            <w:r>
              <w:rPr>
                <w:rFonts w:hint="eastAsia"/>
                <w:color w:val="auto"/>
                <w:lang w:val="en-US" w:eastAsia="zh-CN"/>
              </w:rPr>
              <w:t>960</w:t>
            </w:r>
            <w:r>
              <w:rPr>
                <w:rFonts w:hint="eastAsia"/>
                <w:color w:val="auto"/>
              </w:rPr>
              <w:t>t/a，</w:t>
            </w:r>
            <w:r>
              <w:rPr>
                <w:rFonts w:hint="eastAsia"/>
                <w:color w:val="auto"/>
                <w:lang w:val="en-US" w:eastAsia="zh-CN"/>
              </w:rPr>
              <w:t>EBS</w:t>
            </w:r>
            <w:r>
              <w:rPr>
                <w:rFonts w:hint="eastAsia"/>
                <w:color w:val="auto"/>
              </w:rPr>
              <w:t>使用量为</w:t>
            </w:r>
            <w:r>
              <w:rPr>
                <w:rFonts w:hint="eastAsia"/>
                <w:color w:val="auto"/>
                <w:lang w:val="en-US" w:eastAsia="zh-CN"/>
              </w:rPr>
              <w:t>8</w:t>
            </w:r>
            <w:r>
              <w:rPr>
                <w:rFonts w:hint="eastAsia"/>
                <w:color w:val="auto"/>
              </w:rPr>
              <w:t>t/a，颜料使用量为</w:t>
            </w:r>
            <w:r>
              <w:rPr>
                <w:rFonts w:hint="eastAsia"/>
                <w:color w:val="auto"/>
                <w:lang w:val="en-US" w:eastAsia="zh-CN"/>
              </w:rPr>
              <w:t>42</w:t>
            </w:r>
            <w:r>
              <w:rPr>
                <w:rFonts w:hint="eastAsia"/>
                <w:color w:val="auto"/>
              </w:rPr>
              <w:t>t/a，根据原料用量及相应的包装规格（25kg/袋），本项目生产过程中会产生约</w:t>
            </w:r>
            <w:r>
              <w:rPr>
                <w:rFonts w:hint="eastAsia"/>
                <w:color w:val="auto"/>
                <w:lang w:val="en-US" w:eastAsia="zh-CN"/>
              </w:rPr>
              <w:t>40400</w:t>
            </w:r>
            <w:r>
              <w:rPr>
                <w:rFonts w:hint="eastAsia"/>
                <w:color w:val="auto"/>
              </w:rPr>
              <w:t>个废包装袋，每个废包装袋按50g计，则废包装袋产生量约</w:t>
            </w:r>
            <w:r>
              <w:rPr>
                <w:rFonts w:hint="eastAsia"/>
                <w:color w:val="auto"/>
                <w:lang w:val="en-US" w:eastAsia="zh-CN"/>
              </w:rPr>
              <w:t>2</w:t>
            </w:r>
            <w:r>
              <w:rPr>
                <w:rFonts w:hint="eastAsia"/>
                <w:color w:val="auto"/>
              </w:rPr>
              <w:t>t/a，该部分固废收集后外售综合利用。</w:t>
            </w:r>
          </w:p>
          <w:p w14:paraId="0B1EC1DF">
            <w:pPr>
              <w:widowControl/>
              <w:spacing w:line="500" w:lineRule="exact"/>
              <w:ind w:firstLine="420" w:firstLineChars="200"/>
              <w:jc w:val="left"/>
              <w:rPr>
                <w:rFonts w:hint="eastAsia" w:eastAsia="宋体"/>
                <w:color w:val="auto"/>
                <w:lang w:val="en-US" w:eastAsia="zh-CN"/>
              </w:rPr>
            </w:pPr>
            <w:r>
              <w:rPr>
                <w:rFonts w:hint="eastAsia" w:ascii="宋体" w:hAnsi="宋体" w:eastAsia="宋体" w:cs="宋体"/>
                <w:color w:val="auto"/>
              </w:rPr>
              <w:t>②</w:t>
            </w:r>
            <w:r>
              <w:rPr>
                <w:rFonts w:hint="eastAsia" w:ascii="宋体" w:hAnsi="宋体" w:cs="宋体"/>
                <w:color w:val="auto"/>
                <w:lang w:eastAsia="zh-CN"/>
              </w:rPr>
              <w:t>不合格品</w:t>
            </w:r>
            <w:r>
              <w:rPr>
                <w:rFonts w:hint="eastAsia" w:eastAsia="宋体"/>
                <w:color w:val="auto"/>
                <w:lang w:eastAsia="zh-CN"/>
              </w:rPr>
              <w:t>：</w:t>
            </w:r>
            <w:r>
              <w:rPr>
                <w:rFonts w:hint="eastAsia" w:eastAsia="宋体"/>
                <w:color w:val="auto"/>
                <w:lang w:val="en-US" w:eastAsia="zh-CN"/>
              </w:rPr>
              <w:t>项目熔融挤出过程会产生</w:t>
            </w:r>
            <w:r>
              <w:rPr>
                <w:rFonts w:hint="eastAsia"/>
                <w:color w:val="auto"/>
                <w:lang w:val="en-US" w:eastAsia="zh-CN"/>
              </w:rPr>
              <w:t>不合格品</w:t>
            </w:r>
            <w:r>
              <w:rPr>
                <w:rFonts w:hint="eastAsia" w:eastAsia="宋体"/>
                <w:color w:val="auto"/>
                <w:lang w:val="en-US" w:eastAsia="zh-CN"/>
              </w:rPr>
              <w:t>，</w:t>
            </w:r>
            <w:r>
              <w:rPr>
                <w:rFonts w:hint="eastAsia"/>
                <w:color w:val="auto"/>
                <w:lang w:val="en-US" w:eastAsia="zh-CN"/>
              </w:rPr>
              <w:t>不合格品产生量为10t/a</w:t>
            </w:r>
            <w:r>
              <w:rPr>
                <w:rFonts w:hint="eastAsia" w:eastAsia="宋体"/>
                <w:color w:val="auto"/>
                <w:lang w:val="en-US" w:eastAsia="zh-CN"/>
              </w:rPr>
              <w:t>，</w:t>
            </w:r>
            <w:r>
              <w:rPr>
                <w:rFonts w:hint="eastAsia"/>
                <w:color w:val="auto"/>
                <w:lang w:val="en-US" w:eastAsia="zh-CN"/>
              </w:rPr>
              <w:t>经收集后粉碎再利用</w:t>
            </w:r>
            <w:r>
              <w:rPr>
                <w:rFonts w:hint="eastAsia"/>
                <w:color w:val="auto"/>
                <w:lang w:eastAsia="zh-CN"/>
              </w:rPr>
              <w:t>。</w:t>
            </w:r>
          </w:p>
          <w:p w14:paraId="5079EBA4">
            <w:pPr>
              <w:widowControl/>
              <w:spacing w:line="500" w:lineRule="exact"/>
              <w:ind w:firstLine="420" w:firstLineChars="200"/>
              <w:jc w:val="left"/>
              <w:rPr>
                <w:rFonts w:hint="default" w:eastAsia="宋体"/>
                <w:lang w:val="en-US" w:eastAsia="zh-CN"/>
              </w:rPr>
            </w:pPr>
            <w:r>
              <w:rPr>
                <w:rFonts w:hint="default" w:ascii="Times New Roman" w:hAnsi="Times New Roman" w:eastAsia="宋体" w:cs="Times New Roman"/>
              </w:rPr>
              <w:t>③</w:t>
            </w:r>
            <w:r>
              <w:rPr>
                <w:rFonts w:hint="eastAsia" w:ascii="Times New Roman" w:hAnsi="Times New Roman" w:eastAsia="宋体" w:cs="Times New Roman"/>
                <w:lang w:eastAsia="zh-CN"/>
              </w:rPr>
              <w:t>集尘：根据前文分析，项目布袋除尘收集的粉尘量为</w:t>
            </w:r>
            <w:r>
              <w:rPr>
                <w:rFonts w:hint="eastAsia" w:cs="Times New Roman"/>
                <w:lang w:val="en-US" w:eastAsia="zh-CN"/>
              </w:rPr>
              <w:t>5.346</w:t>
            </w:r>
            <w:r>
              <w:rPr>
                <w:rFonts w:hint="eastAsia" w:ascii="Times New Roman" w:hAnsi="Times New Roman" w:eastAsia="宋体" w:cs="Times New Roman"/>
                <w:lang w:val="en-US" w:eastAsia="zh-CN"/>
              </w:rPr>
              <w:t>t/a，收集后外售综合利用。</w:t>
            </w:r>
          </w:p>
          <w:p w14:paraId="03D4F6F3">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default" w:ascii="Times New Roman" w:hAnsi="Times New Roman" w:eastAsia="宋体" w:cs="Times New Roman"/>
                <w:lang w:eastAsia="zh-CN"/>
              </w:rPr>
            </w:pPr>
            <w:r>
              <w:rPr>
                <w:rFonts w:hint="default" w:ascii="Times New Roman" w:hAnsi="Times New Roman" w:eastAsia="宋体" w:cs="Times New Roman"/>
              </w:rPr>
              <w:t>④</w:t>
            </w:r>
            <w:r>
              <w:rPr>
                <w:rFonts w:hint="default" w:ascii="Times New Roman" w:hAnsi="Times New Roman" w:eastAsia="宋体" w:cs="Times New Roman"/>
                <w:lang w:eastAsia="zh-CN"/>
              </w:rPr>
              <w:t>废布袋：本项目配料及投料粉尘通过布袋除尘器处理，布袋破损后需要跟换会产生废布袋，废布袋产生量</w:t>
            </w:r>
            <w:r>
              <w:rPr>
                <w:rFonts w:hint="eastAsia" w:ascii="Times New Roman" w:hAnsi="Times New Roman" w:eastAsia="宋体" w:cs="Times New Roman"/>
                <w:lang w:eastAsia="zh-CN"/>
              </w:rPr>
              <w:t>约</w:t>
            </w:r>
            <w:r>
              <w:rPr>
                <w:rFonts w:hint="default" w:ascii="Times New Roman" w:hAnsi="Times New Roman" w:eastAsia="宋体" w:cs="Times New Roman"/>
                <w:lang w:eastAsia="zh-CN"/>
              </w:rPr>
              <w:t>为</w:t>
            </w:r>
            <w:r>
              <w:rPr>
                <w:rFonts w:hint="eastAsia" w:ascii="Times New Roman" w:hAnsi="Times New Roman" w:eastAsia="宋体" w:cs="Times New Roman"/>
                <w:lang w:val="en-US" w:eastAsia="zh-CN"/>
              </w:rPr>
              <w:t>0.5</w:t>
            </w:r>
            <w:r>
              <w:rPr>
                <w:rFonts w:hint="default" w:ascii="Times New Roman" w:hAnsi="Times New Roman" w:eastAsia="宋体" w:cs="Times New Roman"/>
                <w:lang w:eastAsia="zh-CN"/>
              </w:rPr>
              <w:t>t/a。</w:t>
            </w:r>
          </w:p>
          <w:p w14:paraId="1E5E264E">
            <w:pPr>
              <w:widowControl/>
              <w:spacing w:line="500" w:lineRule="exact"/>
              <w:ind w:left="420"/>
              <w:jc w:val="left"/>
            </w:pPr>
            <w:r>
              <w:t>（3）危险废物</w:t>
            </w:r>
          </w:p>
          <w:p w14:paraId="22A39023">
            <w:pPr>
              <w:widowControl/>
              <w:spacing w:line="500" w:lineRule="exact"/>
              <w:ind w:firstLine="420" w:firstLineChars="200"/>
              <w:jc w:val="left"/>
            </w:pPr>
            <w:r>
              <w:rPr>
                <w:rFonts w:hint="eastAsia" w:ascii="宋体" w:hAnsi="宋体" w:cs="宋体"/>
              </w:rPr>
              <w:t>①</w:t>
            </w:r>
            <w:r>
              <w:t>废活性炭：本项目吸附的有机废气约</w:t>
            </w:r>
            <w:r>
              <w:rPr>
                <w:rFonts w:hint="eastAsia"/>
                <w:lang w:val="en-US" w:eastAsia="zh-CN"/>
              </w:rPr>
              <w:t>1.215</w:t>
            </w:r>
            <w:r>
              <w:t>t/a，项目活性炭更换周期定位为</w:t>
            </w:r>
            <w:r>
              <w:rPr>
                <w:rFonts w:hint="eastAsia"/>
                <w:lang w:val="en-US" w:eastAsia="zh-CN"/>
              </w:rPr>
              <w:t>39</w:t>
            </w:r>
            <w:r>
              <w:rPr>
                <w:rFonts w:hint="eastAsia"/>
              </w:rPr>
              <w:t>天</w:t>
            </w:r>
            <w:r>
              <w:t>更换一次。活性炭年使用量为</w:t>
            </w:r>
            <w:r>
              <w:rPr>
                <w:rFonts w:hint="eastAsia"/>
                <w:lang w:val="en-US" w:eastAsia="zh-CN"/>
              </w:rPr>
              <w:t>1.92</w:t>
            </w:r>
            <w:r>
              <w:t>×</w:t>
            </w:r>
            <w:r>
              <w:rPr>
                <w:rFonts w:hint="eastAsia"/>
                <w:lang w:val="en-US" w:eastAsia="zh-CN"/>
              </w:rPr>
              <w:t>8</w:t>
            </w:r>
            <w:r>
              <w:t>=</w:t>
            </w:r>
            <w:r>
              <w:rPr>
                <w:rFonts w:hint="eastAsia"/>
                <w:lang w:val="en-US" w:eastAsia="zh-CN"/>
              </w:rPr>
              <w:t>15.36t</w:t>
            </w:r>
            <w:r>
              <w:t>/a，则产生的废活性炭约为</w:t>
            </w:r>
            <w:r>
              <w:rPr>
                <w:rFonts w:hint="eastAsia"/>
                <w:lang w:val="en-US" w:eastAsia="zh-CN"/>
              </w:rPr>
              <w:t>16.58</w:t>
            </w:r>
            <w:r>
              <w:rPr>
                <w:rFonts w:hint="eastAsia"/>
              </w:rPr>
              <w:t>t/</w:t>
            </w:r>
            <w:r>
              <w:t>a</w:t>
            </w:r>
            <w:r>
              <w:rPr>
                <w:rFonts w:hint="eastAsia"/>
              </w:rPr>
              <w:t>。</w:t>
            </w:r>
            <w:r>
              <w:t>收集后应委托有资质单位处置。</w:t>
            </w:r>
          </w:p>
          <w:p w14:paraId="595FC37D">
            <w:pPr>
              <w:spacing w:line="500" w:lineRule="exact"/>
              <w:ind w:firstLine="420" w:firstLineChars="200"/>
            </w:pPr>
            <w:r>
              <w:t>②</w:t>
            </w:r>
            <w:r>
              <w:rPr>
                <w:rFonts w:hint="eastAsia" w:eastAsia="宋体"/>
                <w:lang w:eastAsia="zh-CN"/>
              </w:rPr>
              <w:t>喷淋塔废液：项目采用水喷淋，喷淋塔废液根据前文计算，产生量为</w:t>
            </w:r>
            <w:r>
              <w:rPr>
                <w:rFonts w:hint="eastAsia"/>
                <w:lang w:val="en-US" w:eastAsia="zh-CN"/>
              </w:rPr>
              <w:t>2.4</w:t>
            </w:r>
            <w:r>
              <w:rPr>
                <w:rFonts w:hint="eastAsia" w:eastAsia="宋体"/>
                <w:lang w:val="en-US" w:eastAsia="zh-CN"/>
              </w:rPr>
              <w:t>t/a。</w:t>
            </w:r>
            <w:r>
              <w:t>委托有资质单位进行处理。</w:t>
            </w:r>
          </w:p>
          <w:p w14:paraId="55A8D5D3">
            <w:pPr>
              <w:spacing w:line="500" w:lineRule="exact"/>
              <w:ind w:firstLine="420" w:firstLineChars="200"/>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rPr>
              <w:t>③</w:t>
            </w:r>
            <w:r>
              <w:rPr>
                <w:rFonts w:hint="eastAsia" w:ascii="Times New Roman" w:hAnsi="Times New Roman" w:eastAsia="宋体" w:cs="Times New Roman"/>
                <w:bCs/>
                <w:color w:val="auto"/>
                <w:szCs w:val="21"/>
                <w:lang w:eastAsia="zh-CN"/>
              </w:rPr>
              <w:t>废滤芯：项目废气处理设施有除雾除湿设施，会产生废滤芯，年产生量约</w:t>
            </w:r>
            <w:r>
              <w:rPr>
                <w:rFonts w:hint="eastAsia" w:ascii="Times New Roman" w:hAnsi="Times New Roman" w:eastAsia="宋体" w:cs="Times New Roman"/>
                <w:bCs/>
                <w:color w:val="auto"/>
                <w:szCs w:val="21"/>
                <w:lang w:val="en-US" w:eastAsia="zh-CN"/>
              </w:rPr>
              <w:t>1t/a，</w:t>
            </w:r>
            <w:r>
              <w:rPr>
                <w:rFonts w:hint="eastAsia" w:ascii="宋体" w:hAnsi="宋体" w:eastAsia="宋体" w:cs="宋体"/>
                <w:color w:val="auto"/>
                <w:lang w:eastAsia="zh-CN"/>
              </w:rPr>
              <w:t>收集后委托有资质单位处理。</w:t>
            </w:r>
          </w:p>
          <w:p w14:paraId="6EE8BD35">
            <w:pPr>
              <w:widowControl/>
              <w:spacing w:line="500" w:lineRule="exact"/>
              <w:ind w:firstLine="420" w:firstLineChars="200"/>
              <w:jc w:val="left"/>
            </w:pPr>
            <w:r>
              <w:rPr>
                <w:rFonts w:hint="eastAsia" w:ascii="宋体" w:hAnsi="宋体" w:eastAsia="宋体" w:cs="宋体"/>
              </w:rPr>
              <w:t>④</w:t>
            </w:r>
            <w:r>
              <w:rPr>
                <w:rFonts w:hint="eastAsia" w:eastAsia="宋体"/>
                <w:color w:val="auto"/>
                <w:lang w:eastAsia="zh-CN"/>
              </w:rPr>
              <w:t>废润滑油：项目设备维修保养会产生废润滑油，产生量为</w:t>
            </w:r>
            <w:r>
              <w:rPr>
                <w:rFonts w:hint="eastAsia" w:eastAsia="宋体"/>
                <w:color w:val="auto"/>
                <w:lang w:val="en-US" w:eastAsia="zh-CN"/>
              </w:rPr>
              <w:t>1t/a，</w:t>
            </w:r>
            <w:r>
              <w:rPr>
                <w:rFonts w:hint="eastAsia" w:ascii="宋体" w:hAnsi="宋体" w:eastAsia="宋体" w:cs="宋体"/>
                <w:color w:val="auto"/>
                <w:lang w:eastAsia="zh-CN"/>
              </w:rPr>
              <w:t>收集后委托有资质单位处理。</w:t>
            </w:r>
          </w:p>
          <w:p w14:paraId="04778B90">
            <w:pPr>
              <w:spacing w:line="500" w:lineRule="exact"/>
              <w:ind w:firstLine="420" w:firstLineChars="200"/>
              <w:rPr>
                <w:rFonts w:hint="eastAsia" w:eastAsia="宋体"/>
                <w:color w:val="auto"/>
                <w:lang w:eastAsia="zh-CN"/>
              </w:rPr>
            </w:pPr>
            <w:r>
              <w:rPr>
                <w:rFonts w:hint="eastAsia" w:ascii="宋体" w:hAnsi="宋体" w:eastAsia="宋体" w:cs="宋体"/>
                <w:color w:val="auto"/>
                <w:lang w:val="en-US" w:eastAsia="zh-CN"/>
              </w:rPr>
              <w:t>⑤</w:t>
            </w:r>
            <w:r>
              <w:rPr>
                <w:rFonts w:hint="default" w:ascii="Times New Roman" w:hAnsi="Times New Roman" w:cs="Times New Roman"/>
                <w:color w:val="auto"/>
                <w:lang w:eastAsia="zh-CN"/>
              </w:rPr>
              <w:t>废润滑油桶：项目设备维修保养会产生废润滑油桶，产生量为</w:t>
            </w:r>
            <w:r>
              <w:rPr>
                <w:rFonts w:hint="default" w:ascii="Times New Roman" w:hAnsi="Times New Roman" w:cs="Times New Roman"/>
                <w:color w:val="auto"/>
                <w:lang w:val="en-US" w:eastAsia="zh-CN"/>
              </w:rPr>
              <w:t>0.5t/a，收集</w:t>
            </w:r>
            <w:r>
              <w:rPr>
                <w:rFonts w:hint="eastAsia" w:ascii="宋体" w:hAnsi="宋体" w:cs="宋体"/>
                <w:color w:val="auto"/>
                <w:lang w:val="en-US" w:eastAsia="zh-CN"/>
              </w:rPr>
              <w:t>后委托有资质单位处理。</w:t>
            </w:r>
          </w:p>
          <w:p w14:paraId="0740859F">
            <w:pPr>
              <w:spacing w:line="500" w:lineRule="exact"/>
              <w:ind w:firstLine="420" w:firstLineChars="200"/>
            </w:pPr>
            <w:r>
              <w:t>2、固体废物属性判定</w:t>
            </w:r>
          </w:p>
          <w:p w14:paraId="2B537D3A">
            <w:pPr>
              <w:spacing w:line="500" w:lineRule="exact"/>
              <w:ind w:firstLine="420" w:firstLineChars="200"/>
            </w:pPr>
            <w:r>
              <w:t>根据《中华人民共和国固体废物污染环境防治法</w:t>
            </w:r>
            <w:r>
              <w:rPr>
                <w:rFonts w:hint="eastAsia"/>
                <w:lang w:eastAsia="zh-CN"/>
              </w:rPr>
              <w:t>》《</w:t>
            </w:r>
            <w:r>
              <w:t>固体废物鉴别标准通则》（GB34330-2017）的规定，判断建设项目生产过程中产生的副产物是否属于固体废物，判定依据及结果见表 4-</w:t>
            </w:r>
            <w:r>
              <w:rPr>
                <w:rFonts w:hint="eastAsia"/>
                <w:lang w:val="en-US" w:eastAsia="zh-CN"/>
              </w:rPr>
              <w:t>20</w:t>
            </w:r>
            <w:r>
              <w:t>。</w:t>
            </w:r>
          </w:p>
          <w:p w14:paraId="18049DC5">
            <w:pPr>
              <w:widowControl/>
              <w:spacing w:line="360" w:lineRule="auto"/>
              <w:ind w:firstLine="422" w:firstLineChars="200"/>
              <w:jc w:val="center"/>
              <w:rPr>
                <w:b/>
                <w:bCs/>
              </w:rPr>
            </w:pPr>
            <w:r>
              <w:rPr>
                <w:b/>
                <w:bCs/>
              </w:rPr>
              <w:t>表 4-</w:t>
            </w:r>
            <w:r>
              <w:rPr>
                <w:rFonts w:hint="eastAsia"/>
                <w:b/>
                <w:bCs/>
                <w:lang w:val="en-US" w:eastAsia="zh-CN"/>
              </w:rPr>
              <w:t>20</w:t>
            </w:r>
            <w:r>
              <w:rPr>
                <w:b/>
                <w:bCs/>
              </w:rPr>
              <w:t xml:space="preserve"> 本项目固</w:t>
            </w:r>
            <w:r>
              <w:rPr>
                <w:rFonts w:hint="eastAsia"/>
                <w:b/>
                <w:bCs/>
                <w:lang w:eastAsia="zh-CN"/>
              </w:rPr>
              <w:t>体</w:t>
            </w:r>
            <w:r>
              <w:rPr>
                <w:b/>
                <w:bCs/>
              </w:rPr>
              <w:t>废物产生情况汇总表</w:t>
            </w:r>
          </w:p>
          <w:tbl>
            <w:tblPr>
              <w:tblStyle w:val="16"/>
              <w:tblW w:w="8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177"/>
              <w:gridCol w:w="1471"/>
              <w:gridCol w:w="645"/>
              <w:gridCol w:w="840"/>
              <w:gridCol w:w="1080"/>
              <w:gridCol w:w="750"/>
              <w:gridCol w:w="840"/>
              <w:gridCol w:w="797"/>
            </w:tblGrid>
            <w:tr w14:paraId="3A7032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0" w:hRule="atLeast"/>
              </w:trPr>
              <w:tc>
                <w:tcPr>
                  <w:tcW w:w="456" w:type="dxa"/>
                  <w:vMerge w:val="restart"/>
                  <w:vAlign w:val="center"/>
                </w:tcPr>
                <w:p w14:paraId="3B8770D9">
                  <w:pPr>
                    <w:jc w:val="center"/>
                    <w:rPr>
                      <w:sz w:val="18"/>
                      <w:szCs w:val="18"/>
                    </w:rPr>
                  </w:pPr>
                  <w:r>
                    <w:rPr>
                      <w:sz w:val="18"/>
                      <w:szCs w:val="18"/>
                    </w:rPr>
                    <w:t>序号</w:t>
                  </w:r>
                </w:p>
              </w:tc>
              <w:tc>
                <w:tcPr>
                  <w:tcW w:w="1177" w:type="dxa"/>
                  <w:vMerge w:val="restart"/>
                  <w:vAlign w:val="center"/>
                </w:tcPr>
                <w:p w14:paraId="6E8F8ED1">
                  <w:pPr>
                    <w:jc w:val="center"/>
                    <w:rPr>
                      <w:sz w:val="18"/>
                      <w:szCs w:val="18"/>
                    </w:rPr>
                  </w:pPr>
                  <w:r>
                    <w:rPr>
                      <w:sz w:val="18"/>
                      <w:szCs w:val="18"/>
                    </w:rPr>
                    <w:t>名称</w:t>
                  </w:r>
                </w:p>
              </w:tc>
              <w:tc>
                <w:tcPr>
                  <w:tcW w:w="1471" w:type="dxa"/>
                  <w:vMerge w:val="restart"/>
                  <w:vAlign w:val="center"/>
                </w:tcPr>
                <w:p w14:paraId="4CA275D5">
                  <w:pPr>
                    <w:jc w:val="center"/>
                    <w:rPr>
                      <w:sz w:val="18"/>
                      <w:szCs w:val="18"/>
                    </w:rPr>
                  </w:pPr>
                  <w:r>
                    <w:rPr>
                      <w:sz w:val="18"/>
                      <w:szCs w:val="18"/>
                    </w:rPr>
                    <w:t>产生工序</w:t>
                  </w:r>
                </w:p>
              </w:tc>
              <w:tc>
                <w:tcPr>
                  <w:tcW w:w="645" w:type="dxa"/>
                  <w:vMerge w:val="restart"/>
                  <w:vAlign w:val="center"/>
                </w:tcPr>
                <w:p w14:paraId="11DB15FA">
                  <w:pPr>
                    <w:jc w:val="center"/>
                    <w:rPr>
                      <w:sz w:val="18"/>
                      <w:szCs w:val="18"/>
                    </w:rPr>
                  </w:pPr>
                  <w:r>
                    <w:rPr>
                      <w:sz w:val="18"/>
                      <w:szCs w:val="18"/>
                    </w:rPr>
                    <w:t>形态</w:t>
                  </w:r>
                </w:p>
              </w:tc>
              <w:tc>
                <w:tcPr>
                  <w:tcW w:w="840" w:type="dxa"/>
                  <w:vMerge w:val="restart"/>
                  <w:vAlign w:val="center"/>
                </w:tcPr>
                <w:p w14:paraId="2C14DD73">
                  <w:pPr>
                    <w:jc w:val="center"/>
                    <w:rPr>
                      <w:sz w:val="18"/>
                      <w:szCs w:val="18"/>
                    </w:rPr>
                  </w:pPr>
                  <w:r>
                    <w:rPr>
                      <w:sz w:val="18"/>
                      <w:szCs w:val="18"/>
                    </w:rPr>
                    <w:t>主要成分</w:t>
                  </w:r>
                </w:p>
              </w:tc>
              <w:tc>
                <w:tcPr>
                  <w:tcW w:w="1080" w:type="dxa"/>
                  <w:vMerge w:val="restart"/>
                  <w:vAlign w:val="center"/>
                </w:tcPr>
                <w:p w14:paraId="39B6211F">
                  <w:pPr>
                    <w:jc w:val="center"/>
                    <w:rPr>
                      <w:sz w:val="18"/>
                      <w:szCs w:val="18"/>
                    </w:rPr>
                  </w:pPr>
                  <w:r>
                    <w:rPr>
                      <w:sz w:val="18"/>
                      <w:szCs w:val="18"/>
                    </w:rPr>
                    <w:t>预测产生量（t/a）</w:t>
                  </w:r>
                </w:p>
              </w:tc>
              <w:tc>
                <w:tcPr>
                  <w:tcW w:w="2387" w:type="dxa"/>
                  <w:gridSpan w:val="3"/>
                  <w:vAlign w:val="center"/>
                </w:tcPr>
                <w:p w14:paraId="5E2B2769">
                  <w:pPr>
                    <w:jc w:val="center"/>
                    <w:rPr>
                      <w:sz w:val="18"/>
                      <w:szCs w:val="18"/>
                    </w:rPr>
                  </w:pPr>
                  <w:r>
                    <w:rPr>
                      <w:sz w:val="18"/>
                      <w:szCs w:val="18"/>
                    </w:rPr>
                    <w:t>种类判断</w:t>
                  </w:r>
                </w:p>
              </w:tc>
            </w:tr>
            <w:tr w14:paraId="6EC98B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56" w:type="dxa"/>
                  <w:vMerge w:val="continue"/>
                  <w:vAlign w:val="center"/>
                </w:tcPr>
                <w:p w14:paraId="7F644292">
                  <w:pPr>
                    <w:jc w:val="center"/>
                  </w:pPr>
                </w:p>
              </w:tc>
              <w:tc>
                <w:tcPr>
                  <w:tcW w:w="1177" w:type="dxa"/>
                  <w:vMerge w:val="continue"/>
                  <w:vAlign w:val="center"/>
                </w:tcPr>
                <w:p w14:paraId="11629EEA">
                  <w:pPr>
                    <w:jc w:val="center"/>
                  </w:pPr>
                </w:p>
              </w:tc>
              <w:tc>
                <w:tcPr>
                  <w:tcW w:w="1471" w:type="dxa"/>
                  <w:vMerge w:val="continue"/>
                  <w:vAlign w:val="center"/>
                </w:tcPr>
                <w:p w14:paraId="5A978804">
                  <w:pPr>
                    <w:jc w:val="center"/>
                  </w:pPr>
                </w:p>
              </w:tc>
              <w:tc>
                <w:tcPr>
                  <w:tcW w:w="645" w:type="dxa"/>
                  <w:vMerge w:val="continue"/>
                  <w:vAlign w:val="center"/>
                </w:tcPr>
                <w:p w14:paraId="45BC4F4A">
                  <w:pPr>
                    <w:jc w:val="center"/>
                  </w:pPr>
                </w:p>
              </w:tc>
              <w:tc>
                <w:tcPr>
                  <w:tcW w:w="840" w:type="dxa"/>
                  <w:vMerge w:val="continue"/>
                  <w:vAlign w:val="center"/>
                </w:tcPr>
                <w:p w14:paraId="7DC64417">
                  <w:pPr>
                    <w:jc w:val="center"/>
                  </w:pPr>
                </w:p>
              </w:tc>
              <w:tc>
                <w:tcPr>
                  <w:tcW w:w="1080" w:type="dxa"/>
                  <w:vMerge w:val="continue"/>
                  <w:vAlign w:val="center"/>
                </w:tcPr>
                <w:p w14:paraId="0A0071E3">
                  <w:pPr>
                    <w:jc w:val="center"/>
                  </w:pPr>
                </w:p>
              </w:tc>
              <w:tc>
                <w:tcPr>
                  <w:tcW w:w="750" w:type="dxa"/>
                  <w:vAlign w:val="center"/>
                </w:tcPr>
                <w:p w14:paraId="0AF1369C">
                  <w:pPr>
                    <w:jc w:val="center"/>
                  </w:pPr>
                  <w:r>
                    <w:rPr>
                      <w:sz w:val="18"/>
                      <w:szCs w:val="18"/>
                    </w:rPr>
                    <w:t>固体废物</w:t>
                  </w:r>
                </w:p>
              </w:tc>
              <w:tc>
                <w:tcPr>
                  <w:tcW w:w="840" w:type="dxa"/>
                  <w:vAlign w:val="center"/>
                </w:tcPr>
                <w:p w14:paraId="5E746D4C">
                  <w:pPr>
                    <w:jc w:val="center"/>
                  </w:pPr>
                  <w:r>
                    <w:rPr>
                      <w:sz w:val="18"/>
                      <w:szCs w:val="18"/>
                    </w:rPr>
                    <w:t>副产品</w:t>
                  </w:r>
                </w:p>
              </w:tc>
              <w:tc>
                <w:tcPr>
                  <w:tcW w:w="797" w:type="dxa"/>
                  <w:vAlign w:val="center"/>
                </w:tcPr>
                <w:p w14:paraId="184103C7">
                  <w:pPr>
                    <w:jc w:val="center"/>
                  </w:pPr>
                  <w:r>
                    <w:rPr>
                      <w:sz w:val="18"/>
                      <w:szCs w:val="18"/>
                    </w:rPr>
                    <w:t>判定依据</w:t>
                  </w:r>
                </w:p>
              </w:tc>
            </w:tr>
            <w:tr w14:paraId="292B5E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57BC50B">
                  <w:pPr>
                    <w:jc w:val="center"/>
                    <w:rPr>
                      <w:sz w:val="18"/>
                      <w:szCs w:val="18"/>
                    </w:rPr>
                  </w:pPr>
                  <w:r>
                    <w:rPr>
                      <w:sz w:val="18"/>
                      <w:szCs w:val="18"/>
                    </w:rPr>
                    <w:t>1</w:t>
                  </w:r>
                </w:p>
              </w:tc>
              <w:tc>
                <w:tcPr>
                  <w:tcW w:w="1177" w:type="dxa"/>
                  <w:vAlign w:val="center"/>
                </w:tcPr>
                <w:p w14:paraId="584B8720">
                  <w:pPr>
                    <w:jc w:val="center"/>
                    <w:rPr>
                      <w:sz w:val="18"/>
                      <w:szCs w:val="18"/>
                    </w:rPr>
                  </w:pPr>
                  <w:r>
                    <w:rPr>
                      <w:rFonts w:hint="eastAsia"/>
                      <w:sz w:val="18"/>
                      <w:szCs w:val="18"/>
                    </w:rPr>
                    <w:t>废包装材料</w:t>
                  </w:r>
                </w:p>
              </w:tc>
              <w:tc>
                <w:tcPr>
                  <w:tcW w:w="1471" w:type="dxa"/>
                  <w:vAlign w:val="center"/>
                </w:tcPr>
                <w:p w14:paraId="7FBB66BB">
                  <w:pPr>
                    <w:jc w:val="center"/>
                    <w:rPr>
                      <w:rFonts w:hint="eastAsia" w:eastAsia="宋体"/>
                      <w:sz w:val="18"/>
                      <w:szCs w:val="18"/>
                      <w:lang w:eastAsia="zh-CN"/>
                    </w:rPr>
                  </w:pPr>
                  <w:r>
                    <w:rPr>
                      <w:rFonts w:hint="eastAsia"/>
                      <w:sz w:val="18"/>
                      <w:szCs w:val="18"/>
                      <w:lang w:eastAsia="zh-CN"/>
                    </w:rPr>
                    <w:t>原辅料使用</w:t>
                  </w:r>
                </w:p>
              </w:tc>
              <w:tc>
                <w:tcPr>
                  <w:tcW w:w="645" w:type="dxa"/>
                  <w:vAlign w:val="center"/>
                </w:tcPr>
                <w:p w14:paraId="5105E3F2">
                  <w:pPr>
                    <w:jc w:val="center"/>
                    <w:rPr>
                      <w:sz w:val="18"/>
                      <w:szCs w:val="18"/>
                    </w:rPr>
                  </w:pPr>
                  <w:r>
                    <w:rPr>
                      <w:sz w:val="18"/>
                      <w:szCs w:val="18"/>
                    </w:rPr>
                    <w:t>固态</w:t>
                  </w:r>
                </w:p>
              </w:tc>
              <w:tc>
                <w:tcPr>
                  <w:tcW w:w="840" w:type="dxa"/>
                  <w:vAlign w:val="center"/>
                </w:tcPr>
                <w:p w14:paraId="17B880A5">
                  <w:pPr>
                    <w:jc w:val="center"/>
                    <w:rPr>
                      <w:rFonts w:hint="default" w:eastAsia="宋体"/>
                      <w:sz w:val="18"/>
                      <w:szCs w:val="18"/>
                      <w:lang w:val="en-US" w:eastAsia="zh-CN"/>
                    </w:rPr>
                  </w:pPr>
                  <w:r>
                    <w:rPr>
                      <w:rFonts w:hint="eastAsia"/>
                      <w:sz w:val="18"/>
                      <w:szCs w:val="18"/>
                      <w:lang w:val="en-US" w:eastAsia="zh-CN"/>
                    </w:rPr>
                    <w:t>塑料</w:t>
                  </w:r>
                </w:p>
              </w:tc>
              <w:tc>
                <w:tcPr>
                  <w:tcW w:w="1080" w:type="dxa"/>
                  <w:vAlign w:val="center"/>
                </w:tcPr>
                <w:p w14:paraId="277103E1">
                  <w:pPr>
                    <w:jc w:val="center"/>
                    <w:rPr>
                      <w:rFonts w:hint="default" w:eastAsia="宋体"/>
                      <w:sz w:val="18"/>
                      <w:szCs w:val="18"/>
                      <w:lang w:val="en-US" w:eastAsia="zh-CN"/>
                    </w:rPr>
                  </w:pPr>
                  <w:r>
                    <w:rPr>
                      <w:rFonts w:hint="eastAsia"/>
                      <w:sz w:val="18"/>
                      <w:szCs w:val="18"/>
                      <w:lang w:val="en-US" w:eastAsia="zh-CN"/>
                    </w:rPr>
                    <w:t>2</w:t>
                  </w:r>
                </w:p>
              </w:tc>
              <w:tc>
                <w:tcPr>
                  <w:tcW w:w="750" w:type="dxa"/>
                  <w:vAlign w:val="center"/>
                </w:tcPr>
                <w:p w14:paraId="5F7F0B3D">
                  <w:pPr>
                    <w:jc w:val="center"/>
                    <w:rPr>
                      <w:sz w:val="18"/>
                      <w:szCs w:val="18"/>
                    </w:rPr>
                  </w:pPr>
                  <w:r>
                    <w:rPr>
                      <w:sz w:val="18"/>
                      <w:szCs w:val="18"/>
                    </w:rPr>
                    <w:t>√</w:t>
                  </w:r>
                </w:p>
              </w:tc>
              <w:tc>
                <w:tcPr>
                  <w:tcW w:w="840" w:type="dxa"/>
                  <w:vAlign w:val="center"/>
                </w:tcPr>
                <w:p w14:paraId="4D5C9D66">
                  <w:pPr>
                    <w:jc w:val="center"/>
                    <w:rPr>
                      <w:sz w:val="18"/>
                      <w:szCs w:val="18"/>
                    </w:rPr>
                  </w:pPr>
                  <w:r>
                    <w:rPr>
                      <w:sz w:val="18"/>
                      <w:szCs w:val="18"/>
                    </w:rPr>
                    <w:t>/</w:t>
                  </w:r>
                </w:p>
              </w:tc>
              <w:tc>
                <w:tcPr>
                  <w:tcW w:w="797" w:type="dxa"/>
                  <w:vMerge w:val="restart"/>
                  <w:vAlign w:val="center"/>
                </w:tcPr>
                <w:p w14:paraId="1F3781E7">
                  <w:pPr>
                    <w:jc w:val="center"/>
                    <w:rPr>
                      <w:sz w:val="18"/>
                      <w:szCs w:val="18"/>
                    </w:rPr>
                  </w:pPr>
                  <w:r>
                    <w:rPr>
                      <w:rFonts w:hint="eastAsia"/>
                      <w:sz w:val="18"/>
                      <w:szCs w:val="18"/>
                    </w:rPr>
                    <w:t>《固体废物鉴别标准 通则》（GB34330-2017）</w:t>
                  </w:r>
                </w:p>
              </w:tc>
            </w:tr>
            <w:tr w14:paraId="0D2BC1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E7E5ADD">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2</w:t>
                  </w:r>
                </w:p>
              </w:tc>
              <w:tc>
                <w:tcPr>
                  <w:tcW w:w="1177" w:type="dxa"/>
                  <w:vAlign w:val="center"/>
                </w:tcPr>
                <w:p w14:paraId="0B42EC53">
                  <w:pPr>
                    <w:jc w:val="center"/>
                    <w:rPr>
                      <w:rFonts w:hint="eastAsia" w:eastAsia="宋体"/>
                      <w:color w:val="auto"/>
                      <w:sz w:val="18"/>
                      <w:szCs w:val="18"/>
                      <w:lang w:eastAsia="zh-CN"/>
                    </w:rPr>
                  </w:pPr>
                  <w:r>
                    <w:rPr>
                      <w:rFonts w:hint="eastAsia"/>
                      <w:color w:val="auto"/>
                      <w:sz w:val="18"/>
                      <w:szCs w:val="18"/>
                      <w:lang w:eastAsia="zh-CN"/>
                    </w:rPr>
                    <w:t>不合格品</w:t>
                  </w:r>
                </w:p>
              </w:tc>
              <w:tc>
                <w:tcPr>
                  <w:tcW w:w="1471" w:type="dxa"/>
                  <w:vAlign w:val="center"/>
                </w:tcPr>
                <w:p w14:paraId="697E75F9">
                  <w:pPr>
                    <w:jc w:val="center"/>
                    <w:rPr>
                      <w:rFonts w:hint="eastAsia"/>
                      <w:color w:val="auto"/>
                      <w:sz w:val="18"/>
                      <w:szCs w:val="18"/>
                      <w:lang w:eastAsia="zh-CN"/>
                    </w:rPr>
                  </w:pPr>
                  <w:r>
                    <w:rPr>
                      <w:rFonts w:hint="eastAsia"/>
                      <w:color w:val="auto"/>
                      <w:sz w:val="18"/>
                      <w:szCs w:val="18"/>
                      <w:lang w:eastAsia="zh-CN"/>
                    </w:rPr>
                    <w:t>挤出</w:t>
                  </w:r>
                </w:p>
              </w:tc>
              <w:tc>
                <w:tcPr>
                  <w:tcW w:w="645" w:type="dxa"/>
                  <w:vAlign w:val="center"/>
                </w:tcPr>
                <w:p w14:paraId="02E111C8">
                  <w:pPr>
                    <w:jc w:val="center"/>
                    <w:rPr>
                      <w:color w:val="auto"/>
                      <w:sz w:val="18"/>
                      <w:szCs w:val="18"/>
                    </w:rPr>
                  </w:pPr>
                  <w:r>
                    <w:rPr>
                      <w:color w:val="auto"/>
                      <w:sz w:val="18"/>
                      <w:szCs w:val="18"/>
                    </w:rPr>
                    <w:t>固态</w:t>
                  </w:r>
                </w:p>
              </w:tc>
              <w:tc>
                <w:tcPr>
                  <w:tcW w:w="840" w:type="dxa"/>
                  <w:vAlign w:val="center"/>
                </w:tcPr>
                <w:p w14:paraId="55980563">
                  <w:pPr>
                    <w:jc w:val="center"/>
                    <w:rPr>
                      <w:rFonts w:hint="eastAsia"/>
                      <w:color w:val="auto"/>
                      <w:sz w:val="18"/>
                      <w:szCs w:val="18"/>
                      <w:lang w:val="en-US" w:eastAsia="zh-CN"/>
                    </w:rPr>
                  </w:pPr>
                  <w:r>
                    <w:rPr>
                      <w:rFonts w:hint="eastAsia"/>
                      <w:sz w:val="18"/>
                      <w:szCs w:val="18"/>
                      <w:lang w:val="en-US" w:eastAsia="zh-CN"/>
                    </w:rPr>
                    <w:t>塑料</w:t>
                  </w:r>
                </w:p>
              </w:tc>
              <w:tc>
                <w:tcPr>
                  <w:tcW w:w="1080" w:type="dxa"/>
                  <w:vAlign w:val="center"/>
                </w:tcPr>
                <w:p w14:paraId="3F3CB625">
                  <w:pPr>
                    <w:jc w:val="center"/>
                    <w:rPr>
                      <w:rFonts w:hint="default"/>
                      <w:color w:val="auto"/>
                      <w:sz w:val="18"/>
                      <w:szCs w:val="18"/>
                      <w:lang w:val="en-US" w:eastAsia="zh-CN"/>
                    </w:rPr>
                  </w:pPr>
                  <w:r>
                    <w:rPr>
                      <w:rFonts w:hint="eastAsia"/>
                      <w:color w:val="auto"/>
                      <w:sz w:val="18"/>
                      <w:szCs w:val="18"/>
                      <w:lang w:val="en-US" w:eastAsia="zh-CN"/>
                    </w:rPr>
                    <w:t>10</w:t>
                  </w:r>
                </w:p>
              </w:tc>
              <w:tc>
                <w:tcPr>
                  <w:tcW w:w="750" w:type="dxa"/>
                  <w:vAlign w:val="center"/>
                </w:tcPr>
                <w:p w14:paraId="32DE4110">
                  <w:pPr>
                    <w:jc w:val="center"/>
                    <w:rPr>
                      <w:color w:val="auto"/>
                      <w:sz w:val="18"/>
                      <w:szCs w:val="18"/>
                    </w:rPr>
                  </w:pPr>
                  <w:r>
                    <w:rPr>
                      <w:color w:val="auto"/>
                      <w:sz w:val="18"/>
                      <w:szCs w:val="18"/>
                    </w:rPr>
                    <w:t>√</w:t>
                  </w:r>
                </w:p>
              </w:tc>
              <w:tc>
                <w:tcPr>
                  <w:tcW w:w="840" w:type="dxa"/>
                  <w:vAlign w:val="center"/>
                </w:tcPr>
                <w:p w14:paraId="1886256C">
                  <w:pPr>
                    <w:jc w:val="center"/>
                    <w:rPr>
                      <w:color w:val="auto"/>
                      <w:sz w:val="18"/>
                      <w:szCs w:val="18"/>
                    </w:rPr>
                  </w:pPr>
                  <w:r>
                    <w:rPr>
                      <w:color w:val="auto"/>
                      <w:sz w:val="18"/>
                      <w:szCs w:val="18"/>
                    </w:rPr>
                    <w:t>/</w:t>
                  </w:r>
                </w:p>
              </w:tc>
              <w:tc>
                <w:tcPr>
                  <w:tcW w:w="797" w:type="dxa"/>
                  <w:vMerge w:val="continue"/>
                  <w:vAlign w:val="center"/>
                </w:tcPr>
                <w:p w14:paraId="662703C9">
                  <w:pPr>
                    <w:jc w:val="center"/>
                    <w:rPr>
                      <w:rFonts w:hint="eastAsia"/>
                      <w:sz w:val="18"/>
                      <w:szCs w:val="18"/>
                    </w:rPr>
                  </w:pPr>
                </w:p>
              </w:tc>
            </w:tr>
            <w:tr w14:paraId="3D76F1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6B61ECD">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3</w:t>
                  </w:r>
                </w:p>
              </w:tc>
              <w:tc>
                <w:tcPr>
                  <w:tcW w:w="1177" w:type="dxa"/>
                  <w:vAlign w:val="center"/>
                </w:tcPr>
                <w:p w14:paraId="2D4AAFAF">
                  <w:pPr>
                    <w:jc w:val="center"/>
                    <w:rPr>
                      <w:color w:val="auto"/>
                      <w:sz w:val="18"/>
                      <w:szCs w:val="18"/>
                    </w:rPr>
                  </w:pPr>
                  <w:r>
                    <w:rPr>
                      <w:rFonts w:hint="eastAsia"/>
                      <w:color w:val="auto"/>
                      <w:sz w:val="18"/>
                      <w:szCs w:val="18"/>
                    </w:rPr>
                    <w:t>集尘</w:t>
                  </w:r>
                </w:p>
              </w:tc>
              <w:tc>
                <w:tcPr>
                  <w:tcW w:w="1471" w:type="dxa"/>
                  <w:vAlign w:val="center"/>
                </w:tcPr>
                <w:p w14:paraId="757CBAD1">
                  <w:pPr>
                    <w:jc w:val="center"/>
                    <w:rPr>
                      <w:color w:val="auto"/>
                      <w:sz w:val="18"/>
                      <w:szCs w:val="18"/>
                    </w:rPr>
                  </w:pPr>
                  <w:r>
                    <w:rPr>
                      <w:color w:val="auto"/>
                      <w:sz w:val="18"/>
                      <w:szCs w:val="18"/>
                    </w:rPr>
                    <w:t>废气处理</w:t>
                  </w:r>
                </w:p>
              </w:tc>
              <w:tc>
                <w:tcPr>
                  <w:tcW w:w="645" w:type="dxa"/>
                  <w:vAlign w:val="center"/>
                </w:tcPr>
                <w:p w14:paraId="39DDA88F">
                  <w:pPr>
                    <w:jc w:val="center"/>
                    <w:rPr>
                      <w:color w:val="auto"/>
                      <w:sz w:val="18"/>
                      <w:szCs w:val="18"/>
                    </w:rPr>
                  </w:pPr>
                  <w:r>
                    <w:rPr>
                      <w:color w:val="auto"/>
                      <w:sz w:val="18"/>
                      <w:szCs w:val="18"/>
                    </w:rPr>
                    <w:t>固态</w:t>
                  </w:r>
                </w:p>
              </w:tc>
              <w:tc>
                <w:tcPr>
                  <w:tcW w:w="840" w:type="dxa"/>
                  <w:vAlign w:val="center"/>
                </w:tcPr>
                <w:p w14:paraId="1DE2AE4F">
                  <w:pPr>
                    <w:jc w:val="center"/>
                    <w:rPr>
                      <w:rFonts w:hint="eastAsia" w:eastAsia="宋体"/>
                      <w:color w:val="auto"/>
                      <w:sz w:val="18"/>
                      <w:szCs w:val="18"/>
                      <w:lang w:eastAsia="zh-CN"/>
                    </w:rPr>
                  </w:pPr>
                  <w:r>
                    <w:rPr>
                      <w:rFonts w:hint="eastAsia"/>
                      <w:color w:val="auto"/>
                      <w:sz w:val="18"/>
                      <w:szCs w:val="18"/>
                      <w:lang w:eastAsia="zh-CN"/>
                    </w:rPr>
                    <w:t>粉尘</w:t>
                  </w:r>
                </w:p>
              </w:tc>
              <w:tc>
                <w:tcPr>
                  <w:tcW w:w="1080" w:type="dxa"/>
                  <w:vAlign w:val="center"/>
                </w:tcPr>
                <w:p w14:paraId="59F8776A">
                  <w:pPr>
                    <w:jc w:val="center"/>
                    <w:rPr>
                      <w:rFonts w:hint="default" w:eastAsia="宋体"/>
                      <w:color w:val="auto"/>
                      <w:sz w:val="18"/>
                      <w:szCs w:val="18"/>
                      <w:lang w:val="en-US" w:eastAsia="zh-CN"/>
                    </w:rPr>
                  </w:pPr>
                  <w:r>
                    <w:rPr>
                      <w:rFonts w:hint="eastAsia"/>
                      <w:color w:val="auto"/>
                      <w:sz w:val="18"/>
                      <w:szCs w:val="18"/>
                      <w:lang w:val="en-US" w:eastAsia="zh-CN"/>
                    </w:rPr>
                    <w:t>5.346</w:t>
                  </w:r>
                </w:p>
              </w:tc>
              <w:tc>
                <w:tcPr>
                  <w:tcW w:w="750" w:type="dxa"/>
                  <w:vAlign w:val="center"/>
                </w:tcPr>
                <w:p w14:paraId="7BD2594B">
                  <w:pPr>
                    <w:jc w:val="center"/>
                    <w:rPr>
                      <w:color w:val="auto"/>
                      <w:sz w:val="18"/>
                      <w:szCs w:val="18"/>
                    </w:rPr>
                  </w:pPr>
                  <w:r>
                    <w:rPr>
                      <w:color w:val="auto"/>
                      <w:sz w:val="18"/>
                      <w:szCs w:val="18"/>
                    </w:rPr>
                    <w:t>√</w:t>
                  </w:r>
                </w:p>
              </w:tc>
              <w:tc>
                <w:tcPr>
                  <w:tcW w:w="840" w:type="dxa"/>
                  <w:vAlign w:val="center"/>
                </w:tcPr>
                <w:p w14:paraId="01F1F8CE">
                  <w:pPr>
                    <w:jc w:val="center"/>
                    <w:rPr>
                      <w:color w:val="auto"/>
                      <w:sz w:val="18"/>
                      <w:szCs w:val="18"/>
                    </w:rPr>
                  </w:pPr>
                  <w:r>
                    <w:rPr>
                      <w:color w:val="auto"/>
                      <w:sz w:val="18"/>
                      <w:szCs w:val="18"/>
                    </w:rPr>
                    <w:t>/</w:t>
                  </w:r>
                </w:p>
              </w:tc>
              <w:tc>
                <w:tcPr>
                  <w:tcW w:w="797" w:type="dxa"/>
                  <w:vMerge w:val="continue"/>
                  <w:vAlign w:val="center"/>
                </w:tcPr>
                <w:p w14:paraId="46F08F44">
                  <w:pPr>
                    <w:jc w:val="center"/>
                    <w:rPr>
                      <w:sz w:val="18"/>
                      <w:szCs w:val="18"/>
                    </w:rPr>
                  </w:pPr>
                </w:p>
              </w:tc>
            </w:tr>
            <w:tr w14:paraId="16A8A3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56" w:type="dxa"/>
                  <w:vAlign w:val="center"/>
                </w:tcPr>
                <w:p w14:paraId="2A72C688">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4</w:t>
                  </w:r>
                </w:p>
              </w:tc>
              <w:tc>
                <w:tcPr>
                  <w:tcW w:w="1177" w:type="dxa"/>
                  <w:vAlign w:val="center"/>
                </w:tcPr>
                <w:p w14:paraId="3F1F34B4">
                  <w:pPr>
                    <w:jc w:val="center"/>
                    <w:rPr>
                      <w:color w:val="auto"/>
                      <w:sz w:val="18"/>
                      <w:szCs w:val="18"/>
                    </w:rPr>
                  </w:pPr>
                  <w:r>
                    <w:rPr>
                      <w:rFonts w:hint="eastAsia"/>
                      <w:color w:val="auto"/>
                      <w:sz w:val="18"/>
                      <w:szCs w:val="18"/>
                    </w:rPr>
                    <w:t>废布袋</w:t>
                  </w:r>
                </w:p>
              </w:tc>
              <w:tc>
                <w:tcPr>
                  <w:tcW w:w="1471" w:type="dxa"/>
                  <w:vAlign w:val="center"/>
                </w:tcPr>
                <w:p w14:paraId="31E5250B">
                  <w:pPr>
                    <w:jc w:val="center"/>
                    <w:rPr>
                      <w:rFonts w:hint="eastAsia" w:eastAsia="宋体"/>
                      <w:color w:val="auto"/>
                      <w:sz w:val="18"/>
                      <w:szCs w:val="18"/>
                      <w:lang w:eastAsia="zh-CN"/>
                    </w:rPr>
                  </w:pPr>
                  <w:r>
                    <w:rPr>
                      <w:rFonts w:hint="eastAsia"/>
                      <w:color w:val="auto"/>
                      <w:sz w:val="18"/>
                      <w:szCs w:val="18"/>
                      <w:lang w:eastAsia="zh-CN"/>
                    </w:rPr>
                    <w:t>废气处理</w:t>
                  </w:r>
                </w:p>
              </w:tc>
              <w:tc>
                <w:tcPr>
                  <w:tcW w:w="645" w:type="dxa"/>
                  <w:vAlign w:val="center"/>
                </w:tcPr>
                <w:p w14:paraId="50BD5DF2">
                  <w:pPr>
                    <w:jc w:val="center"/>
                    <w:rPr>
                      <w:color w:val="auto"/>
                      <w:sz w:val="18"/>
                      <w:szCs w:val="18"/>
                    </w:rPr>
                  </w:pPr>
                  <w:r>
                    <w:rPr>
                      <w:rFonts w:hint="eastAsia"/>
                      <w:color w:val="auto"/>
                      <w:sz w:val="18"/>
                      <w:szCs w:val="18"/>
                    </w:rPr>
                    <w:t>固</w:t>
                  </w:r>
                  <w:r>
                    <w:rPr>
                      <w:color w:val="auto"/>
                      <w:sz w:val="18"/>
                      <w:szCs w:val="18"/>
                    </w:rPr>
                    <w:t>态</w:t>
                  </w:r>
                </w:p>
              </w:tc>
              <w:tc>
                <w:tcPr>
                  <w:tcW w:w="840" w:type="dxa"/>
                  <w:vAlign w:val="center"/>
                </w:tcPr>
                <w:p w14:paraId="3BFF69D4">
                  <w:pPr>
                    <w:jc w:val="center"/>
                    <w:rPr>
                      <w:rFonts w:hint="eastAsia" w:eastAsia="宋体"/>
                      <w:color w:val="auto"/>
                      <w:sz w:val="18"/>
                      <w:szCs w:val="18"/>
                      <w:lang w:eastAsia="zh-CN"/>
                    </w:rPr>
                  </w:pPr>
                  <w:r>
                    <w:rPr>
                      <w:rFonts w:hint="eastAsia"/>
                      <w:color w:val="auto"/>
                      <w:sz w:val="18"/>
                      <w:szCs w:val="18"/>
                      <w:lang w:eastAsia="zh-CN"/>
                    </w:rPr>
                    <w:t>粉尘</w:t>
                  </w:r>
                </w:p>
              </w:tc>
              <w:tc>
                <w:tcPr>
                  <w:tcW w:w="1080" w:type="dxa"/>
                  <w:vAlign w:val="center"/>
                </w:tcPr>
                <w:p w14:paraId="7D623E15">
                  <w:pPr>
                    <w:jc w:val="center"/>
                    <w:rPr>
                      <w:rFonts w:hint="default" w:eastAsia="宋体"/>
                      <w:color w:val="auto"/>
                      <w:sz w:val="18"/>
                      <w:szCs w:val="18"/>
                      <w:lang w:val="en-US" w:eastAsia="zh-CN"/>
                    </w:rPr>
                  </w:pPr>
                  <w:r>
                    <w:rPr>
                      <w:rFonts w:hint="eastAsia"/>
                      <w:color w:val="auto"/>
                      <w:sz w:val="18"/>
                      <w:szCs w:val="18"/>
                      <w:lang w:val="en-US" w:eastAsia="zh-CN"/>
                    </w:rPr>
                    <w:t>0.5</w:t>
                  </w:r>
                </w:p>
              </w:tc>
              <w:tc>
                <w:tcPr>
                  <w:tcW w:w="750" w:type="dxa"/>
                  <w:vAlign w:val="center"/>
                </w:tcPr>
                <w:p w14:paraId="3F14A0CD">
                  <w:pPr>
                    <w:jc w:val="center"/>
                    <w:rPr>
                      <w:color w:val="auto"/>
                      <w:sz w:val="18"/>
                      <w:szCs w:val="18"/>
                    </w:rPr>
                  </w:pPr>
                  <w:r>
                    <w:rPr>
                      <w:color w:val="auto"/>
                      <w:sz w:val="18"/>
                      <w:szCs w:val="18"/>
                    </w:rPr>
                    <w:t>√</w:t>
                  </w:r>
                </w:p>
              </w:tc>
              <w:tc>
                <w:tcPr>
                  <w:tcW w:w="840" w:type="dxa"/>
                  <w:vAlign w:val="center"/>
                </w:tcPr>
                <w:p w14:paraId="1B39FA0D">
                  <w:pPr>
                    <w:jc w:val="center"/>
                    <w:rPr>
                      <w:color w:val="auto"/>
                      <w:sz w:val="18"/>
                      <w:szCs w:val="18"/>
                    </w:rPr>
                  </w:pPr>
                  <w:r>
                    <w:rPr>
                      <w:color w:val="auto"/>
                      <w:sz w:val="18"/>
                      <w:szCs w:val="18"/>
                    </w:rPr>
                    <w:t>/</w:t>
                  </w:r>
                </w:p>
              </w:tc>
              <w:tc>
                <w:tcPr>
                  <w:tcW w:w="797" w:type="dxa"/>
                  <w:vMerge w:val="continue"/>
                  <w:vAlign w:val="center"/>
                </w:tcPr>
                <w:p w14:paraId="27ECEEB7">
                  <w:pPr>
                    <w:jc w:val="center"/>
                    <w:rPr>
                      <w:sz w:val="18"/>
                      <w:szCs w:val="18"/>
                    </w:rPr>
                  </w:pPr>
                </w:p>
              </w:tc>
            </w:tr>
            <w:tr w14:paraId="6D190F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vAlign w:val="center"/>
                </w:tcPr>
                <w:p w14:paraId="7C199D4E">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5</w:t>
                  </w:r>
                </w:p>
              </w:tc>
              <w:tc>
                <w:tcPr>
                  <w:tcW w:w="1177" w:type="dxa"/>
                  <w:vAlign w:val="center"/>
                </w:tcPr>
                <w:p w14:paraId="54B9EF8E">
                  <w:pPr>
                    <w:jc w:val="center"/>
                    <w:rPr>
                      <w:rFonts w:hint="eastAsia" w:eastAsia="宋体"/>
                      <w:color w:val="auto"/>
                      <w:sz w:val="18"/>
                      <w:szCs w:val="18"/>
                      <w:lang w:eastAsia="zh-CN"/>
                    </w:rPr>
                  </w:pPr>
                  <w:r>
                    <w:rPr>
                      <w:rFonts w:hint="eastAsia"/>
                      <w:color w:val="auto"/>
                      <w:sz w:val="18"/>
                      <w:szCs w:val="18"/>
                      <w:lang w:eastAsia="zh-CN"/>
                    </w:rPr>
                    <w:t>废活性炭</w:t>
                  </w:r>
                </w:p>
              </w:tc>
              <w:tc>
                <w:tcPr>
                  <w:tcW w:w="1471" w:type="dxa"/>
                  <w:vAlign w:val="center"/>
                </w:tcPr>
                <w:p w14:paraId="6F0E889B">
                  <w:pPr>
                    <w:jc w:val="center"/>
                    <w:rPr>
                      <w:rFonts w:hint="eastAsia" w:eastAsia="宋体"/>
                      <w:color w:val="auto"/>
                      <w:sz w:val="18"/>
                      <w:szCs w:val="18"/>
                      <w:lang w:eastAsia="zh-CN"/>
                    </w:rPr>
                  </w:pPr>
                  <w:r>
                    <w:rPr>
                      <w:rFonts w:hint="eastAsia"/>
                      <w:color w:val="auto"/>
                      <w:sz w:val="18"/>
                      <w:szCs w:val="18"/>
                      <w:lang w:eastAsia="zh-CN"/>
                    </w:rPr>
                    <w:t>废气处理</w:t>
                  </w:r>
                </w:p>
              </w:tc>
              <w:tc>
                <w:tcPr>
                  <w:tcW w:w="645" w:type="dxa"/>
                  <w:vAlign w:val="center"/>
                </w:tcPr>
                <w:p w14:paraId="01D8C92A">
                  <w:pPr>
                    <w:jc w:val="center"/>
                    <w:rPr>
                      <w:rFonts w:hint="eastAsia" w:eastAsia="宋体"/>
                      <w:color w:val="auto"/>
                      <w:sz w:val="18"/>
                      <w:szCs w:val="18"/>
                      <w:lang w:eastAsia="zh-CN"/>
                    </w:rPr>
                  </w:pPr>
                  <w:r>
                    <w:rPr>
                      <w:sz w:val="18"/>
                      <w:szCs w:val="18"/>
                    </w:rPr>
                    <w:t>固态</w:t>
                  </w:r>
                </w:p>
              </w:tc>
              <w:tc>
                <w:tcPr>
                  <w:tcW w:w="840" w:type="dxa"/>
                  <w:vAlign w:val="center"/>
                </w:tcPr>
                <w:p w14:paraId="70194B01">
                  <w:pPr>
                    <w:jc w:val="center"/>
                    <w:rPr>
                      <w:rFonts w:hint="eastAsia" w:eastAsia="宋体"/>
                      <w:color w:val="auto"/>
                      <w:sz w:val="18"/>
                      <w:szCs w:val="18"/>
                      <w:lang w:eastAsia="zh-CN"/>
                    </w:rPr>
                  </w:pPr>
                  <w:r>
                    <w:rPr>
                      <w:rFonts w:hint="eastAsia"/>
                      <w:color w:val="auto"/>
                      <w:sz w:val="18"/>
                      <w:szCs w:val="18"/>
                      <w:lang w:eastAsia="zh-CN"/>
                    </w:rPr>
                    <w:t>有机物</w:t>
                  </w:r>
                </w:p>
              </w:tc>
              <w:tc>
                <w:tcPr>
                  <w:tcW w:w="1080" w:type="dxa"/>
                  <w:vAlign w:val="center"/>
                </w:tcPr>
                <w:p w14:paraId="5D3FDE3C">
                  <w:pPr>
                    <w:jc w:val="center"/>
                    <w:rPr>
                      <w:rFonts w:hint="default"/>
                      <w:color w:val="auto"/>
                      <w:sz w:val="18"/>
                      <w:szCs w:val="18"/>
                      <w:lang w:val="en-US" w:eastAsia="zh-CN"/>
                    </w:rPr>
                  </w:pPr>
                  <w:r>
                    <w:rPr>
                      <w:rFonts w:hint="eastAsia"/>
                      <w:color w:val="auto"/>
                      <w:sz w:val="18"/>
                      <w:szCs w:val="18"/>
                      <w:lang w:val="en-US" w:eastAsia="zh-CN"/>
                    </w:rPr>
                    <w:t>16.58</w:t>
                  </w:r>
                </w:p>
              </w:tc>
              <w:tc>
                <w:tcPr>
                  <w:tcW w:w="750" w:type="dxa"/>
                  <w:vAlign w:val="center"/>
                </w:tcPr>
                <w:p w14:paraId="64664331">
                  <w:pPr>
                    <w:jc w:val="center"/>
                    <w:rPr>
                      <w:color w:val="auto"/>
                      <w:sz w:val="18"/>
                      <w:szCs w:val="18"/>
                    </w:rPr>
                  </w:pPr>
                  <w:r>
                    <w:rPr>
                      <w:color w:val="auto"/>
                      <w:sz w:val="18"/>
                      <w:szCs w:val="18"/>
                    </w:rPr>
                    <w:t>√</w:t>
                  </w:r>
                </w:p>
              </w:tc>
              <w:tc>
                <w:tcPr>
                  <w:tcW w:w="840" w:type="dxa"/>
                  <w:vAlign w:val="center"/>
                </w:tcPr>
                <w:p w14:paraId="62876A80">
                  <w:pPr>
                    <w:jc w:val="center"/>
                    <w:rPr>
                      <w:color w:val="auto"/>
                      <w:sz w:val="18"/>
                      <w:szCs w:val="18"/>
                    </w:rPr>
                  </w:pPr>
                  <w:r>
                    <w:rPr>
                      <w:color w:val="auto"/>
                      <w:sz w:val="18"/>
                      <w:szCs w:val="18"/>
                    </w:rPr>
                    <w:t>/</w:t>
                  </w:r>
                </w:p>
              </w:tc>
              <w:tc>
                <w:tcPr>
                  <w:tcW w:w="797" w:type="dxa"/>
                  <w:vMerge w:val="continue"/>
                  <w:vAlign w:val="center"/>
                </w:tcPr>
                <w:p w14:paraId="5AAD7351">
                  <w:pPr>
                    <w:jc w:val="center"/>
                    <w:rPr>
                      <w:sz w:val="18"/>
                      <w:szCs w:val="18"/>
                    </w:rPr>
                  </w:pPr>
                </w:p>
              </w:tc>
            </w:tr>
            <w:tr w14:paraId="2A07E5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56" w:type="dxa"/>
                  <w:vAlign w:val="center"/>
                </w:tcPr>
                <w:p w14:paraId="5B5355F1">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6</w:t>
                  </w:r>
                </w:p>
              </w:tc>
              <w:tc>
                <w:tcPr>
                  <w:tcW w:w="1177" w:type="dxa"/>
                  <w:vAlign w:val="center"/>
                </w:tcPr>
                <w:p w14:paraId="254C0492">
                  <w:pPr>
                    <w:jc w:val="center"/>
                    <w:rPr>
                      <w:rFonts w:hint="eastAsia" w:eastAsia="宋体"/>
                      <w:color w:val="auto"/>
                      <w:sz w:val="18"/>
                      <w:szCs w:val="18"/>
                      <w:lang w:eastAsia="zh-CN"/>
                    </w:rPr>
                  </w:pPr>
                  <w:r>
                    <w:rPr>
                      <w:rFonts w:hint="eastAsia"/>
                      <w:color w:val="auto"/>
                      <w:sz w:val="18"/>
                      <w:szCs w:val="18"/>
                      <w:lang w:eastAsia="zh-CN"/>
                    </w:rPr>
                    <w:t>喷淋塔废液</w:t>
                  </w:r>
                </w:p>
              </w:tc>
              <w:tc>
                <w:tcPr>
                  <w:tcW w:w="1471" w:type="dxa"/>
                  <w:vAlign w:val="center"/>
                </w:tcPr>
                <w:p w14:paraId="5C00A7B5">
                  <w:pPr>
                    <w:jc w:val="center"/>
                    <w:rPr>
                      <w:rFonts w:hint="eastAsia" w:eastAsia="宋体"/>
                      <w:color w:val="auto"/>
                      <w:sz w:val="18"/>
                      <w:szCs w:val="18"/>
                      <w:lang w:eastAsia="zh-CN"/>
                    </w:rPr>
                  </w:pPr>
                  <w:r>
                    <w:rPr>
                      <w:rFonts w:hint="eastAsia"/>
                      <w:color w:val="auto"/>
                      <w:sz w:val="18"/>
                      <w:szCs w:val="18"/>
                      <w:lang w:eastAsia="zh-CN"/>
                    </w:rPr>
                    <w:t>废气处理</w:t>
                  </w:r>
                </w:p>
              </w:tc>
              <w:tc>
                <w:tcPr>
                  <w:tcW w:w="645" w:type="dxa"/>
                  <w:vAlign w:val="center"/>
                </w:tcPr>
                <w:p w14:paraId="5A33313D">
                  <w:pPr>
                    <w:jc w:val="center"/>
                    <w:rPr>
                      <w:rFonts w:hint="eastAsia" w:eastAsia="宋体"/>
                      <w:color w:val="auto"/>
                      <w:sz w:val="18"/>
                      <w:szCs w:val="18"/>
                      <w:lang w:eastAsia="zh-CN"/>
                    </w:rPr>
                  </w:pPr>
                  <w:r>
                    <w:rPr>
                      <w:rFonts w:hint="eastAsia"/>
                      <w:color w:val="auto"/>
                      <w:sz w:val="18"/>
                      <w:szCs w:val="18"/>
                      <w:lang w:eastAsia="zh-CN"/>
                    </w:rPr>
                    <w:t>液态</w:t>
                  </w:r>
                </w:p>
              </w:tc>
              <w:tc>
                <w:tcPr>
                  <w:tcW w:w="840" w:type="dxa"/>
                  <w:vAlign w:val="center"/>
                </w:tcPr>
                <w:p w14:paraId="4838F108">
                  <w:pPr>
                    <w:jc w:val="center"/>
                    <w:rPr>
                      <w:rFonts w:hint="eastAsia" w:eastAsia="宋体"/>
                      <w:color w:val="auto"/>
                      <w:sz w:val="18"/>
                      <w:szCs w:val="18"/>
                      <w:lang w:eastAsia="zh-CN"/>
                    </w:rPr>
                  </w:pPr>
                  <w:r>
                    <w:rPr>
                      <w:rFonts w:hint="eastAsia"/>
                      <w:color w:val="auto"/>
                      <w:sz w:val="18"/>
                      <w:szCs w:val="18"/>
                      <w:lang w:eastAsia="zh-CN"/>
                    </w:rPr>
                    <w:t>有机物</w:t>
                  </w:r>
                </w:p>
              </w:tc>
              <w:tc>
                <w:tcPr>
                  <w:tcW w:w="1080" w:type="dxa"/>
                  <w:vAlign w:val="center"/>
                </w:tcPr>
                <w:p w14:paraId="54C557AE">
                  <w:pPr>
                    <w:jc w:val="center"/>
                    <w:rPr>
                      <w:rFonts w:hint="default"/>
                      <w:color w:val="auto"/>
                      <w:sz w:val="18"/>
                      <w:szCs w:val="18"/>
                      <w:lang w:val="en-US" w:eastAsia="zh-CN"/>
                    </w:rPr>
                  </w:pPr>
                  <w:r>
                    <w:rPr>
                      <w:rFonts w:hint="eastAsia"/>
                      <w:color w:val="auto"/>
                      <w:sz w:val="18"/>
                      <w:szCs w:val="18"/>
                      <w:lang w:val="en-US" w:eastAsia="zh-CN"/>
                    </w:rPr>
                    <w:t>2.4</w:t>
                  </w:r>
                </w:p>
              </w:tc>
              <w:tc>
                <w:tcPr>
                  <w:tcW w:w="750" w:type="dxa"/>
                  <w:vAlign w:val="center"/>
                </w:tcPr>
                <w:p w14:paraId="6B000EE5">
                  <w:pPr>
                    <w:jc w:val="center"/>
                    <w:rPr>
                      <w:color w:val="auto"/>
                      <w:sz w:val="18"/>
                      <w:szCs w:val="18"/>
                    </w:rPr>
                  </w:pPr>
                  <w:r>
                    <w:rPr>
                      <w:color w:val="auto"/>
                      <w:sz w:val="18"/>
                      <w:szCs w:val="18"/>
                    </w:rPr>
                    <w:t>√</w:t>
                  </w:r>
                </w:p>
              </w:tc>
              <w:tc>
                <w:tcPr>
                  <w:tcW w:w="840" w:type="dxa"/>
                  <w:vAlign w:val="center"/>
                </w:tcPr>
                <w:p w14:paraId="0CF42DA1">
                  <w:pPr>
                    <w:jc w:val="center"/>
                    <w:rPr>
                      <w:color w:val="auto"/>
                      <w:sz w:val="18"/>
                      <w:szCs w:val="18"/>
                    </w:rPr>
                  </w:pPr>
                  <w:r>
                    <w:rPr>
                      <w:color w:val="auto"/>
                      <w:sz w:val="18"/>
                      <w:szCs w:val="18"/>
                    </w:rPr>
                    <w:t>/</w:t>
                  </w:r>
                </w:p>
              </w:tc>
              <w:tc>
                <w:tcPr>
                  <w:tcW w:w="797" w:type="dxa"/>
                  <w:vMerge w:val="continue"/>
                  <w:vAlign w:val="center"/>
                </w:tcPr>
                <w:p w14:paraId="5F3F2A5B">
                  <w:pPr>
                    <w:jc w:val="center"/>
                    <w:rPr>
                      <w:sz w:val="18"/>
                      <w:szCs w:val="18"/>
                    </w:rPr>
                  </w:pPr>
                </w:p>
              </w:tc>
            </w:tr>
            <w:tr w14:paraId="3F9685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56" w:type="dxa"/>
                  <w:vAlign w:val="center"/>
                </w:tcPr>
                <w:p w14:paraId="0428402E">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7</w:t>
                  </w:r>
                </w:p>
              </w:tc>
              <w:tc>
                <w:tcPr>
                  <w:tcW w:w="1177" w:type="dxa"/>
                  <w:vAlign w:val="center"/>
                </w:tcPr>
                <w:p w14:paraId="31BE5F59">
                  <w:pPr>
                    <w:jc w:val="center"/>
                    <w:rPr>
                      <w:rFonts w:hint="eastAsia"/>
                      <w:color w:val="auto"/>
                      <w:sz w:val="18"/>
                      <w:szCs w:val="18"/>
                      <w:lang w:eastAsia="zh-CN"/>
                    </w:rPr>
                  </w:pPr>
                  <w:r>
                    <w:rPr>
                      <w:rFonts w:hint="eastAsia"/>
                      <w:color w:val="auto"/>
                      <w:sz w:val="18"/>
                      <w:szCs w:val="18"/>
                      <w:lang w:eastAsia="zh-CN"/>
                    </w:rPr>
                    <w:t>废滤芯</w:t>
                  </w:r>
                </w:p>
              </w:tc>
              <w:tc>
                <w:tcPr>
                  <w:tcW w:w="1471" w:type="dxa"/>
                  <w:vAlign w:val="center"/>
                </w:tcPr>
                <w:p w14:paraId="027350CC">
                  <w:pPr>
                    <w:pStyle w:val="24"/>
                    <w:ind w:firstLine="0" w:firstLineChars="0"/>
                    <w:rPr>
                      <w:rFonts w:hint="eastAsia"/>
                      <w:color w:val="auto"/>
                      <w:sz w:val="18"/>
                      <w:szCs w:val="18"/>
                    </w:rPr>
                  </w:pPr>
                  <w:r>
                    <w:rPr>
                      <w:rFonts w:hint="eastAsia" w:ascii="Times New Roman" w:hAnsi="Times New Roman" w:eastAsia="宋体" w:cs="Times New Roman"/>
                      <w:color w:val="auto"/>
                      <w:sz w:val="18"/>
                      <w:szCs w:val="18"/>
                      <w:lang w:eastAsia="zh-CN"/>
                    </w:rPr>
                    <w:t>废气处理</w:t>
                  </w:r>
                </w:p>
              </w:tc>
              <w:tc>
                <w:tcPr>
                  <w:tcW w:w="645" w:type="dxa"/>
                  <w:vAlign w:val="center"/>
                </w:tcPr>
                <w:p w14:paraId="36EBD5F4">
                  <w:pPr>
                    <w:pStyle w:val="24"/>
                    <w:ind w:firstLine="0" w:firstLineChars="0"/>
                    <w:rPr>
                      <w:rFonts w:hint="eastAsia"/>
                      <w:color w:val="auto"/>
                      <w:sz w:val="18"/>
                      <w:szCs w:val="18"/>
                    </w:rPr>
                  </w:pPr>
                  <w:r>
                    <w:rPr>
                      <w:rFonts w:hint="eastAsia" w:ascii="Times New Roman" w:hAnsi="Times New Roman" w:eastAsia="宋体" w:cs="Times New Roman"/>
                      <w:color w:val="auto"/>
                      <w:sz w:val="18"/>
                      <w:szCs w:val="18"/>
                      <w:lang w:eastAsia="zh-CN"/>
                    </w:rPr>
                    <w:t>固态</w:t>
                  </w:r>
                </w:p>
              </w:tc>
              <w:tc>
                <w:tcPr>
                  <w:tcW w:w="840" w:type="dxa"/>
                  <w:vAlign w:val="center"/>
                </w:tcPr>
                <w:p w14:paraId="4FA23629">
                  <w:pPr>
                    <w:jc w:val="center"/>
                    <w:rPr>
                      <w:color w:val="auto"/>
                      <w:sz w:val="18"/>
                      <w:szCs w:val="18"/>
                    </w:rPr>
                  </w:pPr>
                  <w:r>
                    <w:rPr>
                      <w:rFonts w:hint="eastAsia"/>
                      <w:color w:val="auto"/>
                      <w:sz w:val="18"/>
                      <w:szCs w:val="18"/>
                      <w:lang w:eastAsia="zh-CN"/>
                    </w:rPr>
                    <w:t>有机物</w:t>
                  </w:r>
                </w:p>
              </w:tc>
              <w:tc>
                <w:tcPr>
                  <w:tcW w:w="1080" w:type="dxa"/>
                  <w:vAlign w:val="center"/>
                </w:tcPr>
                <w:p w14:paraId="68C42038">
                  <w:pPr>
                    <w:jc w:val="center"/>
                    <w:rPr>
                      <w:rFonts w:hint="default"/>
                      <w:color w:val="auto"/>
                      <w:sz w:val="18"/>
                      <w:szCs w:val="18"/>
                      <w:lang w:val="en-US" w:eastAsia="zh-CN"/>
                    </w:rPr>
                  </w:pPr>
                  <w:r>
                    <w:rPr>
                      <w:rFonts w:hint="eastAsia"/>
                      <w:color w:val="auto"/>
                      <w:sz w:val="18"/>
                      <w:szCs w:val="18"/>
                      <w:lang w:val="en-US" w:eastAsia="zh-CN"/>
                    </w:rPr>
                    <w:t>1</w:t>
                  </w:r>
                </w:p>
              </w:tc>
              <w:tc>
                <w:tcPr>
                  <w:tcW w:w="750" w:type="dxa"/>
                  <w:vAlign w:val="center"/>
                </w:tcPr>
                <w:p w14:paraId="7E5A8F7F">
                  <w:pPr>
                    <w:jc w:val="center"/>
                    <w:rPr>
                      <w:color w:val="auto"/>
                      <w:sz w:val="18"/>
                      <w:szCs w:val="18"/>
                    </w:rPr>
                  </w:pPr>
                  <w:r>
                    <w:rPr>
                      <w:color w:val="auto"/>
                      <w:sz w:val="18"/>
                      <w:szCs w:val="18"/>
                    </w:rPr>
                    <w:t>√</w:t>
                  </w:r>
                </w:p>
              </w:tc>
              <w:tc>
                <w:tcPr>
                  <w:tcW w:w="840" w:type="dxa"/>
                  <w:vAlign w:val="center"/>
                </w:tcPr>
                <w:p w14:paraId="11632ECD">
                  <w:pPr>
                    <w:jc w:val="center"/>
                    <w:rPr>
                      <w:color w:val="auto"/>
                      <w:sz w:val="18"/>
                      <w:szCs w:val="18"/>
                    </w:rPr>
                  </w:pPr>
                  <w:r>
                    <w:rPr>
                      <w:color w:val="auto"/>
                      <w:sz w:val="18"/>
                      <w:szCs w:val="18"/>
                    </w:rPr>
                    <w:t>/</w:t>
                  </w:r>
                </w:p>
              </w:tc>
              <w:tc>
                <w:tcPr>
                  <w:tcW w:w="797" w:type="dxa"/>
                  <w:vMerge w:val="continue"/>
                  <w:vAlign w:val="center"/>
                </w:tcPr>
                <w:p w14:paraId="4D3959D4">
                  <w:pPr>
                    <w:jc w:val="center"/>
                    <w:rPr>
                      <w:sz w:val="18"/>
                      <w:szCs w:val="18"/>
                    </w:rPr>
                  </w:pPr>
                </w:p>
              </w:tc>
            </w:tr>
            <w:tr w14:paraId="207F69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56" w:type="dxa"/>
                  <w:vAlign w:val="center"/>
                </w:tcPr>
                <w:p w14:paraId="7BEAFA9C">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8</w:t>
                  </w:r>
                </w:p>
              </w:tc>
              <w:tc>
                <w:tcPr>
                  <w:tcW w:w="1177" w:type="dxa"/>
                  <w:vAlign w:val="center"/>
                </w:tcPr>
                <w:p w14:paraId="5BF42244">
                  <w:pPr>
                    <w:jc w:val="center"/>
                    <w:rPr>
                      <w:rFonts w:hint="eastAsia"/>
                      <w:color w:val="auto"/>
                      <w:sz w:val="18"/>
                      <w:szCs w:val="18"/>
                      <w:lang w:eastAsia="zh-CN"/>
                    </w:rPr>
                  </w:pPr>
                  <w:r>
                    <w:rPr>
                      <w:rFonts w:hint="eastAsia"/>
                      <w:color w:val="auto"/>
                      <w:sz w:val="18"/>
                      <w:szCs w:val="18"/>
                      <w:lang w:eastAsia="zh-CN"/>
                    </w:rPr>
                    <w:t>废润滑油</w:t>
                  </w:r>
                </w:p>
              </w:tc>
              <w:tc>
                <w:tcPr>
                  <w:tcW w:w="1471" w:type="dxa"/>
                  <w:vAlign w:val="center"/>
                </w:tcPr>
                <w:p w14:paraId="5BC6C198">
                  <w:pPr>
                    <w:pStyle w:val="24"/>
                    <w:ind w:firstLine="0" w:firstLineChars="0"/>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设备保养</w:t>
                  </w:r>
                </w:p>
              </w:tc>
              <w:tc>
                <w:tcPr>
                  <w:tcW w:w="645" w:type="dxa"/>
                  <w:vAlign w:val="center"/>
                </w:tcPr>
                <w:p w14:paraId="14F1E9F8">
                  <w:pPr>
                    <w:pStyle w:val="24"/>
                    <w:ind w:firstLine="0" w:firstLineChars="0"/>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液态</w:t>
                  </w:r>
                </w:p>
              </w:tc>
              <w:tc>
                <w:tcPr>
                  <w:tcW w:w="840" w:type="dxa"/>
                  <w:vAlign w:val="center"/>
                </w:tcPr>
                <w:p w14:paraId="6695263A">
                  <w:pPr>
                    <w:jc w:val="center"/>
                    <w:rPr>
                      <w:rFonts w:hint="eastAsia"/>
                      <w:color w:val="auto"/>
                      <w:sz w:val="18"/>
                      <w:szCs w:val="18"/>
                      <w:lang w:eastAsia="zh-CN"/>
                    </w:rPr>
                  </w:pPr>
                  <w:r>
                    <w:rPr>
                      <w:rFonts w:hint="eastAsia"/>
                      <w:color w:val="auto"/>
                      <w:sz w:val="18"/>
                      <w:szCs w:val="18"/>
                      <w:lang w:eastAsia="zh-CN"/>
                    </w:rPr>
                    <w:t>矿物油</w:t>
                  </w:r>
                </w:p>
              </w:tc>
              <w:tc>
                <w:tcPr>
                  <w:tcW w:w="1080" w:type="dxa"/>
                  <w:vAlign w:val="center"/>
                </w:tcPr>
                <w:p w14:paraId="5DA5DA5D">
                  <w:pPr>
                    <w:jc w:val="center"/>
                    <w:rPr>
                      <w:rFonts w:hint="default"/>
                      <w:color w:val="auto"/>
                      <w:sz w:val="18"/>
                      <w:szCs w:val="18"/>
                      <w:lang w:val="en-US" w:eastAsia="zh-CN"/>
                    </w:rPr>
                  </w:pPr>
                  <w:r>
                    <w:rPr>
                      <w:rFonts w:hint="eastAsia"/>
                      <w:color w:val="auto"/>
                      <w:sz w:val="18"/>
                      <w:szCs w:val="18"/>
                      <w:lang w:val="en-US" w:eastAsia="zh-CN"/>
                    </w:rPr>
                    <w:t>1</w:t>
                  </w:r>
                </w:p>
              </w:tc>
              <w:tc>
                <w:tcPr>
                  <w:tcW w:w="750" w:type="dxa"/>
                  <w:vAlign w:val="center"/>
                </w:tcPr>
                <w:p w14:paraId="40530824">
                  <w:pPr>
                    <w:jc w:val="center"/>
                    <w:rPr>
                      <w:color w:val="auto"/>
                      <w:sz w:val="18"/>
                      <w:szCs w:val="18"/>
                    </w:rPr>
                  </w:pPr>
                  <w:r>
                    <w:rPr>
                      <w:color w:val="auto"/>
                      <w:sz w:val="18"/>
                      <w:szCs w:val="18"/>
                    </w:rPr>
                    <w:t>√</w:t>
                  </w:r>
                </w:p>
              </w:tc>
              <w:tc>
                <w:tcPr>
                  <w:tcW w:w="840" w:type="dxa"/>
                  <w:vAlign w:val="center"/>
                </w:tcPr>
                <w:p w14:paraId="03427DCB">
                  <w:pPr>
                    <w:jc w:val="center"/>
                    <w:rPr>
                      <w:color w:val="auto"/>
                      <w:sz w:val="18"/>
                      <w:szCs w:val="18"/>
                    </w:rPr>
                  </w:pPr>
                  <w:r>
                    <w:rPr>
                      <w:color w:val="auto"/>
                      <w:sz w:val="18"/>
                      <w:szCs w:val="18"/>
                    </w:rPr>
                    <w:t>/</w:t>
                  </w:r>
                </w:p>
              </w:tc>
              <w:tc>
                <w:tcPr>
                  <w:tcW w:w="797" w:type="dxa"/>
                  <w:vMerge w:val="continue"/>
                  <w:vAlign w:val="center"/>
                </w:tcPr>
                <w:p w14:paraId="3F6C7F9F">
                  <w:pPr>
                    <w:jc w:val="center"/>
                    <w:rPr>
                      <w:sz w:val="18"/>
                      <w:szCs w:val="18"/>
                    </w:rPr>
                  </w:pPr>
                </w:p>
              </w:tc>
            </w:tr>
            <w:tr w14:paraId="4D94DB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56" w:type="dxa"/>
                  <w:vAlign w:val="center"/>
                </w:tcPr>
                <w:p w14:paraId="6A23B38F">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9</w:t>
                  </w:r>
                </w:p>
              </w:tc>
              <w:tc>
                <w:tcPr>
                  <w:tcW w:w="1177" w:type="dxa"/>
                  <w:vAlign w:val="center"/>
                </w:tcPr>
                <w:p w14:paraId="3B129C63">
                  <w:pPr>
                    <w:jc w:val="center"/>
                    <w:rPr>
                      <w:rFonts w:hint="eastAsia"/>
                      <w:color w:val="auto"/>
                      <w:sz w:val="18"/>
                      <w:szCs w:val="18"/>
                      <w:lang w:eastAsia="zh-CN"/>
                    </w:rPr>
                  </w:pPr>
                  <w:r>
                    <w:rPr>
                      <w:rFonts w:hint="eastAsia"/>
                      <w:color w:val="auto"/>
                      <w:sz w:val="18"/>
                      <w:szCs w:val="18"/>
                      <w:lang w:eastAsia="zh-CN"/>
                    </w:rPr>
                    <w:t>废润滑油桶</w:t>
                  </w:r>
                </w:p>
              </w:tc>
              <w:tc>
                <w:tcPr>
                  <w:tcW w:w="1471" w:type="dxa"/>
                  <w:vAlign w:val="center"/>
                </w:tcPr>
                <w:p w14:paraId="75D3DE2E">
                  <w:pPr>
                    <w:pStyle w:val="24"/>
                    <w:ind w:firstLine="0" w:firstLineChars="0"/>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设备保养</w:t>
                  </w:r>
                </w:p>
              </w:tc>
              <w:tc>
                <w:tcPr>
                  <w:tcW w:w="645" w:type="dxa"/>
                  <w:vAlign w:val="center"/>
                </w:tcPr>
                <w:p w14:paraId="5BC9EDE6">
                  <w:pPr>
                    <w:pStyle w:val="24"/>
                    <w:ind w:firstLine="0" w:firstLineChars="0"/>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固态</w:t>
                  </w:r>
                </w:p>
              </w:tc>
              <w:tc>
                <w:tcPr>
                  <w:tcW w:w="840" w:type="dxa"/>
                  <w:vAlign w:val="center"/>
                </w:tcPr>
                <w:p w14:paraId="59055CFE">
                  <w:pPr>
                    <w:jc w:val="center"/>
                    <w:rPr>
                      <w:rFonts w:hint="eastAsia"/>
                      <w:color w:val="auto"/>
                      <w:sz w:val="18"/>
                      <w:szCs w:val="18"/>
                      <w:lang w:eastAsia="zh-CN"/>
                    </w:rPr>
                  </w:pPr>
                  <w:r>
                    <w:rPr>
                      <w:rFonts w:hint="eastAsia"/>
                      <w:color w:val="auto"/>
                      <w:sz w:val="18"/>
                      <w:szCs w:val="18"/>
                      <w:lang w:eastAsia="zh-CN"/>
                    </w:rPr>
                    <w:t>矿物油</w:t>
                  </w:r>
                </w:p>
              </w:tc>
              <w:tc>
                <w:tcPr>
                  <w:tcW w:w="1080" w:type="dxa"/>
                  <w:vAlign w:val="center"/>
                </w:tcPr>
                <w:p w14:paraId="382CE75D">
                  <w:pPr>
                    <w:jc w:val="center"/>
                    <w:rPr>
                      <w:rFonts w:hint="default"/>
                      <w:color w:val="auto"/>
                      <w:sz w:val="18"/>
                      <w:szCs w:val="18"/>
                      <w:lang w:val="en-US" w:eastAsia="zh-CN"/>
                    </w:rPr>
                  </w:pPr>
                  <w:r>
                    <w:rPr>
                      <w:rFonts w:hint="eastAsia"/>
                      <w:color w:val="auto"/>
                      <w:sz w:val="18"/>
                      <w:szCs w:val="18"/>
                      <w:lang w:val="en-US" w:eastAsia="zh-CN"/>
                    </w:rPr>
                    <w:t>0.5</w:t>
                  </w:r>
                </w:p>
              </w:tc>
              <w:tc>
                <w:tcPr>
                  <w:tcW w:w="750" w:type="dxa"/>
                  <w:vAlign w:val="center"/>
                </w:tcPr>
                <w:p w14:paraId="01B6EEC7">
                  <w:pPr>
                    <w:jc w:val="center"/>
                    <w:rPr>
                      <w:color w:val="auto"/>
                      <w:sz w:val="18"/>
                      <w:szCs w:val="18"/>
                    </w:rPr>
                  </w:pPr>
                  <w:r>
                    <w:rPr>
                      <w:color w:val="auto"/>
                      <w:sz w:val="18"/>
                      <w:szCs w:val="18"/>
                    </w:rPr>
                    <w:t>√</w:t>
                  </w:r>
                </w:p>
              </w:tc>
              <w:tc>
                <w:tcPr>
                  <w:tcW w:w="840" w:type="dxa"/>
                  <w:vAlign w:val="center"/>
                </w:tcPr>
                <w:p w14:paraId="3E262D23">
                  <w:pPr>
                    <w:jc w:val="center"/>
                    <w:rPr>
                      <w:color w:val="auto"/>
                      <w:sz w:val="18"/>
                      <w:szCs w:val="18"/>
                    </w:rPr>
                  </w:pPr>
                  <w:r>
                    <w:rPr>
                      <w:color w:val="auto"/>
                      <w:sz w:val="18"/>
                      <w:szCs w:val="18"/>
                    </w:rPr>
                    <w:t>/</w:t>
                  </w:r>
                </w:p>
              </w:tc>
              <w:tc>
                <w:tcPr>
                  <w:tcW w:w="797" w:type="dxa"/>
                  <w:vMerge w:val="continue"/>
                  <w:vAlign w:val="center"/>
                </w:tcPr>
                <w:p w14:paraId="2BDF1141">
                  <w:pPr>
                    <w:jc w:val="center"/>
                    <w:rPr>
                      <w:sz w:val="18"/>
                      <w:szCs w:val="18"/>
                    </w:rPr>
                  </w:pPr>
                </w:p>
              </w:tc>
            </w:tr>
            <w:tr w14:paraId="308BB8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56" w:type="dxa"/>
                  <w:vAlign w:val="center"/>
                </w:tcPr>
                <w:p w14:paraId="42E36306">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10</w:t>
                  </w:r>
                </w:p>
              </w:tc>
              <w:tc>
                <w:tcPr>
                  <w:tcW w:w="1177" w:type="dxa"/>
                  <w:vAlign w:val="center"/>
                </w:tcPr>
                <w:p w14:paraId="14CAEFC4">
                  <w:pPr>
                    <w:jc w:val="center"/>
                    <w:rPr>
                      <w:color w:val="auto"/>
                      <w:sz w:val="18"/>
                      <w:szCs w:val="18"/>
                    </w:rPr>
                  </w:pPr>
                  <w:r>
                    <w:rPr>
                      <w:rFonts w:hint="eastAsia"/>
                      <w:color w:val="auto"/>
                      <w:sz w:val="18"/>
                      <w:szCs w:val="18"/>
                    </w:rPr>
                    <w:t>生活垃圾</w:t>
                  </w:r>
                </w:p>
              </w:tc>
              <w:tc>
                <w:tcPr>
                  <w:tcW w:w="1471" w:type="dxa"/>
                  <w:vAlign w:val="center"/>
                </w:tcPr>
                <w:p w14:paraId="21877F8E">
                  <w:pPr>
                    <w:jc w:val="center"/>
                    <w:rPr>
                      <w:color w:val="auto"/>
                      <w:sz w:val="18"/>
                      <w:szCs w:val="18"/>
                    </w:rPr>
                  </w:pPr>
                  <w:r>
                    <w:rPr>
                      <w:rFonts w:hint="eastAsia"/>
                      <w:color w:val="auto"/>
                      <w:sz w:val="18"/>
                      <w:szCs w:val="18"/>
                    </w:rPr>
                    <w:t>员工生活</w:t>
                  </w:r>
                </w:p>
              </w:tc>
              <w:tc>
                <w:tcPr>
                  <w:tcW w:w="645" w:type="dxa"/>
                  <w:vAlign w:val="center"/>
                </w:tcPr>
                <w:p w14:paraId="3F58C87E">
                  <w:pPr>
                    <w:jc w:val="center"/>
                    <w:rPr>
                      <w:color w:val="auto"/>
                      <w:sz w:val="18"/>
                      <w:szCs w:val="18"/>
                    </w:rPr>
                  </w:pPr>
                  <w:r>
                    <w:rPr>
                      <w:color w:val="auto"/>
                      <w:sz w:val="18"/>
                      <w:szCs w:val="18"/>
                    </w:rPr>
                    <w:t>固态</w:t>
                  </w:r>
                </w:p>
              </w:tc>
              <w:tc>
                <w:tcPr>
                  <w:tcW w:w="840" w:type="dxa"/>
                  <w:vAlign w:val="center"/>
                </w:tcPr>
                <w:p w14:paraId="0F408FA7">
                  <w:pPr>
                    <w:jc w:val="center"/>
                    <w:rPr>
                      <w:color w:val="auto"/>
                      <w:sz w:val="18"/>
                      <w:szCs w:val="18"/>
                    </w:rPr>
                  </w:pPr>
                  <w:r>
                    <w:rPr>
                      <w:rFonts w:hint="eastAsia"/>
                      <w:color w:val="auto"/>
                      <w:sz w:val="18"/>
                      <w:szCs w:val="18"/>
                    </w:rPr>
                    <w:t>/</w:t>
                  </w:r>
                </w:p>
              </w:tc>
              <w:tc>
                <w:tcPr>
                  <w:tcW w:w="1080" w:type="dxa"/>
                  <w:vAlign w:val="center"/>
                </w:tcPr>
                <w:p w14:paraId="6C0E7174">
                  <w:pPr>
                    <w:jc w:val="center"/>
                    <w:rPr>
                      <w:rFonts w:hint="default" w:eastAsia="宋体"/>
                      <w:color w:val="auto"/>
                      <w:sz w:val="18"/>
                      <w:szCs w:val="18"/>
                      <w:lang w:val="en-US" w:eastAsia="zh-CN"/>
                    </w:rPr>
                  </w:pPr>
                  <w:r>
                    <w:rPr>
                      <w:rFonts w:hint="eastAsia"/>
                      <w:color w:val="auto"/>
                      <w:sz w:val="18"/>
                      <w:szCs w:val="18"/>
                      <w:lang w:val="en-US" w:eastAsia="zh-CN"/>
                    </w:rPr>
                    <w:t>3</w:t>
                  </w:r>
                </w:p>
              </w:tc>
              <w:tc>
                <w:tcPr>
                  <w:tcW w:w="750" w:type="dxa"/>
                  <w:vAlign w:val="center"/>
                </w:tcPr>
                <w:p w14:paraId="12BB1658">
                  <w:pPr>
                    <w:jc w:val="center"/>
                    <w:rPr>
                      <w:color w:val="auto"/>
                      <w:sz w:val="18"/>
                      <w:szCs w:val="18"/>
                    </w:rPr>
                  </w:pPr>
                  <w:r>
                    <w:rPr>
                      <w:color w:val="auto"/>
                      <w:sz w:val="18"/>
                      <w:szCs w:val="18"/>
                    </w:rPr>
                    <w:t>√</w:t>
                  </w:r>
                </w:p>
              </w:tc>
              <w:tc>
                <w:tcPr>
                  <w:tcW w:w="840" w:type="dxa"/>
                  <w:vAlign w:val="center"/>
                </w:tcPr>
                <w:p w14:paraId="69835C79">
                  <w:pPr>
                    <w:jc w:val="center"/>
                    <w:rPr>
                      <w:color w:val="auto"/>
                      <w:sz w:val="18"/>
                      <w:szCs w:val="18"/>
                    </w:rPr>
                  </w:pPr>
                  <w:r>
                    <w:rPr>
                      <w:color w:val="auto"/>
                      <w:sz w:val="18"/>
                      <w:szCs w:val="18"/>
                    </w:rPr>
                    <w:t>/</w:t>
                  </w:r>
                </w:p>
              </w:tc>
              <w:tc>
                <w:tcPr>
                  <w:tcW w:w="797" w:type="dxa"/>
                  <w:vMerge w:val="continue"/>
                  <w:vAlign w:val="center"/>
                </w:tcPr>
                <w:p w14:paraId="7B1BC463">
                  <w:pPr>
                    <w:jc w:val="center"/>
                    <w:rPr>
                      <w:sz w:val="18"/>
                      <w:szCs w:val="18"/>
                    </w:rPr>
                  </w:pPr>
                </w:p>
              </w:tc>
            </w:tr>
          </w:tbl>
          <w:p w14:paraId="01D0A7AB">
            <w:pPr>
              <w:widowControl/>
              <w:spacing w:line="500" w:lineRule="exact"/>
              <w:ind w:firstLine="420" w:firstLineChars="200"/>
              <w:jc w:val="left"/>
            </w:pPr>
            <w:r>
              <w:t xml:space="preserve">3、固体废物产生情况汇总 </w:t>
            </w:r>
          </w:p>
          <w:p w14:paraId="02AE4AFC">
            <w:pPr>
              <w:widowControl/>
              <w:spacing w:line="500" w:lineRule="exact"/>
              <w:ind w:firstLine="420" w:firstLineChars="200"/>
              <w:jc w:val="left"/>
            </w:pPr>
            <w:r>
              <w:t>本项目运营期固体废物产生情况汇总见表 4-2</w:t>
            </w:r>
            <w:r>
              <w:rPr>
                <w:rFonts w:hint="eastAsia"/>
                <w:lang w:val="en-US" w:eastAsia="zh-CN"/>
              </w:rPr>
              <w:t>1</w:t>
            </w:r>
            <w:r>
              <w:t>。</w:t>
            </w:r>
          </w:p>
          <w:p w14:paraId="187AAA19">
            <w:pPr>
              <w:spacing w:line="500" w:lineRule="exact"/>
              <w:jc w:val="center"/>
              <w:rPr>
                <w:b/>
                <w:bCs/>
              </w:rPr>
            </w:pPr>
            <w:r>
              <w:rPr>
                <w:b/>
                <w:bCs/>
              </w:rPr>
              <w:t>表 4-2</w:t>
            </w:r>
            <w:r>
              <w:rPr>
                <w:rFonts w:hint="eastAsia"/>
                <w:b/>
                <w:bCs/>
                <w:lang w:val="en-US" w:eastAsia="zh-CN"/>
              </w:rPr>
              <w:t>1</w:t>
            </w:r>
            <w:r>
              <w:rPr>
                <w:b/>
                <w:bCs/>
              </w:rPr>
              <w:t xml:space="preserve"> 固体废物产生与处置情况汇总表</w:t>
            </w:r>
          </w:p>
          <w:tbl>
            <w:tblPr>
              <w:tblStyle w:val="16"/>
              <w:tblW w:w="809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1"/>
              <w:gridCol w:w="987"/>
              <w:gridCol w:w="611"/>
              <w:gridCol w:w="906"/>
              <w:gridCol w:w="606"/>
              <w:gridCol w:w="737"/>
              <w:gridCol w:w="709"/>
              <w:gridCol w:w="795"/>
              <w:gridCol w:w="787"/>
              <w:gridCol w:w="802"/>
              <w:gridCol w:w="753"/>
            </w:tblGrid>
            <w:tr w14:paraId="67A82D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721" w:hRule="atLeast"/>
              </w:trPr>
              <w:tc>
                <w:tcPr>
                  <w:tcW w:w="401" w:type="dxa"/>
                  <w:vAlign w:val="center"/>
                </w:tcPr>
                <w:p w14:paraId="4F63C20E">
                  <w:pPr>
                    <w:jc w:val="center"/>
                    <w:rPr>
                      <w:color w:val="auto"/>
                      <w:sz w:val="18"/>
                      <w:szCs w:val="18"/>
                    </w:rPr>
                  </w:pPr>
                  <w:r>
                    <w:rPr>
                      <w:color w:val="auto"/>
                      <w:sz w:val="18"/>
                      <w:szCs w:val="18"/>
                    </w:rPr>
                    <w:t>序号</w:t>
                  </w:r>
                </w:p>
              </w:tc>
              <w:tc>
                <w:tcPr>
                  <w:tcW w:w="987" w:type="dxa"/>
                  <w:vAlign w:val="center"/>
                </w:tcPr>
                <w:p w14:paraId="29D689D5">
                  <w:pPr>
                    <w:jc w:val="center"/>
                    <w:rPr>
                      <w:color w:val="auto"/>
                      <w:sz w:val="18"/>
                      <w:szCs w:val="18"/>
                    </w:rPr>
                  </w:pPr>
                  <w:r>
                    <w:rPr>
                      <w:color w:val="auto"/>
                      <w:sz w:val="18"/>
                      <w:szCs w:val="18"/>
                    </w:rPr>
                    <w:t>固废名称</w:t>
                  </w:r>
                </w:p>
              </w:tc>
              <w:tc>
                <w:tcPr>
                  <w:tcW w:w="611" w:type="dxa"/>
                  <w:vAlign w:val="center"/>
                </w:tcPr>
                <w:p w14:paraId="17F959F6">
                  <w:pPr>
                    <w:jc w:val="center"/>
                    <w:rPr>
                      <w:color w:val="auto"/>
                      <w:sz w:val="18"/>
                      <w:szCs w:val="18"/>
                    </w:rPr>
                  </w:pPr>
                  <w:r>
                    <w:rPr>
                      <w:color w:val="auto"/>
                      <w:sz w:val="18"/>
                      <w:szCs w:val="18"/>
                    </w:rPr>
                    <w:t>属性</w:t>
                  </w:r>
                </w:p>
              </w:tc>
              <w:tc>
                <w:tcPr>
                  <w:tcW w:w="906" w:type="dxa"/>
                  <w:vAlign w:val="center"/>
                </w:tcPr>
                <w:p w14:paraId="336832D9">
                  <w:pPr>
                    <w:jc w:val="center"/>
                    <w:rPr>
                      <w:color w:val="auto"/>
                      <w:sz w:val="18"/>
                      <w:szCs w:val="18"/>
                    </w:rPr>
                  </w:pPr>
                  <w:r>
                    <w:rPr>
                      <w:color w:val="auto"/>
                      <w:sz w:val="18"/>
                      <w:szCs w:val="18"/>
                    </w:rPr>
                    <w:t>产生工序</w:t>
                  </w:r>
                </w:p>
              </w:tc>
              <w:tc>
                <w:tcPr>
                  <w:tcW w:w="606" w:type="dxa"/>
                  <w:vAlign w:val="center"/>
                </w:tcPr>
                <w:p w14:paraId="3CED4505">
                  <w:pPr>
                    <w:jc w:val="center"/>
                    <w:rPr>
                      <w:color w:val="auto"/>
                      <w:sz w:val="18"/>
                      <w:szCs w:val="18"/>
                    </w:rPr>
                  </w:pPr>
                  <w:r>
                    <w:rPr>
                      <w:color w:val="auto"/>
                      <w:sz w:val="18"/>
                      <w:szCs w:val="18"/>
                    </w:rPr>
                    <w:t>形态</w:t>
                  </w:r>
                </w:p>
              </w:tc>
              <w:tc>
                <w:tcPr>
                  <w:tcW w:w="737" w:type="dxa"/>
                  <w:vAlign w:val="center"/>
                </w:tcPr>
                <w:p w14:paraId="662AB014">
                  <w:pPr>
                    <w:jc w:val="center"/>
                    <w:rPr>
                      <w:color w:val="auto"/>
                      <w:sz w:val="18"/>
                      <w:szCs w:val="18"/>
                    </w:rPr>
                  </w:pPr>
                  <w:r>
                    <w:rPr>
                      <w:color w:val="auto"/>
                      <w:sz w:val="18"/>
                      <w:szCs w:val="18"/>
                    </w:rPr>
                    <w:t>主要成分</w:t>
                  </w:r>
                </w:p>
              </w:tc>
              <w:tc>
                <w:tcPr>
                  <w:tcW w:w="709" w:type="dxa"/>
                  <w:vAlign w:val="center"/>
                </w:tcPr>
                <w:p w14:paraId="4FB2C1B0">
                  <w:pPr>
                    <w:jc w:val="center"/>
                    <w:rPr>
                      <w:color w:val="auto"/>
                      <w:sz w:val="18"/>
                      <w:szCs w:val="18"/>
                    </w:rPr>
                  </w:pPr>
                  <w:r>
                    <w:rPr>
                      <w:color w:val="auto"/>
                      <w:sz w:val="18"/>
                      <w:szCs w:val="18"/>
                    </w:rPr>
                    <w:t>危险特性</w:t>
                  </w:r>
                </w:p>
              </w:tc>
              <w:tc>
                <w:tcPr>
                  <w:tcW w:w="795" w:type="dxa"/>
                  <w:vAlign w:val="center"/>
                </w:tcPr>
                <w:p w14:paraId="5F4AAE9B">
                  <w:pPr>
                    <w:jc w:val="center"/>
                    <w:rPr>
                      <w:color w:val="auto"/>
                      <w:sz w:val="18"/>
                      <w:szCs w:val="18"/>
                    </w:rPr>
                  </w:pPr>
                  <w:r>
                    <w:rPr>
                      <w:color w:val="auto"/>
                      <w:sz w:val="18"/>
                      <w:szCs w:val="18"/>
                    </w:rPr>
                    <w:t>废物类别</w:t>
                  </w:r>
                </w:p>
              </w:tc>
              <w:tc>
                <w:tcPr>
                  <w:tcW w:w="787" w:type="dxa"/>
                  <w:vAlign w:val="center"/>
                </w:tcPr>
                <w:p w14:paraId="4FC54593">
                  <w:pPr>
                    <w:jc w:val="center"/>
                    <w:rPr>
                      <w:color w:val="auto"/>
                      <w:sz w:val="18"/>
                      <w:szCs w:val="18"/>
                    </w:rPr>
                  </w:pPr>
                  <w:r>
                    <w:rPr>
                      <w:color w:val="auto"/>
                      <w:sz w:val="18"/>
                      <w:szCs w:val="18"/>
                    </w:rPr>
                    <w:t>废物代码</w:t>
                  </w:r>
                </w:p>
              </w:tc>
              <w:tc>
                <w:tcPr>
                  <w:tcW w:w="802" w:type="dxa"/>
                  <w:vAlign w:val="center"/>
                </w:tcPr>
                <w:p w14:paraId="438A301E">
                  <w:pPr>
                    <w:jc w:val="center"/>
                    <w:rPr>
                      <w:color w:val="auto"/>
                      <w:sz w:val="18"/>
                      <w:szCs w:val="18"/>
                    </w:rPr>
                  </w:pPr>
                  <w:r>
                    <w:rPr>
                      <w:color w:val="auto"/>
                      <w:sz w:val="18"/>
                      <w:szCs w:val="18"/>
                    </w:rPr>
                    <w:t>产生量（t/a）</w:t>
                  </w:r>
                </w:p>
              </w:tc>
              <w:tc>
                <w:tcPr>
                  <w:tcW w:w="753" w:type="dxa"/>
                  <w:vAlign w:val="center"/>
                </w:tcPr>
                <w:p w14:paraId="404014E9">
                  <w:pPr>
                    <w:jc w:val="center"/>
                    <w:rPr>
                      <w:color w:val="auto"/>
                      <w:sz w:val="18"/>
                      <w:szCs w:val="18"/>
                    </w:rPr>
                  </w:pPr>
                  <w:r>
                    <w:rPr>
                      <w:color w:val="auto"/>
                      <w:sz w:val="18"/>
                      <w:szCs w:val="18"/>
                    </w:rPr>
                    <w:t>处置方法</w:t>
                  </w:r>
                </w:p>
              </w:tc>
            </w:tr>
            <w:tr w14:paraId="33E6C6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01" w:type="dxa"/>
                  <w:vAlign w:val="center"/>
                </w:tcPr>
                <w:p w14:paraId="79F212A6">
                  <w:pPr>
                    <w:jc w:val="center"/>
                    <w:rPr>
                      <w:color w:val="auto"/>
                      <w:sz w:val="18"/>
                      <w:szCs w:val="18"/>
                    </w:rPr>
                  </w:pPr>
                  <w:r>
                    <w:rPr>
                      <w:color w:val="auto"/>
                      <w:sz w:val="18"/>
                      <w:szCs w:val="18"/>
                    </w:rPr>
                    <w:t>1</w:t>
                  </w:r>
                </w:p>
              </w:tc>
              <w:tc>
                <w:tcPr>
                  <w:tcW w:w="987" w:type="dxa"/>
                  <w:vAlign w:val="center"/>
                </w:tcPr>
                <w:p w14:paraId="029BE33B">
                  <w:pPr>
                    <w:jc w:val="center"/>
                    <w:rPr>
                      <w:color w:val="auto"/>
                      <w:sz w:val="18"/>
                      <w:szCs w:val="18"/>
                    </w:rPr>
                  </w:pPr>
                  <w:r>
                    <w:rPr>
                      <w:rFonts w:hint="eastAsia"/>
                      <w:sz w:val="18"/>
                      <w:szCs w:val="18"/>
                    </w:rPr>
                    <w:t>废包装材料</w:t>
                  </w:r>
                </w:p>
              </w:tc>
              <w:tc>
                <w:tcPr>
                  <w:tcW w:w="611" w:type="dxa"/>
                  <w:vMerge w:val="restart"/>
                  <w:vAlign w:val="center"/>
                </w:tcPr>
                <w:p w14:paraId="14F63CAC">
                  <w:pPr>
                    <w:jc w:val="center"/>
                    <w:rPr>
                      <w:color w:val="auto"/>
                      <w:sz w:val="18"/>
                      <w:szCs w:val="18"/>
                    </w:rPr>
                  </w:pPr>
                  <w:r>
                    <w:rPr>
                      <w:color w:val="auto"/>
                      <w:sz w:val="18"/>
                      <w:szCs w:val="18"/>
                    </w:rPr>
                    <w:t>一般固废</w:t>
                  </w:r>
                </w:p>
              </w:tc>
              <w:tc>
                <w:tcPr>
                  <w:tcW w:w="906" w:type="dxa"/>
                  <w:vAlign w:val="center"/>
                </w:tcPr>
                <w:p w14:paraId="2796E81D">
                  <w:pPr>
                    <w:jc w:val="center"/>
                    <w:rPr>
                      <w:rFonts w:hint="eastAsia" w:eastAsia="宋体"/>
                      <w:color w:val="auto"/>
                      <w:sz w:val="18"/>
                      <w:szCs w:val="18"/>
                      <w:lang w:eastAsia="zh-CN"/>
                    </w:rPr>
                  </w:pPr>
                  <w:r>
                    <w:rPr>
                      <w:rFonts w:hint="eastAsia"/>
                      <w:sz w:val="18"/>
                      <w:szCs w:val="18"/>
                      <w:lang w:eastAsia="zh-CN"/>
                    </w:rPr>
                    <w:t>原辅料使用</w:t>
                  </w:r>
                </w:p>
              </w:tc>
              <w:tc>
                <w:tcPr>
                  <w:tcW w:w="606" w:type="dxa"/>
                  <w:vAlign w:val="center"/>
                </w:tcPr>
                <w:p w14:paraId="34839DA2">
                  <w:pPr>
                    <w:jc w:val="center"/>
                    <w:rPr>
                      <w:color w:val="auto"/>
                      <w:sz w:val="18"/>
                      <w:szCs w:val="18"/>
                    </w:rPr>
                  </w:pPr>
                  <w:r>
                    <w:rPr>
                      <w:sz w:val="18"/>
                      <w:szCs w:val="18"/>
                    </w:rPr>
                    <w:t>固态</w:t>
                  </w:r>
                </w:p>
              </w:tc>
              <w:tc>
                <w:tcPr>
                  <w:tcW w:w="737" w:type="dxa"/>
                  <w:vAlign w:val="center"/>
                </w:tcPr>
                <w:p w14:paraId="6851BE86">
                  <w:pPr>
                    <w:jc w:val="center"/>
                    <w:rPr>
                      <w:color w:val="auto"/>
                      <w:sz w:val="18"/>
                      <w:szCs w:val="18"/>
                    </w:rPr>
                  </w:pPr>
                  <w:r>
                    <w:rPr>
                      <w:rFonts w:hint="eastAsia"/>
                      <w:sz w:val="18"/>
                      <w:szCs w:val="18"/>
                      <w:lang w:val="en-US" w:eastAsia="zh-CN"/>
                    </w:rPr>
                    <w:t>塑料</w:t>
                  </w:r>
                </w:p>
              </w:tc>
              <w:tc>
                <w:tcPr>
                  <w:tcW w:w="709" w:type="dxa"/>
                  <w:vAlign w:val="center"/>
                </w:tcPr>
                <w:p w14:paraId="5C6B29E5">
                  <w:pPr>
                    <w:jc w:val="center"/>
                    <w:rPr>
                      <w:color w:val="auto"/>
                      <w:sz w:val="18"/>
                      <w:szCs w:val="18"/>
                    </w:rPr>
                  </w:pPr>
                  <w:r>
                    <w:rPr>
                      <w:color w:val="auto"/>
                      <w:sz w:val="18"/>
                      <w:szCs w:val="18"/>
                    </w:rPr>
                    <w:t>/</w:t>
                  </w:r>
                </w:p>
              </w:tc>
              <w:tc>
                <w:tcPr>
                  <w:tcW w:w="795" w:type="dxa"/>
                  <w:vAlign w:val="center"/>
                </w:tcPr>
                <w:p w14:paraId="31ED58E3">
                  <w:pPr>
                    <w:jc w:val="center"/>
                    <w:rPr>
                      <w:rFonts w:hint="default" w:eastAsia="宋体"/>
                      <w:color w:val="auto"/>
                      <w:sz w:val="18"/>
                      <w:szCs w:val="18"/>
                      <w:lang w:val="en-US" w:eastAsia="zh-CN"/>
                    </w:rPr>
                  </w:pPr>
                  <w:r>
                    <w:rPr>
                      <w:rFonts w:hint="eastAsia"/>
                      <w:color w:val="auto"/>
                      <w:sz w:val="18"/>
                      <w:szCs w:val="18"/>
                      <w:lang w:val="en-US" w:eastAsia="zh-CN"/>
                    </w:rPr>
                    <w:t>SW17</w:t>
                  </w:r>
                </w:p>
              </w:tc>
              <w:tc>
                <w:tcPr>
                  <w:tcW w:w="787" w:type="dxa"/>
                  <w:vAlign w:val="center"/>
                </w:tcPr>
                <w:p w14:paraId="7BE3C7B1">
                  <w:pPr>
                    <w:jc w:val="center"/>
                    <w:rPr>
                      <w:color w:val="auto"/>
                      <w:sz w:val="18"/>
                      <w:szCs w:val="18"/>
                    </w:rPr>
                  </w:pPr>
                  <w:r>
                    <w:rPr>
                      <w:rFonts w:hint="eastAsia"/>
                      <w:color w:val="auto"/>
                      <w:sz w:val="18"/>
                      <w:szCs w:val="18"/>
                    </w:rPr>
                    <w:t>900-003-S17</w:t>
                  </w:r>
                </w:p>
              </w:tc>
              <w:tc>
                <w:tcPr>
                  <w:tcW w:w="802" w:type="dxa"/>
                  <w:vAlign w:val="center"/>
                </w:tcPr>
                <w:p w14:paraId="7CD0D8FC">
                  <w:pPr>
                    <w:jc w:val="center"/>
                    <w:rPr>
                      <w:rFonts w:hint="default" w:ascii="Times New Roman" w:hAnsi="Times New Roman" w:eastAsia="宋体" w:cs="Times New Roman"/>
                      <w:color w:val="auto"/>
                      <w:sz w:val="18"/>
                      <w:szCs w:val="18"/>
                      <w:lang w:val="en-US" w:eastAsia="zh-CN"/>
                    </w:rPr>
                  </w:pPr>
                  <w:r>
                    <w:rPr>
                      <w:rFonts w:hint="eastAsia"/>
                      <w:sz w:val="18"/>
                      <w:szCs w:val="18"/>
                      <w:lang w:val="en-US" w:eastAsia="zh-CN"/>
                    </w:rPr>
                    <w:t>2</w:t>
                  </w:r>
                </w:p>
              </w:tc>
              <w:tc>
                <w:tcPr>
                  <w:tcW w:w="753" w:type="dxa"/>
                  <w:vAlign w:val="center"/>
                </w:tcPr>
                <w:p w14:paraId="355A495D">
                  <w:pPr>
                    <w:jc w:val="center"/>
                    <w:rPr>
                      <w:color w:val="auto"/>
                      <w:sz w:val="18"/>
                      <w:szCs w:val="18"/>
                    </w:rPr>
                  </w:pPr>
                  <w:r>
                    <w:rPr>
                      <w:color w:val="auto"/>
                      <w:sz w:val="18"/>
                      <w:szCs w:val="18"/>
                    </w:rPr>
                    <w:t>外售</w:t>
                  </w:r>
                </w:p>
              </w:tc>
            </w:tr>
            <w:tr w14:paraId="0069E3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01" w:type="dxa"/>
                  <w:vAlign w:val="center"/>
                </w:tcPr>
                <w:p w14:paraId="6FBBC3AF">
                  <w:pPr>
                    <w:jc w:val="center"/>
                    <w:rPr>
                      <w:rFonts w:hint="eastAsia" w:eastAsia="宋体"/>
                      <w:color w:val="auto"/>
                      <w:sz w:val="18"/>
                      <w:szCs w:val="18"/>
                      <w:lang w:val="en-US" w:eastAsia="zh-CN"/>
                    </w:rPr>
                  </w:pPr>
                  <w:r>
                    <w:rPr>
                      <w:rFonts w:hint="eastAsia"/>
                      <w:color w:val="auto"/>
                      <w:sz w:val="18"/>
                      <w:szCs w:val="18"/>
                      <w:lang w:val="en-US" w:eastAsia="zh-CN"/>
                    </w:rPr>
                    <w:t>2</w:t>
                  </w:r>
                </w:p>
              </w:tc>
              <w:tc>
                <w:tcPr>
                  <w:tcW w:w="987" w:type="dxa"/>
                  <w:vAlign w:val="center"/>
                </w:tcPr>
                <w:p w14:paraId="6413F08B">
                  <w:pPr>
                    <w:jc w:val="center"/>
                    <w:rPr>
                      <w:rFonts w:hint="eastAsia" w:eastAsia="宋体"/>
                      <w:color w:val="auto"/>
                      <w:sz w:val="18"/>
                      <w:szCs w:val="18"/>
                      <w:lang w:eastAsia="zh-CN"/>
                    </w:rPr>
                  </w:pPr>
                  <w:r>
                    <w:rPr>
                      <w:rFonts w:hint="eastAsia"/>
                      <w:color w:val="auto"/>
                      <w:sz w:val="18"/>
                      <w:szCs w:val="18"/>
                      <w:lang w:eastAsia="zh-CN"/>
                    </w:rPr>
                    <w:t>不合格品</w:t>
                  </w:r>
                </w:p>
              </w:tc>
              <w:tc>
                <w:tcPr>
                  <w:tcW w:w="611" w:type="dxa"/>
                  <w:vMerge w:val="continue"/>
                  <w:vAlign w:val="center"/>
                </w:tcPr>
                <w:p w14:paraId="63B66319">
                  <w:pPr>
                    <w:jc w:val="center"/>
                    <w:rPr>
                      <w:color w:val="auto"/>
                      <w:sz w:val="18"/>
                      <w:szCs w:val="18"/>
                    </w:rPr>
                  </w:pPr>
                </w:p>
              </w:tc>
              <w:tc>
                <w:tcPr>
                  <w:tcW w:w="906" w:type="dxa"/>
                  <w:vAlign w:val="center"/>
                </w:tcPr>
                <w:p w14:paraId="220FA2DC">
                  <w:pPr>
                    <w:jc w:val="center"/>
                    <w:rPr>
                      <w:rFonts w:hint="eastAsia"/>
                      <w:color w:val="auto"/>
                      <w:sz w:val="18"/>
                      <w:szCs w:val="18"/>
                      <w:lang w:eastAsia="zh-CN"/>
                    </w:rPr>
                  </w:pPr>
                  <w:r>
                    <w:rPr>
                      <w:rFonts w:hint="eastAsia"/>
                      <w:color w:val="auto"/>
                      <w:sz w:val="18"/>
                      <w:szCs w:val="18"/>
                      <w:lang w:eastAsia="zh-CN"/>
                    </w:rPr>
                    <w:t>挤出</w:t>
                  </w:r>
                </w:p>
              </w:tc>
              <w:tc>
                <w:tcPr>
                  <w:tcW w:w="606" w:type="dxa"/>
                  <w:vAlign w:val="center"/>
                </w:tcPr>
                <w:p w14:paraId="7A41A9D4">
                  <w:pPr>
                    <w:jc w:val="center"/>
                    <w:rPr>
                      <w:rFonts w:hint="eastAsia" w:eastAsia="宋体"/>
                      <w:color w:val="auto"/>
                      <w:sz w:val="18"/>
                      <w:szCs w:val="18"/>
                      <w:lang w:eastAsia="zh-CN"/>
                    </w:rPr>
                  </w:pPr>
                  <w:r>
                    <w:rPr>
                      <w:color w:val="auto"/>
                      <w:sz w:val="18"/>
                      <w:szCs w:val="18"/>
                    </w:rPr>
                    <w:t>固态</w:t>
                  </w:r>
                </w:p>
              </w:tc>
              <w:tc>
                <w:tcPr>
                  <w:tcW w:w="737" w:type="dxa"/>
                  <w:vAlign w:val="center"/>
                </w:tcPr>
                <w:p w14:paraId="14882B16">
                  <w:pPr>
                    <w:jc w:val="center"/>
                    <w:rPr>
                      <w:rFonts w:hint="default"/>
                      <w:color w:val="auto"/>
                      <w:sz w:val="18"/>
                      <w:szCs w:val="18"/>
                      <w:lang w:val="en-US" w:eastAsia="zh-CN"/>
                    </w:rPr>
                  </w:pPr>
                  <w:r>
                    <w:rPr>
                      <w:rFonts w:hint="eastAsia"/>
                      <w:sz w:val="18"/>
                      <w:szCs w:val="18"/>
                      <w:lang w:val="en-US" w:eastAsia="zh-CN"/>
                    </w:rPr>
                    <w:t>塑料</w:t>
                  </w:r>
                </w:p>
              </w:tc>
              <w:tc>
                <w:tcPr>
                  <w:tcW w:w="709" w:type="dxa"/>
                  <w:vAlign w:val="center"/>
                </w:tcPr>
                <w:p w14:paraId="4817E27B">
                  <w:pPr>
                    <w:jc w:val="center"/>
                    <w:rPr>
                      <w:rFonts w:hint="eastAsia" w:eastAsia="宋体"/>
                      <w:color w:val="auto"/>
                      <w:sz w:val="18"/>
                      <w:szCs w:val="18"/>
                      <w:lang w:val="en-US" w:eastAsia="zh-CN"/>
                    </w:rPr>
                  </w:pPr>
                  <w:r>
                    <w:rPr>
                      <w:rFonts w:hint="eastAsia"/>
                      <w:color w:val="auto"/>
                      <w:sz w:val="18"/>
                      <w:szCs w:val="18"/>
                      <w:lang w:val="en-US" w:eastAsia="zh-CN"/>
                    </w:rPr>
                    <w:t>/</w:t>
                  </w:r>
                </w:p>
              </w:tc>
              <w:tc>
                <w:tcPr>
                  <w:tcW w:w="795" w:type="dxa"/>
                  <w:vAlign w:val="center"/>
                </w:tcPr>
                <w:p w14:paraId="7E22575E">
                  <w:pPr>
                    <w:jc w:val="center"/>
                    <w:rPr>
                      <w:rFonts w:hint="eastAsia" w:eastAsia="宋体"/>
                      <w:color w:val="auto"/>
                      <w:sz w:val="18"/>
                      <w:szCs w:val="18"/>
                      <w:lang w:val="en-US" w:eastAsia="zh-CN"/>
                    </w:rPr>
                  </w:pPr>
                  <w:r>
                    <w:rPr>
                      <w:rFonts w:hint="eastAsia"/>
                      <w:color w:val="auto"/>
                      <w:sz w:val="18"/>
                      <w:szCs w:val="18"/>
                      <w:lang w:val="en-US" w:eastAsia="zh-CN"/>
                    </w:rPr>
                    <w:t>SW17</w:t>
                  </w:r>
                </w:p>
              </w:tc>
              <w:tc>
                <w:tcPr>
                  <w:tcW w:w="787" w:type="dxa"/>
                  <w:vAlign w:val="center"/>
                </w:tcPr>
                <w:p w14:paraId="27DD9877">
                  <w:pPr>
                    <w:jc w:val="center"/>
                    <w:rPr>
                      <w:rFonts w:hint="eastAsia" w:eastAsia="宋体"/>
                      <w:color w:val="auto"/>
                      <w:sz w:val="18"/>
                      <w:szCs w:val="18"/>
                      <w:lang w:eastAsia="zh-CN"/>
                    </w:rPr>
                  </w:pPr>
                  <w:r>
                    <w:rPr>
                      <w:rFonts w:hint="eastAsia"/>
                      <w:color w:val="auto"/>
                      <w:sz w:val="18"/>
                      <w:szCs w:val="18"/>
                    </w:rPr>
                    <w:t>900-0</w:t>
                  </w:r>
                  <w:r>
                    <w:rPr>
                      <w:rFonts w:hint="eastAsia"/>
                      <w:color w:val="auto"/>
                      <w:sz w:val="18"/>
                      <w:szCs w:val="18"/>
                      <w:lang w:val="en-US" w:eastAsia="zh-CN"/>
                    </w:rPr>
                    <w:t>03</w:t>
                  </w:r>
                  <w:r>
                    <w:rPr>
                      <w:rFonts w:hint="eastAsia"/>
                      <w:color w:val="auto"/>
                      <w:sz w:val="18"/>
                      <w:szCs w:val="18"/>
                    </w:rPr>
                    <w:t>-S1</w:t>
                  </w:r>
                  <w:r>
                    <w:rPr>
                      <w:rFonts w:hint="eastAsia"/>
                      <w:color w:val="auto"/>
                      <w:sz w:val="18"/>
                      <w:szCs w:val="18"/>
                      <w:lang w:val="en-US" w:eastAsia="zh-CN"/>
                    </w:rPr>
                    <w:t>7</w:t>
                  </w:r>
                </w:p>
              </w:tc>
              <w:tc>
                <w:tcPr>
                  <w:tcW w:w="802" w:type="dxa"/>
                  <w:vAlign w:val="center"/>
                </w:tcPr>
                <w:p w14:paraId="44469BE4">
                  <w:pPr>
                    <w:jc w:val="center"/>
                    <w:rPr>
                      <w:rFonts w:hint="eastAsia" w:ascii="Times New Roman" w:hAnsi="Times New Roman" w:eastAsia="宋体" w:cs="Times New Roman"/>
                      <w:color w:val="auto"/>
                      <w:sz w:val="18"/>
                      <w:szCs w:val="18"/>
                      <w:lang w:val="en-US" w:eastAsia="zh-CN"/>
                    </w:rPr>
                  </w:pPr>
                  <w:r>
                    <w:rPr>
                      <w:rFonts w:hint="eastAsia"/>
                      <w:color w:val="auto"/>
                      <w:sz w:val="18"/>
                      <w:szCs w:val="18"/>
                      <w:lang w:val="en-US" w:eastAsia="zh-CN"/>
                    </w:rPr>
                    <w:t>10</w:t>
                  </w:r>
                </w:p>
              </w:tc>
              <w:tc>
                <w:tcPr>
                  <w:tcW w:w="753" w:type="dxa"/>
                  <w:vAlign w:val="center"/>
                </w:tcPr>
                <w:p w14:paraId="7A072636">
                  <w:pPr>
                    <w:jc w:val="center"/>
                    <w:rPr>
                      <w:rFonts w:hint="eastAsia" w:eastAsia="宋体"/>
                      <w:color w:val="auto"/>
                      <w:sz w:val="18"/>
                      <w:szCs w:val="18"/>
                      <w:lang w:eastAsia="zh-CN"/>
                    </w:rPr>
                  </w:pPr>
                  <w:r>
                    <w:rPr>
                      <w:rFonts w:hint="eastAsia"/>
                      <w:color w:val="auto"/>
                      <w:sz w:val="18"/>
                      <w:szCs w:val="18"/>
                      <w:lang w:eastAsia="zh-CN"/>
                    </w:rPr>
                    <w:t>自行利用</w:t>
                  </w:r>
                </w:p>
              </w:tc>
            </w:tr>
            <w:tr w14:paraId="6D6239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01" w:type="dxa"/>
                  <w:vAlign w:val="center"/>
                </w:tcPr>
                <w:p w14:paraId="1CC94CA4">
                  <w:pPr>
                    <w:jc w:val="center"/>
                    <w:rPr>
                      <w:rFonts w:hint="default"/>
                      <w:color w:val="auto"/>
                      <w:sz w:val="18"/>
                      <w:szCs w:val="18"/>
                      <w:lang w:val="en-US" w:eastAsia="zh-CN"/>
                    </w:rPr>
                  </w:pPr>
                  <w:r>
                    <w:rPr>
                      <w:rFonts w:hint="eastAsia"/>
                      <w:color w:val="auto"/>
                      <w:sz w:val="18"/>
                      <w:szCs w:val="18"/>
                      <w:lang w:val="en-US" w:eastAsia="zh-CN"/>
                    </w:rPr>
                    <w:t>3</w:t>
                  </w:r>
                </w:p>
              </w:tc>
              <w:tc>
                <w:tcPr>
                  <w:tcW w:w="987" w:type="dxa"/>
                  <w:vAlign w:val="center"/>
                </w:tcPr>
                <w:p w14:paraId="12512E29">
                  <w:pPr>
                    <w:jc w:val="center"/>
                    <w:rPr>
                      <w:rFonts w:hint="eastAsia"/>
                      <w:color w:val="auto"/>
                      <w:sz w:val="18"/>
                      <w:szCs w:val="18"/>
                      <w:lang w:eastAsia="zh-CN"/>
                    </w:rPr>
                  </w:pPr>
                  <w:r>
                    <w:rPr>
                      <w:rFonts w:hint="eastAsia"/>
                      <w:color w:val="auto"/>
                      <w:sz w:val="18"/>
                      <w:szCs w:val="18"/>
                    </w:rPr>
                    <w:t>集尘</w:t>
                  </w:r>
                </w:p>
              </w:tc>
              <w:tc>
                <w:tcPr>
                  <w:tcW w:w="611" w:type="dxa"/>
                  <w:vMerge w:val="continue"/>
                  <w:vAlign w:val="center"/>
                </w:tcPr>
                <w:p w14:paraId="78B37016">
                  <w:pPr>
                    <w:jc w:val="center"/>
                    <w:rPr>
                      <w:color w:val="auto"/>
                      <w:sz w:val="18"/>
                      <w:szCs w:val="18"/>
                    </w:rPr>
                  </w:pPr>
                </w:p>
              </w:tc>
              <w:tc>
                <w:tcPr>
                  <w:tcW w:w="906" w:type="dxa"/>
                  <w:vAlign w:val="center"/>
                </w:tcPr>
                <w:p w14:paraId="55481F90">
                  <w:pPr>
                    <w:jc w:val="center"/>
                    <w:rPr>
                      <w:rFonts w:hint="eastAsia"/>
                      <w:color w:val="auto"/>
                      <w:sz w:val="18"/>
                      <w:szCs w:val="18"/>
                      <w:lang w:eastAsia="zh-CN"/>
                    </w:rPr>
                  </w:pPr>
                  <w:r>
                    <w:rPr>
                      <w:color w:val="auto"/>
                      <w:sz w:val="18"/>
                      <w:szCs w:val="18"/>
                    </w:rPr>
                    <w:t>废气处理</w:t>
                  </w:r>
                </w:p>
              </w:tc>
              <w:tc>
                <w:tcPr>
                  <w:tcW w:w="606" w:type="dxa"/>
                  <w:vAlign w:val="center"/>
                </w:tcPr>
                <w:p w14:paraId="501816CD">
                  <w:pPr>
                    <w:jc w:val="center"/>
                    <w:rPr>
                      <w:rFonts w:hint="eastAsia"/>
                      <w:color w:val="auto"/>
                      <w:sz w:val="18"/>
                      <w:szCs w:val="18"/>
                      <w:lang w:eastAsia="zh-CN"/>
                    </w:rPr>
                  </w:pPr>
                  <w:r>
                    <w:rPr>
                      <w:color w:val="auto"/>
                      <w:sz w:val="18"/>
                      <w:szCs w:val="18"/>
                    </w:rPr>
                    <w:t>固态</w:t>
                  </w:r>
                </w:p>
              </w:tc>
              <w:tc>
                <w:tcPr>
                  <w:tcW w:w="737" w:type="dxa"/>
                  <w:vAlign w:val="center"/>
                </w:tcPr>
                <w:p w14:paraId="1772901C">
                  <w:pPr>
                    <w:jc w:val="center"/>
                    <w:rPr>
                      <w:rFonts w:hint="eastAsia"/>
                      <w:color w:val="auto"/>
                      <w:sz w:val="18"/>
                      <w:szCs w:val="18"/>
                      <w:lang w:val="en-US" w:eastAsia="zh-CN"/>
                    </w:rPr>
                  </w:pPr>
                  <w:r>
                    <w:rPr>
                      <w:rFonts w:hint="eastAsia"/>
                      <w:color w:val="auto"/>
                      <w:sz w:val="18"/>
                      <w:szCs w:val="18"/>
                      <w:lang w:eastAsia="zh-CN"/>
                    </w:rPr>
                    <w:t>粉尘</w:t>
                  </w:r>
                </w:p>
              </w:tc>
              <w:tc>
                <w:tcPr>
                  <w:tcW w:w="709" w:type="dxa"/>
                  <w:vAlign w:val="center"/>
                </w:tcPr>
                <w:p w14:paraId="42330167">
                  <w:pPr>
                    <w:jc w:val="center"/>
                    <w:rPr>
                      <w:rFonts w:hint="default"/>
                      <w:color w:val="auto"/>
                      <w:sz w:val="18"/>
                      <w:szCs w:val="18"/>
                      <w:lang w:val="en-US" w:eastAsia="zh-CN"/>
                    </w:rPr>
                  </w:pPr>
                  <w:r>
                    <w:rPr>
                      <w:rFonts w:hint="eastAsia"/>
                      <w:color w:val="auto"/>
                      <w:sz w:val="18"/>
                      <w:szCs w:val="18"/>
                      <w:lang w:val="en-US" w:eastAsia="zh-CN"/>
                    </w:rPr>
                    <w:t>/</w:t>
                  </w:r>
                </w:p>
              </w:tc>
              <w:tc>
                <w:tcPr>
                  <w:tcW w:w="795" w:type="dxa"/>
                  <w:vAlign w:val="center"/>
                </w:tcPr>
                <w:p w14:paraId="499F1D9B">
                  <w:pPr>
                    <w:jc w:val="center"/>
                    <w:rPr>
                      <w:rFonts w:hint="eastAsia"/>
                      <w:color w:val="auto"/>
                      <w:sz w:val="18"/>
                      <w:szCs w:val="18"/>
                      <w:lang w:val="en-US" w:eastAsia="zh-CN"/>
                    </w:rPr>
                  </w:pPr>
                  <w:r>
                    <w:rPr>
                      <w:rFonts w:hint="eastAsia"/>
                      <w:color w:val="auto"/>
                      <w:sz w:val="18"/>
                      <w:szCs w:val="18"/>
                      <w:lang w:val="en-US" w:eastAsia="zh-CN"/>
                    </w:rPr>
                    <w:t>SW59</w:t>
                  </w:r>
                </w:p>
              </w:tc>
              <w:tc>
                <w:tcPr>
                  <w:tcW w:w="787" w:type="dxa"/>
                  <w:vAlign w:val="center"/>
                </w:tcPr>
                <w:p w14:paraId="3BA410D7">
                  <w:pPr>
                    <w:jc w:val="center"/>
                    <w:rPr>
                      <w:rFonts w:hint="eastAsia"/>
                      <w:color w:val="auto"/>
                      <w:sz w:val="18"/>
                      <w:szCs w:val="18"/>
                    </w:rPr>
                  </w:pPr>
                  <w:r>
                    <w:rPr>
                      <w:rFonts w:hint="eastAsia"/>
                      <w:color w:val="auto"/>
                      <w:sz w:val="18"/>
                      <w:szCs w:val="18"/>
                      <w:lang w:val="en-US" w:eastAsia="zh-CN"/>
                    </w:rPr>
                    <w:t>9</w:t>
                  </w:r>
                  <w:r>
                    <w:rPr>
                      <w:rFonts w:hint="eastAsia"/>
                      <w:color w:val="auto"/>
                      <w:sz w:val="18"/>
                      <w:szCs w:val="18"/>
                    </w:rPr>
                    <w:t>00-099-</w:t>
                  </w:r>
                  <w:r>
                    <w:rPr>
                      <w:rFonts w:hint="eastAsia"/>
                      <w:color w:val="auto"/>
                      <w:sz w:val="18"/>
                      <w:szCs w:val="18"/>
                      <w:lang w:val="en-US" w:eastAsia="zh-CN"/>
                    </w:rPr>
                    <w:t>S</w:t>
                  </w:r>
                  <w:r>
                    <w:rPr>
                      <w:rFonts w:hint="eastAsia"/>
                      <w:color w:val="auto"/>
                      <w:sz w:val="18"/>
                      <w:szCs w:val="18"/>
                    </w:rPr>
                    <w:t>59</w:t>
                  </w:r>
                </w:p>
              </w:tc>
              <w:tc>
                <w:tcPr>
                  <w:tcW w:w="802" w:type="dxa"/>
                  <w:vAlign w:val="center"/>
                </w:tcPr>
                <w:p w14:paraId="05E32186">
                  <w:pPr>
                    <w:jc w:val="center"/>
                    <w:rPr>
                      <w:rFonts w:hint="eastAsia" w:ascii="Times New Roman" w:hAnsi="Times New Roman" w:eastAsia="宋体" w:cs="Times New Roman"/>
                      <w:color w:val="auto"/>
                      <w:sz w:val="18"/>
                      <w:szCs w:val="18"/>
                      <w:lang w:val="en-US" w:eastAsia="zh-CN"/>
                    </w:rPr>
                  </w:pPr>
                  <w:r>
                    <w:rPr>
                      <w:rFonts w:hint="eastAsia"/>
                      <w:color w:val="auto"/>
                      <w:sz w:val="18"/>
                      <w:szCs w:val="18"/>
                      <w:lang w:val="en-US" w:eastAsia="zh-CN"/>
                    </w:rPr>
                    <w:t>5.346</w:t>
                  </w:r>
                </w:p>
              </w:tc>
              <w:tc>
                <w:tcPr>
                  <w:tcW w:w="753" w:type="dxa"/>
                  <w:vAlign w:val="center"/>
                </w:tcPr>
                <w:p w14:paraId="2CD1F21B">
                  <w:pPr>
                    <w:jc w:val="center"/>
                    <w:rPr>
                      <w:color w:val="auto"/>
                      <w:sz w:val="18"/>
                      <w:szCs w:val="18"/>
                    </w:rPr>
                  </w:pPr>
                  <w:r>
                    <w:rPr>
                      <w:color w:val="auto"/>
                      <w:sz w:val="18"/>
                      <w:szCs w:val="18"/>
                    </w:rPr>
                    <w:t>外售</w:t>
                  </w:r>
                </w:p>
              </w:tc>
            </w:tr>
            <w:tr w14:paraId="678D31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01" w:type="dxa"/>
                  <w:vAlign w:val="center"/>
                </w:tcPr>
                <w:p w14:paraId="752D4C38">
                  <w:pPr>
                    <w:jc w:val="center"/>
                    <w:rPr>
                      <w:rFonts w:hint="default"/>
                      <w:color w:val="auto"/>
                      <w:sz w:val="18"/>
                      <w:szCs w:val="18"/>
                      <w:lang w:val="en-US" w:eastAsia="zh-CN"/>
                    </w:rPr>
                  </w:pPr>
                  <w:r>
                    <w:rPr>
                      <w:rFonts w:hint="eastAsia"/>
                      <w:color w:val="auto"/>
                      <w:sz w:val="18"/>
                      <w:szCs w:val="18"/>
                      <w:lang w:val="en-US" w:eastAsia="zh-CN"/>
                    </w:rPr>
                    <w:t>4</w:t>
                  </w:r>
                </w:p>
              </w:tc>
              <w:tc>
                <w:tcPr>
                  <w:tcW w:w="987" w:type="dxa"/>
                  <w:vAlign w:val="center"/>
                </w:tcPr>
                <w:p w14:paraId="008562EB">
                  <w:pPr>
                    <w:jc w:val="center"/>
                    <w:rPr>
                      <w:rFonts w:hint="eastAsia"/>
                      <w:color w:val="auto"/>
                      <w:sz w:val="18"/>
                      <w:szCs w:val="18"/>
                      <w:lang w:eastAsia="zh-CN"/>
                    </w:rPr>
                  </w:pPr>
                  <w:r>
                    <w:rPr>
                      <w:rFonts w:hint="eastAsia"/>
                      <w:color w:val="auto"/>
                      <w:sz w:val="18"/>
                      <w:szCs w:val="18"/>
                    </w:rPr>
                    <w:t>废布袋</w:t>
                  </w:r>
                </w:p>
              </w:tc>
              <w:tc>
                <w:tcPr>
                  <w:tcW w:w="611" w:type="dxa"/>
                  <w:vMerge w:val="continue"/>
                  <w:vAlign w:val="center"/>
                </w:tcPr>
                <w:p w14:paraId="47244408">
                  <w:pPr>
                    <w:jc w:val="center"/>
                    <w:rPr>
                      <w:color w:val="auto"/>
                      <w:sz w:val="18"/>
                      <w:szCs w:val="18"/>
                    </w:rPr>
                  </w:pPr>
                </w:p>
              </w:tc>
              <w:tc>
                <w:tcPr>
                  <w:tcW w:w="906" w:type="dxa"/>
                  <w:vAlign w:val="center"/>
                </w:tcPr>
                <w:p w14:paraId="00CE3D50">
                  <w:pPr>
                    <w:jc w:val="center"/>
                    <w:rPr>
                      <w:rFonts w:hint="eastAsia"/>
                      <w:color w:val="auto"/>
                      <w:sz w:val="18"/>
                      <w:szCs w:val="18"/>
                      <w:lang w:eastAsia="zh-CN"/>
                    </w:rPr>
                  </w:pPr>
                  <w:r>
                    <w:rPr>
                      <w:rFonts w:hint="eastAsia"/>
                      <w:color w:val="auto"/>
                      <w:sz w:val="18"/>
                      <w:szCs w:val="18"/>
                      <w:lang w:eastAsia="zh-CN"/>
                    </w:rPr>
                    <w:t>废气处理</w:t>
                  </w:r>
                </w:p>
              </w:tc>
              <w:tc>
                <w:tcPr>
                  <w:tcW w:w="606" w:type="dxa"/>
                  <w:vAlign w:val="center"/>
                </w:tcPr>
                <w:p w14:paraId="551D79AE">
                  <w:pPr>
                    <w:jc w:val="center"/>
                    <w:rPr>
                      <w:rFonts w:hint="eastAsia"/>
                      <w:color w:val="auto"/>
                      <w:sz w:val="18"/>
                      <w:szCs w:val="18"/>
                      <w:lang w:eastAsia="zh-CN"/>
                    </w:rPr>
                  </w:pPr>
                  <w:r>
                    <w:rPr>
                      <w:rFonts w:hint="eastAsia"/>
                      <w:color w:val="auto"/>
                      <w:sz w:val="18"/>
                      <w:szCs w:val="18"/>
                    </w:rPr>
                    <w:t>固</w:t>
                  </w:r>
                  <w:r>
                    <w:rPr>
                      <w:color w:val="auto"/>
                      <w:sz w:val="18"/>
                      <w:szCs w:val="18"/>
                    </w:rPr>
                    <w:t>态</w:t>
                  </w:r>
                </w:p>
              </w:tc>
              <w:tc>
                <w:tcPr>
                  <w:tcW w:w="737" w:type="dxa"/>
                  <w:vAlign w:val="center"/>
                </w:tcPr>
                <w:p w14:paraId="56BF6CAE">
                  <w:pPr>
                    <w:jc w:val="center"/>
                    <w:rPr>
                      <w:rFonts w:hint="eastAsia"/>
                      <w:color w:val="auto"/>
                      <w:sz w:val="18"/>
                      <w:szCs w:val="18"/>
                      <w:lang w:val="en-US" w:eastAsia="zh-CN"/>
                    </w:rPr>
                  </w:pPr>
                  <w:r>
                    <w:rPr>
                      <w:rFonts w:hint="eastAsia"/>
                      <w:color w:val="auto"/>
                      <w:sz w:val="18"/>
                      <w:szCs w:val="18"/>
                      <w:lang w:eastAsia="zh-CN"/>
                    </w:rPr>
                    <w:t>粉尘</w:t>
                  </w:r>
                </w:p>
              </w:tc>
              <w:tc>
                <w:tcPr>
                  <w:tcW w:w="709" w:type="dxa"/>
                  <w:vAlign w:val="center"/>
                </w:tcPr>
                <w:p w14:paraId="166000FC">
                  <w:pPr>
                    <w:jc w:val="center"/>
                    <w:rPr>
                      <w:rFonts w:hint="default"/>
                      <w:color w:val="auto"/>
                      <w:sz w:val="18"/>
                      <w:szCs w:val="18"/>
                      <w:lang w:val="en-US" w:eastAsia="zh-CN"/>
                    </w:rPr>
                  </w:pPr>
                  <w:r>
                    <w:rPr>
                      <w:rFonts w:hint="eastAsia"/>
                      <w:color w:val="auto"/>
                      <w:sz w:val="18"/>
                      <w:szCs w:val="18"/>
                      <w:lang w:val="en-US" w:eastAsia="zh-CN"/>
                    </w:rPr>
                    <w:t>/</w:t>
                  </w:r>
                </w:p>
              </w:tc>
              <w:tc>
                <w:tcPr>
                  <w:tcW w:w="795" w:type="dxa"/>
                  <w:vAlign w:val="center"/>
                </w:tcPr>
                <w:p w14:paraId="5975936A">
                  <w:pPr>
                    <w:jc w:val="center"/>
                    <w:rPr>
                      <w:rFonts w:hint="default"/>
                      <w:color w:val="auto"/>
                      <w:sz w:val="18"/>
                      <w:szCs w:val="18"/>
                      <w:lang w:val="en-US" w:eastAsia="zh-CN"/>
                    </w:rPr>
                  </w:pPr>
                  <w:r>
                    <w:rPr>
                      <w:rFonts w:hint="eastAsia"/>
                      <w:color w:val="auto"/>
                      <w:sz w:val="18"/>
                      <w:szCs w:val="18"/>
                      <w:lang w:val="en-US" w:eastAsia="zh-CN"/>
                    </w:rPr>
                    <w:t>SW59</w:t>
                  </w:r>
                </w:p>
              </w:tc>
              <w:tc>
                <w:tcPr>
                  <w:tcW w:w="787" w:type="dxa"/>
                  <w:vAlign w:val="center"/>
                </w:tcPr>
                <w:p w14:paraId="38A35E2C">
                  <w:pPr>
                    <w:jc w:val="center"/>
                    <w:rPr>
                      <w:rFonts w:hint="default" w:eastAsia="宋体"/>
                      <w:color w:val="auto"/>
                      <w:sz w:val="18"/>
                      <w:szCs w:val="18"/>
                      <w:lang w:val="en-US" w:eastAsia="zh-CN"/>
                    </w:rPr>
                  </w:pPr>
                  <w:r>
                    <w:rPr>
                      <w:rFonts w:hint="eastAsia"/>
                      <w:color w:val="auto"/>
                      <w:sz w:val="18"/>
                      <w:szCs w:val="18"/>
                    </w:rPr>
                    <w:t>900-0</w:t>
                  </w:r>
                  <w:r>
                    <w:rPr>
                      <w:rFonts w:hint="eastAsia"/>
                      <w:color w:val="auto"/>
                      <w:sz w:val="18"/>
                      <w:szCs w:val="18"/>
                      <w:lang w:val="en-US" w:eastAsia="zh-CN"/>
                    </w:rPr>
                    <w:t>99-S59</w:t>
                  </w:r>
                </w:p>
              </w:tc>
              <w:tc>
                <w:tcPr>
                  <w:tcW w:w="802" w:type="dxa"/>
                  <w:vAlign w:val="center"/>
                </w:tcPr>
                <w:p w14:paraId="714F0D67">
                  <w:pPr>
                    <w:jc w:val="center"/>
                    <w:rPr>
                      <w:rFonts w:hint="eastAsia" w:ascii="Times New Roman" w:hAnsi="Times New Roman" w:eastAsia="宋体" w:cs="Times New Roman"/>
                      <w:color w:val="auto"/>
                      <w:sz w:val="18"/>
                      <w:szCs w:val="18"/>
                      <w:lang w:val="en-US" w:eastAsia="zh-CN"/>
                    </w:rPr>
                  </w:pPr>
                  <w:r>
                    <w:rPr>
                      <w:rFonts w:hint="eastAsia"/>
                      <w:color w:val="auto"/>
                      <w:sz w:val="18"/>
                      <w:szCs w:val="18"/>
                      <w:lang w:val="en-US" w:eastAsia="zh-CN"/>
                    </w:rPr>
                    <w:t>0.5</w:t>
                  </w:r>
                </w:p>
              </w:tc>
              <w:tc>
                <w:tcPr>
                  <w:tcW w:w="753" w:type="dxa"/>
                  <w:vAlign w:val="center"/>
                </w:tcPr>
                <w:p w14:paraId="3994DC86">
                  <w:pPr>
                    <w:jc w:val="center"/>
                    <w:rPr>
                      <w:color w:val="auto"/>
                      <w:sz w:val="18"/>
                      <w:szCs w:val="18"/>
                    </w:rPr>
                  </w:pPr>
                  <w:r>
                    <w:rPr>
                      <w:color w:val="auto"/>
                      <w:sz w:val="18"/>
                      <w:szCs w:val="18"/>
                    </w:rPr>
                    <w:t>外售</w:t>
                  </w:r>
                </w:p>
              </w:tc>
            </w:tr>
            <w:tr w14:paraId="2B149E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01" w:type="dxa"/>
                  <w:vAlign w:val="center"/>
                </w:tcPr>
                <w:p w14:paraId="42609F88">
                  <w:pPr>
                    <w:jc w:val="center"/>
                    <w:rPr>
                      <w:rFonts w:hint="eastAsia" w:eastAsia="宋体"/>
                      <w:color w:val="auto"/>
                      <w:sz w:val="18"/>
                      <w:szCs w:val="18"/>
                      <w:lang w:eastAsia="zh-CN"/>
                    </w:rPr>
                  </w:pPr>
                  <w:r>
                    <w:rPr>
                      <w:rFonts w:hint="eastAsia"/>
                      <w:color w:val="auto"/>
                      <w:sz w:val="18"/>
                      <w:szCs w:val="18"/>
                      <w:lang w:val="en-US" w:eastAsia="zh-CN"/>
                    </w:rPr>
                    <w:t>5</w:t>
                  </w:r>
                </w:p>
              </w:tc>
              <w:tc>
                <w:tcPr>
                  <w:tcW w:w="987" w:type="dxa"/>
                  <w:vAlign w:val="center"/>
                </w:tcPr>
                <w:p w14:paraId="692132FD">
                  <w:pPr>
                    <w:jc w:val="center"/>
                    <w:rPr>
                      <w:color w:val="auto"/>
                      <w:sz w:val="18"/>
                      <w:szCs w:val="18"/>
                    </w:rPr>
                  </w:pPr>
                  <w:r>
                    <w:rPr>
                      <w:color w:val="auto"/>
                      <w:sz w:val="18"/>
                      <w:szCs w:val="18"/>
                    </w:rPr>
                    <w:t>废活性炭</w:t>
                  </w:r>
                </w:p>
              </w:tc>
              <w:tc>
                <w:tcPr>
                  <w:tcW w:w="611" w:type="dxa"/>
                  <w:vMerge w:val="restart"/>
                  <w:vAlign w:val="center"/>
                </w:tcPr>
                <w:p w14:paraId="728577E7">
                  <w:pPr>
                    <w:jc w:val="center"/>
                    <w:rPr>
                      <w:color w:val="auto"/>
                      <w:sz w:val="18"/>
                      <w:szCs w:val="18"/>
                    </w:rPr>
                  </w:pPr>
                  <w:r>
                    <w:rPr>
                      <w:color w:val="auto"/>
                      <w:sz w:val="18"/>
                      <w:szCs w:val="18"/>
                    </w:rPr>
                    <w:t>危险废物</w:t>
                  </w:r>
                </w:p>
              </w:tc>
              <w:tc>
                <w:tcPr>
                  <w:tcW w:w="906" w:type="dxa"/>
                  <w:vAlign w:val="center"/>
                </w:tcPr>
                <w:p w14:paraId="12E698AF">
                  <w:pPr>
                    <w:jc w:val="center"/>
                    <w:rPr>
                      <w:color w:val="auto"/>
                      <w:sz w:val="18"/>
                      <w:szCs w:val="18"/>
                    </w:rPr>
                  </w:pPr>
                  <w:r>
                    <w:rPr>
                      <w:rFonts w:hint="eastAsia"/>
                      <w:color w:val="auto"/>
                      <w:sz w:val="18"/>
                      <w:szCs w:val="18"/>
                      <w:lang w:eastAsia="zh-CN"/>
                    </w:rPr>
                    <w:t>废气处理</w:t>
                  </w:r>
                </w:p>
              </w:tc>
              <w:tc>
                <w:tcPr>
                  <w:tcW w:w="606" w:type="dxa"/>
                  <w:vAlign w:val="center"/>
                </w:tcPr>
                <w:p w14:paraId="0E9737FB">
                  <w:pPr>
                    <w:jc w:val="center"/>
                    <w:rPr>
                      <w:color w:val="auto"/>
                      <w:sz w:val="18"/>
                      <w:szCs w:val="18"/>
                    </w:rPr>
                  </w:pPr>
                  <w:r>
                    <w:rPr>
                      <w:sz w:val="18"/>
                      <w:szCs w:val="18"/>
                    </w:rPr>
                    <w:t>固态</w:t>
                  </w:r>
                </w:p>
              </w:tc>
              <w:tc>
                <w:tcPr>
                  <w:tcW w:w="737" w:type="dxa"/>
                  <w:vAlign w:val="center"/>
                </w:tcPr>
                <w:p w14:paraId="71DC3681">
                  <w:pPr>
                    <w:jc w:val="center"/>
                    <w:rPr>
                      <w:color w:val="auto"/>
                      <w:sz w:val="18"/>
                      <w:szCs w:val="18"/>
                    </w:rPr>
                  </w:pPr>
                  <w:r>
                    <w:rPr>
                      <w:rFonts w:hint="eastAsia"/>
                      <w:color w:val="auto"/>
                      <w:sz w:val="18"/>
                      <w:szCs w:val="18"/>
                      <w:lang w:eastAsia="zh-CN"/>
                    </w:rPr>
                    <w:t>有机物</w:t>
                  </w:r>
                </w:p>
              </w:tc>
              <w:tc>
                <w:tcPr>
                  <w:tcW w:w="709" w:type="dxa"/>
                  <w:vAlign w:val="center"/>
                </w:tcPr>
                <w:p w14:paraId="31C478C4">
                  <w:pPr>
                    <w:jc w:val="center"/>
                    <w:rPr>
                      <w:color w:val="auto"/>
                      <w:sz w:val="18"/>
                      <w:szCs w:val="18"/>
                    </w:rPr>
                  </w:pPr>
                  <w:r>
                    <w:rPr>
                      <w:color w:val="auto"/>
                      <w:sz w:val="18"/>
                      <w:szCs w:val="18"/>
                    </w:rPr>
                    <w:t>T</w:t>
                  </w:r>
                </w:p>
              </w:tc>
              <w:tc>
                <w:tcPr>
                  <w:tcW w:w="795" w:type="dxa"/>
                  <w:vAlign w:val="center"/>
                </w:tcPr>
                <w:p w14:paraId="3C6D4260">
                  <w:pPr>
                    <w:jc w:val="center"/>
                    <w:rPr>
                      <w:color w:val="auto"/>
                      <w:sz w:val="18"/>
                      <w:szCs w:val="18"/>
                    </w:rPr>
                  </w:pPr>
                  <w:r>
                    <w:rPr>
                      <w:color w:val="auto"/>
                      <w:sz w:val="18"/>
                      <w:szCs w:val="18"/>
                    </w:rPr>
                    <w:t>HW49</w:t>
                  </w:r>
                </w:p>
              </w:tc>
              <w:tc>
                <w:tcPr>
                  <w:tcW w:w="787" w:type="dxa"/>
                  <w:vAlign w:val="center"/>
                </w:tcPr>
                <w:p w14:paraId="2ABD43DE">
                  <w:pPr>
                    <w:jc w:val="center"/>
                    <w:rPr>
                      <w:color w:val="auto"/>
                      <w:sz w:val="18"/>
                      <w:szCs w:val="18"/>
                    </w:rPr>
                  </w:pPr>
                  <w:r>
                    <w:rPr>
                      <w:color w:val="auto"/>
                      <w:sz w:val="18"/>
                      <w:szCs w:val="18"/>
                    </w:rPr>
                    <w:t>900-039-49</w:t>
                  </w:r>
                </w:p>
              </w:tc>
              <w:tc>
                <w:tcPr>
                  <w:tcW w:w="802" w:type="dxa"/>
                  <w:vAlign w:val="center"/>
                </w:tcPr>
                <w:p w14:paraId="5EE09CF0">
                  <w:pPr>
                    <w:jc w:val="center"/>
                    <w:rPr>
                      <w:rFonts w:hint="default" w:ascii="Times New Roman" w:hAnsi="Times New Roman" w:eastAsia="宋体" w:cs="Times New Roman"/>
                      <w:color w:val="auto"/>
                      <w:sz w:val="18"/>
                      <w:szCs w:val="18"/>
                      <w:lang w:val="en-US" w:eastAsia="zh-CN"/>
                    </w:rPr>
                  </w:pPr>
                  <w:r>
                    <w:rPr>
                      <w:rFonts w:hint="eastAsia"/>
                      <w:color w:val="auto"/>
                      <w:sz w:val="18"/>
                      <w:szCs w:val="18"/>
                      <w:lang w:val="en-US" w:eastAsia="zh-CN"/>
                    </w:rPr>
                    <w:t>16.58</w:t>
                  </w:r>
                </w:p>
              </w:tc>
              <w:tc>
                <w:tcPr>
                  <w:tcW w:w="753" w:type="dxa"/>
                  <w:vMerge w:val="restart"/>
                  <w:vAlign w:val="center"/>
                </w:tcPr>
                <w:p w14:paraId="3EDC68C6">
                  <w:pPr>
                    <w:jc w:val="center"/>
                    <w:rPr>
                      <w:color w:val="auto"/>
                      <w:sz w:val="18"/>
                      <w:szCs w:val="18"/>
                    </w:rPr>
                  </w:pPr>
                  <w:r>
                    <w:rPr>
                      <w:color w:val="auto"/>
                      <w:sz w:val="18"/>
                      <w:szCs w:val="18"/>
                    </w:rPr>
                    <w:t>委托有资质单位处置</w:t>
                  </w:r>
                </w:p>
              </w:tc>
            </w:tr>
            <w:tr w14:paraId="62E3A0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1" w:type="dxa"/>
                  <w:vAlign w:val="center"/>
                </w:tcPr>
                <w:p w14:paraId="2EE0CC32">
                  <w:pPr>
                    <w:jc w:val="center"/>
                    <w:rPr>
                      <w:rFonts w:hint="eastAsia" w:eastAsia="宋体"/>
                      <w:color w:val="auto"/>
                      <w:sz w:val="18"/>
                      <w:szCs w:val="18"/>
                      <w:lang w:val="en-US" w:eastAsia="zh-CN"/>
                    </w:rPr>
                  </w:pPr>
                  <w:r>
                    <w:rPr>
                      <w:rFonts w:hint="eastAsia"/>
                      <w:color w:val="auto"/>
                      <w:sz w:val="18"/>
                      <w:szCs w:val="18"/>
                      <w:lang w:val="en-US" w:eastAsia="zh-CN"/>
                    </w:rPr>
                    <w:t>6</w:t>
                  </w:r>
                </w:p>
              </w:tc>
              <w:tc>
                <w:tcPr>
                  <w:tcW w:w="987" w:type="dxa"/>
                  <w:vAlign w:val="center"/>
                </w:tcPr>
                <w:p w14:paraId="2F059489">
                  <w:pPr>
                    <w:jc w:val="center"/>
                    <w:rPr>
                      <w:color w:val="auto"/>
                      <w:sz w:val="18"/>
                      <w:szCs w:val="18"/>
                    </w:rPr>
                  </w:pPr>
                  <w:r>
                    <w:rPr>
                      <w:rFonts w:hint="eastAsia"/>
                      <w:color w:val="auto"/>
                      <w:sz w:val="18"/>
                      <w:szCs w:val="18"/>
                      <w:lang w:eastAsia="zh-CN"/>
                    </w:rPr>
                    <w:t>喷淋塔废液</w:t>
                  </w:r>
                </w:p>
              </w:tc>
              <w:tc>
                <w:tcPr>
                  <w:tcW w:w="611" w:type="dxa"/>
                  <w:vMerge w:val="continue"/>
                  <w:vAlign w:val="center"/>
                </w:tcPr>
                <w:p w14:paraId="0AEF321A">
                  <w:pPr>
                    <w:jc w:val="center"/>
                    <w:rPr>
                      <w:color w:val="auto"/>
                      <w:sz w:val="18"/>
                      <w:szCs w:val="18"/>
                    </w:rPr>
                  </w:pPr>
                </w:p>
              </w:tc>
              <w:tc>
                <w:tcPr>
                  <w:tcW w:w="906" w:type="dxa"/>
                  <w:vAlign w:val="center"/>
                </w:tcPr>
                <w:p w14:paraId="0FE7DB89">
                  <w:pPr>
                    <w:jc w:val="center"/>
                    <w:rPr>
                      <w:rFonts w:hint="eastAsia"/>
                      <w:color w:val="auto"/>
                      <w:sz w:val="18"/>
                      <w:szCs w:val="18"/>
                    </w:rPr>
                  </w:pPr>
                  <w:r>
                    <w:rPr>
                      <w:rFonts w:hint="eastAsia"/>
                      <w:color w:val="auto"/>
                      <w:sz w:val="18"/>
                      <w:szCs w:val="18"/>
                      <w:lang w:eastAsia="zh-CN"/>
                    </w:rPr>
                    <w:t>废气处理</w:t>
                  </w:r>
                </w:p>
              </w:tc>
              <w:tc>
                <w:tcPr>
                  <w:tcW w:w="606" w:type="dxa"/>
                  <w:vAlign w:val="center"/>
                </w:tcPr>
                <w:p w14:paraId="21FB0E83">
                  <w:pPr>
                    <w:jc w:val="center"/>
                    <w:rPr>
                      <w:rFonts w:hint="eastAsia"/>
                      <w:color w:val="auto"/>
                      <w:sz w:val="18"/>
                      <w:szCs w:val="18"/>
                    </w:rPr>
                  </w:pPr>
                  <w:r>
                    <w:rPr>
                      <w:rFonts w:hint="eastAsia"/>
                      <w:color w:val="auto"/>
                      <w:sz w:val="18"/>
                      <w:szCs w:val="18"/>
                      <w:lang w:eastAsia="zh-CN"/>
                    </w:rPr>
                    <w:t>液态</w:t>
                  </w:r>
                </w:p>
              </w:tc>
              <w:tc>
                <w:tcPr>
                  <w:tcW w:w="737" w:type="dxa"/>
                  <w:vAlign w:val="center"/>
                </w:tcPr>
                <w:p w14:paraId="16A7E1DF">
                  <w:pPr>
                    <w:jc w:val="center"/>
                    <w:rPr>
                      <w:color w:val="auto"/>
                      <w:sz w:val="18"/>
                      <w:szCs w:val="18"/>
                    </w:rPr>
                  </w:pPr>
                  <w:r>
                    <w:rPr>
                      <w:rFonts w:hint="eastAsia"/>
                      <w:color w:val="auto"/>
                      <w:sz w:val="18"/>
                      <w:szCs w:val="18"/>
                      <w:lang w:eastAsia="zh-CN"/>
                    </w:rPr>
                    <w:t>有机物</w:t>
                  </w:r>
                </w:p>
              </w:tc>
              <w:tc>
                <w:tcPr>
                  <w:tcW w:w="709" w:type="dxa"/>
                  <w:vAlign w:val="center"/>
                </w:tcPr>
                <w:p w14:paraId="2221F804">
                  <w:pPr>
                    <w:jc w:val="center"/>
                    <w:rPr>
                      <w:color w:val="auto"/>
                      <w:sz w:val="18"/>
                      <w:szCs w:val="18"/>
                    </w:rPr>
                  </w:pPr>
                  <w:r>
                    <w:rPr>
                      <w:rFonts w:hint="eastAsia"/>
                      <w:color w:val="auto"/>
                      <w:sz w:val="18"/>
                      <w:szCs w:val="18"/>
                    </w:rPr>
                    <w:t>T/C/I/R</w:t>
                  </w:r>
                </w:p>
              </w:tc>
              <w:tc>
                <w:tcPr>
                  <w:tcW w:w="795" w:type="dxa"/>
                  <w:vAlign w:val="center"/>
                </w:tcPr>
                <w:p w14:paraId="7D987BDF">
                  <w:pPr>
                    <w:jc w:val="center"/>
                    <w:rPr>
                      <w:rFonts w:hint="eastAsia"/>
                      <w:color w:val="auto"/>
                      <w:sz w:val="18"/>
                      <w:szCs w:val="18"/>
                    </w:rPr>
                  </w:pPr>
                  <w:r>
                    <w:rPr>
                      <w:rFonts w:hint="eastAsia"/>
                      <w:color w:val="auto"/>
                      <w:sz w:val="18"/>
                      <w:szCs w:val="18"/>
                      <w:lang w:val="en-US" w:eastAsia="zh-CN"/>
                    </w:rPr>
                    <w:t>HW49</w:t>
                  </w:r>
                </w:p>
              </w:tc>
              <w:tc>
                <w:tcPr>
                  <w:tcW w:w="787" w:type="dxa"/>
                  <w:vAlign w:val="center"/>
                </w:tcPr>
                <w:p w14:paraId="50056F8B">
                  <w:pPr>
                    <w:jc w:val="center"/>
                    <w:rPr>
                      <w:rFonts w:hint="eastAsia"/>
                      <w:color w:val="auto"/>
                      <w:sz w:val="18"/>
                      <w:szCs w:val="18"/>
                    </w:rPr>
                  </w:pPr>
                  <w:r>
                    <w:rPr>
                      <w:rFonts w:hint="eastAsia"/>
                      <w:color w:val="auto"/>
                      <w:sz w:val="18"/>
                      <w:szCs w:val="18"/>
                      <w:lang w:val="en-US" w:eastAsia="zh-CN"/>
                    </w:rPr>
                    <w:t>900-047-49</w:t>
                  </w:r>
                </w:p>
              </w:tc>
              <w:tc>
                <w:tcPr>
                  <w:tcW w:w="802" w:type="dxa"/>
                  <w:vAlign w:val="center"/>
                </w:tcPr>
                <w:p w14:paraId="65BF8EDE">
                  <w:pPr>
                    <w:jc w:val="center"/>
                    <w:rPr>
                      <w:rFonts w:hint="default" w:ascii="Times New Roman" w:hAnsi="Times New Roman" w:eastAsia="宋体" w:cs="Times New Roman"/>
                      <w:color w:val="auto"/>
                      <w:sz w:val="18"/>
                      <w:szCs w:val="18"/>
                      <w:lang w:val="en-US" w:eastAsia="zh-CN"/>
                    </w:rPr>
                  </w:pPr>
                  <w:r>
                    <w:rPr>
                      <w:rFonts w:hint="eastAsia"/>
                      <w:color w:val="auto"/>
                      <w:sz w:val="18"/>
                      <w:szCs w:val="18"/>
                      <w:lang w:val="en-US" w:eastAsia="zh-CN"/>
                    </w:rPr>
                    <w:t>2.4</w:t>
                  </w:r>
                </w:p>
              </w:tc>
              <w:tc>
                <w:tcPr>
                  <w:tcW w:w="753" w:type="dxa"/>
                  <w:vMerge w:val="continue"/>
                  <w:vAlign w:val="center"/>
                </w:tcPr>
                <w:p w14:paraId="049CB63E">
                  <w:pPr>
                    <w:jc w:val="center"/>
                    <w:rPr>
                      <w:color w:val="auto"/>
                      <w:sz w:val="18"/>
                      <w:szCs w:val="18"/>
                    </w:rPr>
                  </w:pPr>
                </w:p>
              </w:tc>
            </w:tr>
            <w:tr w14:paraId="27E4D4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1" w:type="dxa"/>
                  <w:vAlign w:val="center"/>
                </w:tcPr>
                <w:p w14:paraId="329B3F8C">
                  <w:pPr>
                    <w:jc w:val="center"/>
                    <w:rPr>
                      <w:rFonts w:hint="eastAsia" w:eastAsia="宋体"/>
                      <w:color w:val="auto"/>
                      <w:sz w:val="18"/>
                      <w:szCs w:val="18"/>
                      <w:lang w:val="en-US" w:eastAsia="zh-CN"/>
                    </w:rPr>
                  </w:pPr>
                  <w:r>
                    <w:rPr>
                      <w:rFonts w:hint="eastAsia"/>
                      <w:color w:val="auto"/>
                      <w:sz w:val="18"/>
                      <w:szCs w:val="18"/>
                      <w:lang w:val="en-US" w:eastAsia="zh-CN"/>
                    </w:rPr>
                    <w:t>7</w:t>
                  </w:r>
                </w:p>
              </w:tc>
              <w:tc>
                <w:tcPr>
                  <w:tcW w:w="987" w:type="dxa"/>
                  <w:vAlign w:val="center"/>
                </w:tcPr>
                <w:p w14:paraId="0B52770C">
                  <w:pPr>
                    <w:pStyle w:val="24"/>
                    <w:ind w:firstLine="0" w:firstLineChars="0"/>
                    <w:rPr>
                      <w:color w:val="auto"/>
                      <w:sz w:val="18"/>
                      <w:szCs w:val="18"/>
                    </w:rPr>
                  </w:pPr>
                  <w:r>
                    <w:rPr>
                      <w:rFonts w:hint="eastAsia" w:ascii="Times New Roman" w:hAnsi="Times New Roman" w:eastAsia="宋体" w:cs="Times New Roman"/>
                      <w:color w:val="auto"/>
                      <w:sz w:val="18"/>
                      <w:szCs w:val="18"/>
                      <w:lang w:eastAsia="zh-CN"/>
                    </w:rPr>
                    <w:t>废滤芯</w:t>
                  </w:r>
                </w:p>
              </w:tc>
              <w:tc>
                <w:tcPr>
                  <w:tcW w:w="611" w:type="dxa"/>
                  <w:vMerge w:val="continue"/>
                  <w:vAlign w:val="center"/>
                </w:tcPr>
                <w:p w14:paraId="332A2295">
                  <w:pPr>
                    <w:jc w:val="center"/>
                    <w:rPr>
                      <w:color w:val="auto"/>
                      <w:sz w:val="18"/>
                      <w:szCs w:val="18"/>
                    </w:rPr>
                  </w:pPr>
                </w:p>
              </w:tc>
              <w:tc>
                <w:tcPr>
                  <w:tcW w:w="906" w:type="dxa"/>
                  <w:vAlign w:val="center"/>
                </w:tcPr>
                <w:p w14:paraId="5715B1E4">
                  <w:pPr>
                    <w:pStyle w:val="24"/>
                    <w:ind w:firstLine="0" w:firstLineChars="0"/>
                    <w:rPr>
                      <w:rFonts w:hint="eastAsia"/>
                      <w:color w:val="auto"/>
                      <w:sz w:val="18"/>
                      <w:szCs w:val="18"/>
                    </w:rPr>
                  </w:pPr>
                  <w:r>
                    <w:rPr>
                      <w:rFonts w:hint="eastAsia" w:ascii="Times New Roman" w:hAnsi="Times New Roman" w:eastAsia="宋体" w:cs="Times New Roman"/>
                      <w:color w:val="auto"/>
                      <w:sz w:val="18"/>
                      <w:szCs w:val="18"/>
                      <w:lang w:eastAsia="zh-CN"/>
                    </w:rPr>
                    <w:t>废气处理</w:t>
                  </w:r>
                </w:p>
              </w:tc>
              <w:tc>
                <w:tcPr>
                  <w:tcW w:w="606" w:type="dxa"/>
                  <w:vAlign w:val="center"/>
                </w:tcPr>
                <w:p w14:paraId="3DB13865">
                  <w:pPr>
                    <w:pStyle w:val="24"/>
                    <w:ind w:firstLine="0" w:firstLineChars="0"/>
                    <w:rPr>
                      <w:rFonts w:hint="eastAsia" w:eastAsia="宋体"/>
                      <w:color w:val="auto"/>
                      <w:sz w:val="18"/>
                      <w:szCs w:val="18"/>
                      <w:lang w:eastAsia="zh-CN"/>
                    </w:rPr>
                  </w:pPr>
                  <w:r>
                    <w:rPr>
                      <w:rFonts w:hint="eastAsia" w:ascii="Times New Roman" w:hAnsi="Times New Roman" w:eastAsia="宋体" w:cs="Times New Roman"/>
                      <w:color w:val="auto"/>
                      <w:sz w:val="18"/>
                      <w:szCs w:val="18"/>
                      <w:lang w:eastAsia="zh-CN"/>
                    </w:rPr>
                    <w:t>固态</w:t>
                  </w:r>
                </w:p>
              </w:tc>
              <w:tc>
                <w:tcPr>
                  <w:tcW w:w="737" w:type="dxa"/>
                  <w:vAlign w:val="center"/>
                </w:tcPr>
                <w:p w14:paraId="5E28B6BA">
                  <w:pPr>
                    <w:jc w:val="center"/>
                    <w:rPr>
                      <w:color w:val="auto"/>
                      <w:sz w:val="18"/>
                      <w:szCs w:val="18"/>
                    </w:rPr>
                  </w:pPr>
                  <w:r>
                    <w:rPr>
                      <w:rFonts w:hint="eastAsia"/>
                      <w:color w:val="auto"/>
                      <w:sz w:val="18"/>
                      <w:szCs w:val="18"/>
                      <w:lang w:eastAsia="zh-CN"/>
                    </w:rPr>
                    <w:t>有机物</w:t>
                  </w:r>
                </w:p>
              </w:tc>
              <w:tc>
                <w:tcPr>
                  <w:tcW w:w="709" w:type="dxa"/>
                  <w:vAlign w:val="center"/>
                </w:tcPr>
                <w:p w14:paraId="4C90CF55">
                  <w:pPr>
                    <w:jc w:val="center"/>
                    <w:rPr>
                      <w:color w:val="auto"/>
                      <w:sz w:val="18"/>
                      <w:szCs w:val="18"/>
                    </w:rPr>
                  </w:pPr>
                  <w:r>
                    <w:rPr>
                      <w:rFonts w:hint="eastAsia"/>
                      <w:color w:val="auto"/>
                      <w:sz w:val="18"/>
                      <w:szCs w:val="18"/>
                      <w:lang w:val="en-US" w:eastAsia="zh-CN"/>
                    </w:rPr>
                    <w:t>T/In</w:t>
                  </w:r>
                </w:p>
              </w:tc>
              <w:tc>
                <w:tcPr>
                  <w:tcW w:w="795" w:type="dxa"/>
                  <w:vAlign w:val="center"/>
                </w:tcPr>
                <w:p w14:paraId="7BCB256F">
                  <w:pPr>
                    <w:jc w:val="center"/>
                    <w:rPr>
                      <w:rFonts w:hint="eastAsia"/>
                      <w:color w:val="auto"/>
                      <w:sz w:val="18"/>
                      <w:szCs w:val="18"/>
                    </w:rPr>
                  </w:pPr>
                  <w:r>
                    <w:rPr>
                      <w:color w:val="auto"/>
                      <w:sz w:val="18"/>
                      <w:szCs w:val="18"/>
                    </w:rPr>
                    <w:t>HW49</w:t>
                  </w:r>
                </w:p>
              </w:tc>
              <w:tc>
                <w:tcPr>
                  <w:tcW w:w="787" w:type="dxa"/>
                  <w:vAlign w:val="center"/>
                </w:tcPr>
                <w:p w14:paraId="291F691A">
                  <w:pPr>
                    <w:jc w:val="center"/>
                    <w:rPr>
                      <w:rFonts w:hint="eastAsia"/>
                      <w:color w:val="auto"/>
                      <w:sz w:val="18"/>
                      <w:szCs w:val="18"/>
                    </w:rPr>
                  </w:pPr>
                  <w:r>
                    <w:rPr>
                      <w:rFonts w:hint="eastAsia"/>
                      <w:color w:val="auto"/>
                      <w:sz w:val="18"/>
                      <w:szCs w:val="18"/>
                    </w:rPr>
                    <w:t>900-041-49</w:t>
                  </w:r>
                </w:p>
              </w:tc>
              <w:tc>
                <w:tcPr>
                  <w:tcW w:w="802" w:type="dxa"/>
                  <w:vAlign w:val="center"/>
                </w:tcPr>
                <w:p w14:paraId="1A1C9831">
                  <w:pPr>
                    <w:jc w:val="center"/>
                    <w:rPr>
                      <w:rFonts w:hint="eastAsia" w:ascii="Times New Roman" w:hAnsi="Times New Roman" w:eastAsia="宋体" w:cs="Times New Roman"/>
                      <w:color w:val="auto"/>
                      <w:sz w:val="18"/>
                      <w:szCs w:val="18"/>
                      <w:lang w:val="en-US" w:eastAsia="zh-CN"/>
                    </w:rPr>
                  </w:pPr>
                  <w:r>
                    <w:rPr>
                      <w:rFonts w:hint="eastAsia"/>
                      <w:color w:val="auto"/>
                      <w:sz w:val="18"/>
                      <w:szCs w:val="18"/>
                      <w:lang w:val="en-US" w:eastAsia="zh-CN"/>
                    </w:rPr>
                    <w:t>1</w:t>
                  </w:r>
                </w:p>
              </w:tc>
              <w:tc>
                <w:tcPr>
                  <w:tcW w:w="753" w:type="dxa"/>
                  <w:vMerge w:val="continue"/>
                  <w:vAlign w:val="center"/>
                </w:tcPr>
                <w:p w14:paraId="12326F02">
                  <w:pPr>
                    <w:jc w:val="center"/>
                    <w:rPr>
                      <w:color w:val="auto"/>
                      <w:sz w:val="18"/>
                      <w:szCs w:val="18"/>
                    </w:rPr>
                  </w:pPr>
                </w:p>
              </w:tc>
            </w:tr>
            <w:tr w14:paraId="34A633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1" w:type="dxa"/>
                  <w:vAlign w:val="center"/>
                </w:tcPr>
                <w:p w14:paraId="15130ED0">
                  <w:pPr>
                    <w:jc w:val="center"/>
                    <w:rPr>
                      <w:rFonts w:hint="eastAsia"/>
                      <w:color w:val="auto"/>
                      <w:sz w:val="18"/>
                      <w:szCs w:val="18"/>
                      <w:lang w:val="en-US" w:eastAsia="zh-CN"/>
                    </w:rPr>
                  </w:pPr>
                  <w:r>
                    <w:rPr>
                      <w:rFonts w:hint="eastAsia"/>
                      <w:color w:val="auto"/>
                      <w:sz w:val="18"/>
                      <w:szCs w:val="18"/>
                      <w:lang w:val="en-US" w:eastAsia="zh-CN"/>
                    </w:rPr>
                    <w:t>8</w:t>
                  </w:r>
                </w:p>
              </w:tc>
              <w:tc>
                <w:tcPr>
                  <w:tcW w:w="987" w:type="dxa"/>
                  <w:vAlign w:val="center"/>
                </w:tcPr>
                <w:p w14:paraId="0AFFED41">
                  <w:pPr>
                    <w:pStyle w:val="24"/>
                    <w:ind w:firstLine="0" w:firstLineChars="0"/>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废润滑油</w:t>
                  </w:r>
                </w:p>
              </w:tc>
              <w:tc>
                <w:tcPr>
                  <w:tcW w:w="611" w:type="dxa"/>
                  <w:vMerge w:val="continue"/>
                  <w:vAlign w:val="center"/>
                </w:tcPr>
                <w:p w14:paraId="0F84B39B">
                  <w:pPr>
                    <w:jc w:val="center"/>
                    <w:rPr>
                      <w:color w:val="auto"/>
                      <w:sz w:val="18"/>
                      <w:szCs w:val="18"/>
                    </w:rPr>
                  </w:pPr>
                </w:p>
              </w:tc>
              <w:tc>
                <w:tcPr>
                  <w:tcW w:w="906" w:type="dxa"/>
                  <w:vAlign w:val="center"/>
                </w:tcPr>
                <w:p w14:paraId="057AFDE5">
                  <w:pPr>
                    <w:pStyle w:val="24"/>
                    <w:ind w:firstLine="0" w:firstLineChars="0"/>
                    <w:rPr>
                      <w:rFonts w:hint="eastAsia"/>
                      <w:color w:val="auto"/>
                      <w:sz w:val="18"/>
                      <w:szCs w:val="18"/>
                      <w:lang w:eastAsia="zh-CN"/>
                    </w:rPr>
                  </w:pPr>
                  <w:r>
                    <w:rPr>
                      <w:rFonts w:hint="eastAsia" w:ascii="Times New Roman" w:hAnsi="Times New Roman" w:eastAsia="宋体" w:cs="Times New Roman"/>
                      <w:color w:val="auto"/>
                      <w:sz w:val="18"/>
                      <w:szCs w:val="18"/>
                      <w:lang w:eastAsia="zh-CN"/>
                    </w:rPr>
                    <w:t>设备保养</w:t>
                  </w:r>
                </w:p>
              </w:tc>
              <w:tc>
                <w:tcPr>
                  <w:tcW w:w="606" w:type="dxa"/>
                  <w:vAlign w:val="center"/>
                </w:tcPr>
                <w:p w14:paraId="6A0EDF9A">
                  <w:pPr>
                    <w:pStyle w:val="24"/>
                    <w:ind w:firstLine="0" w:firstLineChars="0"/>
                    <w:rPr>
                      <w:rFonts w:hint="eastAsia"/>
                      <w:color w:val="auto"/>
                      <w:sz w:val="18"/>
                      <w:szCs w:val="18"/>
                      <w:lang w:eastAsia="zh-CN"/>
                    </w:rPr>
                  </w:pPr>
                  <w:r>
                    <w:rPr>
                      <w:rFonts w:hint="eastAsia" w:ascii="Times New Roman" w:hAnsi="Times New Roman" w:eastAsia="宋体" w:cs="Times New Roman"/>
                      <w:color w:val="auto"/>
                      <w:sz w:val="18"/>
                      <w:szCs w:val="18"/>
                      <w:lang w:eastAsia="zh-CN"/>
                    </w:rPr>
                    <w:t>液态</w:t>
                  </w:r>
                </w:p>
              </w:tc>
              <w:tc>
                <w:tcPr>
                  <w:tcW w:w="737" w:type="dxa"/>
                  <w:vAlign w:val="center"/>
                </w:tcPr>
                <w:p w14:paraId="33C71622">
                  <w:pPr>
                    <w:jc w:val="center"/>
                    <w:rPr>
                      <w:rFonts w:hint="eastAsia" w:ascii="Times New Roman" w:hAnsi="Times New Roman" w:eastAsia="宋体" w:cs="Times New Roman"/>
                      <w:color w:val="auto"/>
                      <w:sz w:val="18"/>
                      <w:szCs w:val="18"/>
                      <w:lang w:eastAsia="zh-CN"/>
                    </w:rPr>
                  </w:pPr>
                  <w:r>
                    <w:rPr>
                      <w:rFonts w:hint="eastAsia"/>
                      <w:color w:val="auto"/>
                      <w:sz w:val="18"/>
                      <w:szCs w:val="18"/>
                      <w:lang w:eastAsia="zh-CN"/>
                    </w:rPr>
                    <w:t>矿物油</w:t>
                  </w:r>
                </w:p>
              </w:tc>
              <w:tc>
                <w:tcPr>
                  <w:tcW w:w="709" w:type="dxa"/>
                  <w:vAlign w:val="center"/>
                </w:tcPr>
                <w:p w14:paraId="3DE60700">
                  <w:pPr>
                    <w:jc w:val="center"/>
                    <w:rPr>
                      <w:rFonts w:hint="eastAsia"/>
                      <w:color w:val="auto"/>
                      <w:sz w:val="18"/>
                      <w:szCs w:val="18"/>
                      <w:lang w:val="en-US" w:eastAsia="zh-CN"/>
                    </w:rPr>
                  </w:pPr>
                  <w:r>
                    <w:rPr>
                      <w:color w:val="auto"/>
                      <w:sz w:val="18"/>
                      <w:szCs w:val="18"/>
                    </w:rPr>
                    <w:t>T、I</w:t>
                  </w:r>
                </w:p>
              </w:tc>
              <w:tc>
                <w:tcPr>
                  <w:tcW w:w="795" w:type="dxa"/>
                  <w:vAlign w:val="center"/>
                </w:tcPr>
                <w:p w14:paraId="18B8EA26">
                  <w:pPr>
                    <w:jc w:val="center"/>
                    <w:rPr>
                      <w:color w:val="auto"/>
                      <w:sz w:val="18"/>
                      <w:szCs w:val="18"/>
                    </w:rPr>
                  </w:pPr>
                  <w:r>
                    <w:rPr>
                      <w:rFonts w:hint="eastAsia"/>
                      <w:color w:val="auto"/>
                      <w:sz w:val="18"/>
                      <w:szCs w:val="18"/>
                      <w:lang w:val="en-US" w:eastAsia="zh-CN"/>
                    </w:rPr>
                    <w:t>HW08</w:t>
                  </w:r>
                </w:p>
              </w:tc>
              <w:tc>
                <w:tcPr>
                  <w:tcW w:w="787" w:type="dxa"/>
                  <w:vAlign w:val="center"/>
                </w:tcPr>
                <w:p w14:paraId="6A30B414">
                  <w:pPr>
                    <w:jc w:val="center"/>
                    <w:rPr>
                      <w:rFonts w:hint="eastAsia"/>
                      <w:color w:val="auto"/>
                      <w:sz w:val="18"/>
                      <w:szCs w:val="18"/>
                    </w:rPr>
                  </w:pPr>
                  <w:r>
                    <w:rPr>
                      <w:rFonts w:hint="eastAsia"/>
                      <w:color w:val="auto"/>
                      <w:sz w:val="18"/>
                      <w:szCs w:val="18"/>
                    </w:rPr>
                    <w:t>900-249-08</w:t>
                  </w:r>
                </w:p>
              </w:tc>
              <w:tc>
                <w:tcPr>
                  <w:tcW w:w="802" w:type="dxa"/>
                  <w:vAlign w:val="center"/>
                </w:tcPr>
                <w:p w14:paraId="00419C3A">
                  <w:pPr>
                    <w:jc w:val="center"/>
                    <w:rPr>
                      <w:rFonts w:hint="default" w:ascii="Times New Roman" w:hAnsi="Times New Roman" w:eastAsia="宋体" w:cs="Times New Roman"/>
                      <w:color w:val="auto"/>
                      <w:sz w:val="18"/>
                      <w:szCs w:val="18"/>
                      <w:lang w:val="en-US" w:eastAsia="zh-CN"/>
                    </w:rPr>
                  </w:pPr>
                  <w:r>
                    <w:rPr>
                      <w:rFonts w:hint="eastAsia"/>
                      <w:color w:val="auto"/>
                      <w:sz w:val="18"/>
                      <w:szCs w:val="18"/>
                      <w:lang w:val="en-US" w:eastAsia="zh-CN"/>
                    </w:rPr>
                    <w:t>1</w:t>
                  </w:r>
                </w:p>
              </w:tc>
              <w:tc>
                <w:tcPr>
                  <w:tcW w:w="753" w:type="dxa"/>
                  <w:vMerge w:val="continue"/>
                  <w:vAlign w:val="center"/>
                </w:tcPr>
                <w:p w14:paraId="2FFFE27B">
                  <w:pPr>
                    <w:jc w:val="center"/>
                    <w:rPr>
                      <w:color w:val="auto"/>
                      <w:sz w:val="18"/>
                      <w:szCs w:val="18"/>
                    </w:rPr>
                  </w:pPr>
                </w:p>
              </w:tc>
            </w:tr>
            <w:tr w14:paraId="418D2F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01" w:type="dxa"/>
                  <w:vAlign w:val="center"/>
                </w:tcPr>
                <w:p w14:paraId="77E61083">
                  <w:pPr>
                    <w:jc w:val="center"/>
                    <w:rPr>
                      <w:rFonts w:hint="default"/>
                      <w:color w:val="auto"/>
                      <w:sz w:val="18"/>
                      <w:szCs w:val="18"/>
                      <w:lang w:val="en-US" w:eastAsia="zh-CN"/>
                    </w:rPr>
                  </w:pPr>
                  <w:r>
                    <w:rPr>
                      <w:rFonts w:hint="eastAsia"/>
                      <w:color w:val="auto"/>
                      <w:sz w:val="18"/>
                      <w:szCs w:val="18"/>
                      <w:lang w:val="en-US" w:eastAsia="zh-CN"/>
                    </w:rPr>
                    <w:t>9</w:t>
                  </w:r>
                </w:p>
              </w:tc>
              <w:tc>
                <w:tcPr>
                  <w:tcW w:w="987" w:type="dxa"/>
                  <w:vAlign w:val="center"/>
                </w:tcPr>
                <w:p w14:paraId="4D670379">
                  <w:pPr>
                    <w:pStyle w:val="24"/>
                    <w:ind w:firstLine="0" w:firstLineChars="0"/>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废润滑油桶</w:t>
                  </w:r>
                </w:p>
              </w:tc>
              <w:tc>
                <w:tcPr>
                  <w:tcW w:w="611" w:type="dxa"/>
                  <w:vMerge w:val="continue"/>
                  <w:vAlign w:val="center"/>
                </w:tcPr>
                <w:p w14:paraId="4E58CAF8">
                  <w:pPr>
                    <w:jc w:val="center"/>
                    <w:rPr>
                      <w:color w:val="auto"/>
                      <w:sz w:val="18"/>
                      <w:szCs w:val="18"/>
                    </w:rPr>
                  </w:pPr>
                </w:p>
              </w:tc>
              <w:tc>
                <w:tcPr>
                  <w:tcW w:w="906" w:type="dxa"/>
                  <w:vAlign w:val="center"/>
                </w:tcPr>
                <w:p w14:paraId="0C6A2571">
                  <w:pPr>
                    <w:pStyle w:val="24"/>
                    <w:ind w:firstLine="0" w:firstLineChars="0"/>
                    <w:rPr>
                      <w:rFonts w:hint="eastAsia"/>
                      <w:color w:val="auto"/>
                      <w:sz w:val="18"/>
                      <w:szCs w:val="18"/>
                      <w:lang w:eastAsia="zh-CN"/>
                    </w:rPr>
                  </w:pPr>
                  <w:r>
                    <w:rPr>
                      <w:rFonts w:hint="eastAsia" w:ascii="Times New Roman" w:hAnsi="Times New Roman" w:eastAsia="宋体" w:cs="Times New Roman"/>
                      <w:color w:val="auto"/>
                      <w:sz w:val="18"/>
                      <w:szCs w:val="18"/>
                      <w:lang w:eastAsia="zh-CN"/>
                    </w:rPr>
                    <w:t>设备保养</w:t>
                  </w:r>
                </w:p>
              </w:tc>
              <w:tc>
                <w:tcPr>
                  <w:tcW w:w="606" w:type="dxa"/>
                  <w:vAlign w:val="center"/>
                </w:tcPr>
                <w:p w14:paraId="328266DD">
                  <w:pPr>
                    <w:pStyle w:val="24"/>
                    <w:ind w:firstLine="0" w:firstLineChars="0"/>
                    <w:rPr>
                      <w:rFonts w:hint="eastAsia"/>
                      <w:color w:val="auto"/>
                      <w:sz w:val="18"/>
                      <w:szCs w:val="18"/>
                      <w:lang w:eastAsia="zh-CN"/>
                    </w:rPr>
                  </w:pPr>
                  <w:r>
                    <w:rPr>
                      <w:rFonts w:hint="eastAsia" w:ascii="Times New Roman" w:hAnsi="Times New Roman" w:eastAsia="宋体" w:cs="Times New Roman"/>
                      <w:color w:val="auto"/>
                      <w:sz w:val="18"/>
                      <w:szCs w:val="18"/>
                      <w:lang w:eastAsia="zh-CN"/>
                    </w:rPr>
                    <w:t>固态</w:t>
                  </w:r>
                </w:p>
              </w:tc>
              <w:tc>
                <w:tcPr>
                  <w:tcW w:w="737" w:type="dxa"/>
                  <w:vAlign w:val="center"/>
                </w:tcPr>
                <w:p w14:paraId="7FFAF6B6">
                  <w:pPr>
                    <w:jc w:val="center"/>
                    <w:rPr>
                      <w:rFonts w:hint="eastAsia" w:ascii="Times New Roman" w:hAnsi="Times New Roman" w:eastAsia="宋体" w:cs="Times New Roman"/>
                      <w:color w:val="auto"/>
                      <w:sz w:val="18"/>
                      <w:szCs w:val="18"/>
                      <w:lang w:eastAsia="zh-CN"/>
                    </w:rPr>
                  </w:pPr>
                  <w:r>
                    <w:rPr>
                      <w:rFonts w:hint="eastAsia"/>
                      <w:color w:val="auto"/>
                      <w:sz w:val="18"/>
                      <w:szCs w:val="18"/>
                      <w:lang w:eastAsia="zh-CN"/>
                    </w:rPr>
                    <w:t>矿物油</w:t>
                  </w:r>
                </w:p>
              </w:tc>
              <w:tc>
                <w:tcPr>
                  <w:tcW w:w="709" w:type="dxa"/>
                  <w:vAlign w:val="center"/>
                </w:tcPr>
                <w:p w14:paraId="7AFEADD5">
                  <w:pPr>
                    <w:jc w:val="center"/>
                    <w:rPr>
                      <w:color w:val="auto"/>
                      <w:sz w:val="18"/>
                      <w:szCs w:val="18"/>
                    </w:rPr>
                  </w:pPr>
                  <w:r>
                    <w:rPr>
                      <w:color w:val="auto"/>
                      <w:sz w:val="18"/>
                      <w:szCs w:val="18"/>
                    </w:rPr>
                    <w:t>T、I</w:t>
                  </w:r>
                </w:p>
              </w:tc>
              <w:tc>
                <w:tcPr>
                  <w:tcW w:w="795" w:type="dxa"/>
                  <w:vAlign w:val="center"/>
                </w:tcPr>
                <w:p w14:paraId="15C4A6D5">
                  <w:pPr>
                    <w:jc w:val="center"/>
                    <w:rPr>
                      <w:rFonts w:hint="eastAsia"/>
                      <w:color w:val="auto"/>
                      <w:sz w:val="18"/>
                      <w:szCs w:val="18"/>
                      <w:lang w:val="en-US" w:eastAsia="zh-CN"/>
                    </w:rPr>
                  </w:pPr>
                  <w:r>
                    <w:rPr>
                      <w:rFonts w:hint="eastAsia"/>
                      <w:color w:val="auto"/>
                      <w:sz w:val="18"/>
                      <w:szCs w:val="18"/>
                      <w:lang w:val="en-US" w:eastAsia="zh-CN"/>
                    </w:rPr>
                    <w:t>HW08</w:t>
                  </w:r>
                </w:p>
              </w:tc>
              <w:tc>
                <w:tcPr>
                  <w:tcW w:w="787" w:type="dxa"/>
                  <w:vAlign w:val="center"/>
                </w:tcPr>
                <w:p w14:paraId="6FB72D1F">
                  <w:pPr>
                    <w:jc w:val="center"/>
                    <w:rPr>
                      <w:rFonts w:hint="eastAsia"/>
                      <w:color w:val="auto"/>
                      <w:sz w:val="18"/>
                      <w:szCs w:val="18"/>
                    </w:rPr>
                  </w:pPr>
                  <w:r>
                    <w:rPr>
                      <w:rFonts w:hint="eastAsia"/>
                      <w:color w:val="auto"/>
                      <w:sz w:val="18"/>
                      <w:szCs w:val="18"/>
                    </w:rPr>
                    <w:t>900-249-08</w:t>
                  </w:r>
                </w:p>
              </w:tc>
              <w:tc>
                <w:tcPr>
                  <w:tcW w:w="802" w:type="dxa"/>
                  <w:vAlign w:val="center"/>
                </w:tcPr>
                <w:p w14:paraId="79368D89">
                  <w:pPr>
                    <w:jc w:val="center"/>
                    <w:rPr>
                      <w:rFonts w:hint="default" w:ascii="Times New Roman" w:hAnsi="Times New Roman" w:eastAsia="宋体" w:cs="Times New Roman"/>
                      <w:color w:val="auto"/>
                      <w:sz w:val="18"/>
                      <w:szCs w:val="18"/>
                      <w:lang w:val="en-US" w:eastAsia="zh-CN"/>
                    </w:rPr>
                  </w:pPr>
                  <w:r>
                    <w:rPr>
                      <w:rFonts w:hint="eastAsia"/>
                      <w:color w:val="auto"/>
                      <w:sz w:val="18"/>
                      <w:szCs w:val="18"/>
                      <w:lang w:val="en-US" w:eastAsia="zh-CN"/>
                    </w:rPr>
                    <w:t>0.5</w:t>
                  </w:r>
                </w:p>
              </w:tc>
              <w:tc>
                <w:tcPr>
                  <w:tcW w:w="753" w:type="dxa"/>
                  <w:vMerge w:val="continue"/>
                  <w:vAlign w:val="center"/>
                </w:tcPr>
                <w:p w14:paraId="1702EFDC">
                  <w:pPr>
                    <w:jc w:val="center"/>
                    <w:rPr>
                      <w:color w:val="auto"/>
                      <w:sz w:val="18"/>
                      <w:szCs w:val="18"/>
                    </w:rPr>
                  </w:pPr>
                </w:p>
              </w:tc>
            </w:tr>
            <w:tr w14:paraId="61960D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01" w:type="dxa"/>
                  <w:vAlign w:val="center"/>
                </w:tcPr>
                <w:p w14:paraId="4A47E76A">
                  <w:pPr>
                    <w:jc w:val="center"/>
                    <w:rPr>
                      <w:rFonts w:hint="default" w:eastAsia="宋体"/>
                      <w:color w:val="auto"/>
                      <w:sz w:val="18"/>
                      <w:szCs w:val="18"/>
                      <w:lang w:val="en-US" w:eastAsia="zh-CN"/>
                    </w:rPr>
                  </w:pPr>
                  <w:r>
                    <w:rPr>
                      <w:rFonts w:hint="eastAsia"/>
                      <w:color w:val="auto"/>
                      <w:sz w:val="18"/>
                      <w:szCs w:val="18"/>
                      <w:lang w:val="en-US" w:eastAsia="zh-CN"/>
                    </w:rPr>
                    <w:t>10</w:t>
                  </w:r>
                </w:p>
              </w:tc>
              <w:tc>
                <w:tcPr>
                  <w:tcW w:w="987" w:type="dxa"/>
                  <w:vAlign w:val="center"/>
                </w:tcPr>
                <w:p w14:paraId="58465E96">
                  <w:pPr>
                    <w:jc w:val="center"/>
                    <w:rPr>
                      <w:color w:val="auto"/>
                      <w:sz w:val="18"/>
                      <w:szCs w:val="18"/>
                    </w:rPr>
                  </w:pPr>
                  <w:r>
                    <w:rPr>
                      <w:rFonts w:hint="eastAsia"/>
                      <w:color w:val="auto"/>
                      <w:sz w:val="18"/>
                      <w:szCs w:val="18"/>
                    </w:rPr>
                    <w:t>生活垃圾</w:t>
                  </w:r>
                </w:p>
              </w:tc>
              <w:tc>
                <w:tcPr>
                  <w:tcW w:w="611" w:type="dxa"/>
                  <w:vAlign w:val="center"/>
                </w:tcPr>
                <w:p w14:paraId="2F22D1E8">
                  <w:pPr>
                    <w:jc w:val="center"/>
                    <w:rPr>
                      <w:color w:val="auto"/>
                      <w:sz w:val="18"/>
                      <w:szCs w:val="18"/>
                    </w:rPr>
                  </w:pPr>
                  <w:r>
                    <w:rPr>
                      <w:rFonts w:hint="eastAsia"/>
                      <w:color w:val="auto"/>
                      <w:sz w:val="18"/>
                      <w:szCs w:val="18"/>
                    </w:rPr>
                    <w:t>生活垃圾</w:t>
                  </w:r>
                </w:p>
              </w:tc>
              <w:tc>
                <w:tcPr>
                  <w:tcW w:w="906" w:type="dxa"/>
                  <w:vAlign w:val="center"/>
                </w:tcPr>
                <w:p w14:paraId="65915E7D">
                  <w:pPr>
                    <w:jc w:val="center"/>
                    <w:rPr>
                      <w:color w:val="auto"/>
                      <w:sz w:val="18"/>
                      <w:szCs w:val="18"/>
                    </w:rPr>
                  </w:pPr>
                  <w:r>
                    <w:rPr>
                      <w:rFonts w:hint="eastAsia"/>
                      <w:color w:val="auto"/>
                      <w:sz w:val="18"/>
                      <w:szCs w:val="18"/>
                    </w:rPr>
                    <w:t>员工生活</w:t>
                  </w:r>
                </w:p>
              </w:tc>
              <w:tc>
                <w:tcPr>
                  <w:tcW w:w="606" w:type="dxa"/>
                  <w:vAlign w:val="center"/>
                </w:tcPr>
                <w:p w14:paraId="11CDE443">
                  <w:pPr>
                    <w:jc w:val="center"/>
                    <w:rPr>
                      <w:color w:val="auto"/>
                      <w:sz w:val="18"/>
                      <w:szCs w:val="18"/>
                    </w:rPr>
                  </w:pPr>
                  <w:r>
                    <w:rPr>
                      <w:color w:val="auto"/>
                      <w:sz w:val="18"/>
                      <w:szCs w:val="18"/>
                    </w:rPr>
                    <w:t>固态</w:t>
                  </w:r>
                </w:p>
              </w:tc>
              <w:tc>
                <w:tcPr>
                  <w:tcW w:w="737" w:type="dxa"/>
                  <w:vAlign w:val="center"/>
                </w:tcPr>
                <w:p w14:paraId="3A18B629">
                  <w:pPr>
                    <w:jc w:val="center"/>
                    <w:rPr>
                      <w:color w:val="auto"/>
                      <w:sz w:val="18"/>
                      <w:szCs w:val="18"/>
                    </w:rPr>
                  </w:pPr>
                  <w:r>
                    <w:rPr>
                      <w:rFonts w:hint="eastAsia"/>
                      <w:color w:val="auto"/>
                      <w:sz w:val="18"/>
                      <w:szCs w:val="18"/>
                    </w:rPr>
                    <w:t>/</w:t>
                  </w:r>
                </w:p>
              </w:tc>
              <w:tc>
                <w:tcPr>
                  <w:tcW w:w="709" w:type="dxa"/>
                  <w:vAlign w:val="center"/>
                </w:tcPr>
                <w:p w14:paraId="43BE5BE7">
                  <w:pPr>
                    <w:jc w:val="center"/>
                    <w:rPr>
                      <w:color w:val="auto"/>
                      <w:sz w:val="18"/>
                      <w:szCs w:val="18"/>
                    </w:rPr>
                  </w:pPr>
                  <w:r>
                    <w:rPr>
                      <w:rFonts w:hint="eastAsia"/>
                      <w:color w:val="auto"/>
                      <w:sz w:val="18"/>
                      <w:szCs w:val="18"/>
                    </w:rPr>
                    <w:t>/</w:t>
                  </w:r>
                </w:p>
              </w:tc>
              <w:tc>
                <w:tcPr>
                  <w:tcW w:w="795" w:type="dxa"/>
                  <w:vAlign w:val="center"/>
                </w:tcPr>
                <w:p w14:paraId="7459024C">
                  <w:pPr>
                    <w:jc w:val="both"/>
                    <w:rPr>
                      <w:color w:val="auto"/>
                      <w:sz w:val="18"/>
                      <w:szCs w:val="18"/>
                    </w:rPr>
                  </w:pPr>
                  <w:r>
                    <w:rPr>
                      <w:rFonts w:hint="eastAsia"/>
                      <w:color w:val="auto"/>
                      <w:sz w:val="18"/>
                      <w:szCs w:val="18"/>
                      <w:lang w:val="en-US" w:eastAsia="zh-CN"/>
                    </w:rPr>
                    <w:t>SW64</w:t>
                  </w:r>
                  <w:r>
                    <w:rPr>
                      <w:rFonts w:hint="eastAsia"/>
                      <w:color w:val="auto"/>
                      <w:sz w:val="18"/>
                      <w:szCs w:val="18"/>
                    </w:rPr>
                    <w:t>/</w:t>
                  </w:r>
                </w:p>
              </w:tc>
              <w:tc>
                <w:tcPr>
                  <w:tcW w:w="787" w:type="dxa"/>
                  <w:vAlign w:val="center"/>
                </w:tcPr>
                <w:p w14:paraId="4FE8A52F">
                  <w:pPr>
                    <w:jc w:val="center"/>
                    <w:rPr>
                      <w:color w:val="auto"/>
                      <w:sz w:val="18"/>
                      <w:szCs w:val="18"/>
                    </w:rPr>
                  </w:pPr>
                  <w:r>
                    <w:rPr>
                      <w:rFonts w:hint="eastAsia"/>
                      <w:color w:val="auto"/>
                      <w:sz w:val="18"/>
                      <w:szCs w:val="18"/>
                    </w:rPr>
                    <w:t>900-099-S64</w:t>
                  </w:r>
                </w:p>
              </w:tc>
              <w:tc>
                <w:tcPr>
                  <w:tcW w:w="802" w:type="dxa"/>
                  <w:vAlign w:val="center"/>
                </w:tcPr>
                <w:p w14:paraId="341CCD4F">
                  <w:pPr>
                    <w:jc w:val="center"/>
                    <w:rPr>
                      <w:rFonts w:hint="default" w:ascii="Times New Roman" w:hAnsi="Times New Roman" w:eastAsia="宋体" w:cs="Times New Roman"/>
                      <w:color w:val="auto"/>
                      <w:sz w:val="18"/>
                      <w:szCs w:val="18"/>
                      <w:lang w:val="en-US" w:eastAsia="zh-CN"/>
                    </w:rPr>
                  </w:pPr>
                  <w:r>
                    <w:rPr>
                      <w:rFonts w:hint="eastAsia"/>
                      <w:color w:val="auto"/>
                      <w:sz w:val="18"/>
                      <w:szCs w:val="18"/>
                      <w:lang w:val="en-US" w:eastAsia="zh-CN"/>
                    </w:rPr>
                    <w:t>3</w:t>
                  </w:r>
                </w:p>
              </w:tc>
              <w:tc>
                <w:tcPr>
                  <w:tcW w:w="753" w:type="dxa"/>
                  <w:vAlign w:val="center"/>
                </w:tcPr>
                <w:p w14:paraId="79843DE7">
                  <w:pPr>
                    <w:jc w:val="center"/>
                    <w:rPr>
                      <w:color w:val="auto"/>
                      <w:sz w:val="18"/>
                      <w:szCs w:val="18"/>
                    </w:rPr>
                  </w:pPr>
                  <w:r>
                    <w:rPr>
                      <w:rFonts w:hint="eastAsia"/>
                      <w:color w:val="auto"/>
                      <w:sz w:val="18"/>
                      <w:szCs w:val="18"/>
                    </w:rPr>
                    <w:t>环卫部门清理</w:t>
                  </w:r>
                </w:p>
              </w:tc>
            </w:tr>
          </w:tbl>
          <w:p w14:paraId="3C5CC543">
            <w:pPr>
              <w:adjustRightInd w:val="0"/>
              <w:snapToGrid w:val="0"/>
              <w:spacing w:line="500" w:lineRule="exact"/>
              <w:ind w:firstLine="420" w:firstLineChars="200"/>
            </w:pPr>
            <w:r>
              <w:t>4、固体废物贮存、处置情况</w:t>
            </w:r>
          </w:p>
          <w:p w14:paraId="52CB3500">
            <w:pPr>
              <w:adjustRightInd w:val="0"/>
              <w:snapToGrid w:val="0"/>
              <w:spacing w:line="500" w:lineRule="exact"/>
              <w:ind w:firstLine="420" w:firstLineChars="200"/>
            </w:pPr>
            <w:r>
              <w:t>（1）一般工业固废贮存场所（设施）情况</w:t>
            </w:r>
          </w:p>
          <w:p w14:paraId="527B6CC3">
            <w:pPr>
              <w:adjustRightInd w:val="0"/>
              <w:snapToGrid w:val="0"/>
              <w:spacing w:line="500" w:lineRule="exact"/>
              <w:ind w:firstLine="420" w:firstLineChars="200"/>
            </w:pPr>
            <w:r>
              <w:t>项目产生的废边角料</w:t>
            </w:r>
            <w:r>
              <w:rPr>
                <w:rFonts w:hint="eastAsia"/>
                <w:lang w:eastAsia="zh-CN"/>
              </w:rPr>
              <w:t>、不合格原材料</w:t>
            </w:r>
            <w:r>
              <w:t>等属于一般工业固废，由企业收集后出售；生活垃圾委托环卫部门清运处置。具体见下表。</w:t>
            </w:r>
          </w:p>
          <w:p w14:paraId="569727CD">
            <w:pPr>
              <w:adjustRightInd w:val="0"/>
              <w:snapToGrid w:val="0"/>
              <w:spacing w:line="500" w:lineRule="exact"/>
              <w:ind w:firstLine="420" w:firstLineChars="200"/>
            </w:pPr>
            <w:r>
              <w:t>项目拟设置一般固废贮存场所，占地面积为</w:t>
            </w:r>
            <w:r>
              <w:rPr>
                <w:rFonts w:hint="eastAsia"/>
                <w:lang w:val="en-US" w:eastAsia="zh-CN"/>
              </w:rPr>
              <w:t>10</w:t>
            </w:r>
            <w:r>
              <w:t>m</w:t>
            </w:r>
            <w:r>
              <w:rPr>
                <w:vertAlign w:val="superscript"/>
              </w:rPr>
              <w:t>2</w:t>
            </w:r>
            <w:r>
              <w:t>。一般工业固废暂存场所需按照《一般工业固体废物贮存和填埋污染控制标准》（GB18599-2020）要求建设，具体要求如下：</w:t>
            </w:r>
          </w:p>
          <w:p w14:paraId="1AD7C4D6">
            <w:pPr>
              <w:adjustRightInd w:val="0"/>
              <w:snapToGrid w:val="0"/>
              <w:spacing w:line="500" w:lineRule="exact"/>
              <w:ind w:firstLine="420" w:firstLineChars="200"/>
            </w:pPr>
            <w:r>
              <w:t>①贮存、处置场的建设类型，必须与将要堆放一般工业固体废物的类别相一致；</w:t>
            </w:r>
          </w:p>
          <w:p w14:paraId="5AE897A2">
            <w:pPr>
              <w:adjustRightInd w:val="0"/>
              <w:snapToGrid w:val="0"/>
              <w:spacing w:line="500" w:lineRule="exact"/>
              <w:ind w:firstLine="420" w:firstLineChars="200"/>
            </w:pPr>
            <w:r>
              <w:t>②为防止雨水径流进入贮存、处置场内，避免渗滤液量增加和滑坡，贮存、处置场周边应设置导流渠；</w:t>
            </w:r>
          </w:p>
          <w:p w14:paraId="244A5EA8">
            <w:pPr>
              <w:adjustRightInd w:val="0"/>
              <w:snapToGrid w:val="0"/>
              <w:spacing w:line="500" w:lineRule="exact"/>
              <w:ind w:firstLine="420" w:firstLineChars="200"/>
            </w:pPr>
            <w:r>
              <w:t>③应设计渗滤液</w:t>
            </w:r>
            <w:r>
              <w:rPr>
                <w:rFonts w:hint="eastAsia"/>
                <w:lang w:eastAsia="zh-CN"/>
              </w:rPr>
              <w:t>收</w:t>
            </w:r>
            <w:r>
              <w:t>集排水设施；</w:t>
            </w:r>
          </w:p>
          <w:p w14:paraId="5CE8D8D0">
            <w:pPr>
              <w:adjustRightInd w:val="0"/>
              <w:snapToGrid w:val="0"/>
              <w:spacing w:line="500" w:lineRule="exact"/>
              <w:ind w:firstLine="420" w:firstLineChars="200"/>
            </w:pPr>
            <w:r>
              <w:t>④为防止一般工业固体废物和渗滤液的流失，应构筑堤土墙等设施；</w:t>
            </w:r>
          </w:p>
          <w:p w14:paraId="267651DF">
            <w:pPr>
              <w:adjustRightInd w:val="0"/>
              <w:snapToGrid w:val="0"/>
              <w:spacing w:line="500" w:lineRule="exact"/>
              <w:ind w:firstLine="420" w:firstLineChars="200"/>
            </w:pPr>
            <w:r>
              <w:t>⑤为保障设施、设备</w:t>
            </w:r>
            <w:r>
              <w:rPr>
                <w:rFonts w:hint="eastAsia"/>
                <w:lang w:eastAsia="zh-CN"/>
              </w:rPr>
              <w:t>正常运行</w:t>
            </w:r>
            <w:r>
              <w:t>，必要时应采取措施防止地基下沉，尤其是防止不均匀或局部下沉。</w:t>
            </w:r>
          </w:p>
          <w:p w14:paraId="4830308B">
            <w:pPr>
              <w:adjustRightInd w:val="0"/>
              <w:snapToGrid w:val="0"/>
              <w:spacing w:line="500" w:lineRule="exact"/>
              <w:ind w:firstLine="420" w:firstLineChars="200"/>
            </w:pPr>
            <w:r>
              <w:t>建设项目一般工业固废的暂存场所拟按照《一般工业固体废物贮存和填埋污染控制标准》（GB18599-2020）要求建设，对一般固废堆放区地面进行了硬化，并做好防腐、防渗和防漏处理，制定了</w:t>
            </w:r>
            <w:r>
              <w:rPr>
                <w:rFonts w:hint="eastAsia"/>
                <w:lang w:eastAsia="zh-CN"/>
              </w:rPr>
              <w:t>“</w:t>
            </w:r>
            <w:r>
              <w:t>一般固废仓库管理制度</w:t>
            </w:r>
            <w:r>
              <w:rPr>
                <w:rFonts w:hint="eastAsia"/>
                <w:lang w:eastAsia="zh-CN"/>
              </w:rPr>
              <w:t>”“</w:t>
            </w:r>
            <w:r>
              <w:t>一般工业固废处置管理规定</w:t>
            </w:r>
            <w:r>
              <w:rPr>
                <w:rFonts w:hint="eastAsia"/>
                <w:lang w:eastAsia="zh-CN"/>
              </w:rPr>
              <w:t>”</w:t>
            </w:r>
            <w:r>
              <w:t>，由专人维护。因此，项目一般工业固废的收集、贮存对环境的影响较小。</w:t>
            </w:r>
          </w:p>
          <w:p w14:paraId="2E552305">
            <w:pPr>
              <w:adjustRightInd w:val="0"/>
              <w:snapToGrid w:val="0"/>
              <w:spacing w:line="500" w:lineRule="exact"/>
              <w:ind w:firstLine="420" w:firstLineChars="200"/>
            </w:pPr>
            <w:r>
              <w:t>（2）危险废物贮存场所（设施）情况</w:t>
            </w:r>
          </w:p>
          <w:p w14:paraId="3DA1C15D">
            <w:pPr>
              <w:adjustRightInd w:val="0"/>
              <w:snapToGrid w:val="0"/>
              <w:spacing w:line="500" w:lineRule="exact"/>
              <w:ind w:firstLine="420" w:firstLineChars="200"/>
            </w:pPr>
            <w:r>
              <w:t>项目产生的危险固废为废活性炭、</w:t>
            </w:r>
            <w:r>
              <w:rPr>
                <w:rFonts w:hint="eastAsia"/>
              </w:rPr>
              <w:t>废</w:t>
            </w:r>
            <w:r>
              <w:rPr>
                <w:rFonts w:hint="eastAsia"/>
                <w:lang w:eastAsia="zh-CN"/>
              </w:rPr>
              <w:t>原料包装</w:t>
            </w:r>
            <w:r>
              <w:rPr>
                <w:rFonts w:hint="eastAsia"/>
              </w:rPr>
              <w:t>桶</w:t>
            </w:r>
            <w:r>
              <w:t>等，委托有资质的单位处置。危险废物均在各产污</w:t>
            </w:r>
            <w:r>
              <w:rPr>
                <w:rFonts w:hint="eastAsia"/>
                <w:lang w:eastAsia="zh-CN"/>
              </w:rPr>
              <w:t>环节</w:t>
            </w:r>
            <w:r>
              <w:t>做到分类收集和贮存，避免混入生活垃圾中。在运出厂区之前暂存在专门的危废暂存区内。项目设置危险废物贮存场所，占地面积为</w:t>
            </w:r>
            <w:r>
              <w:rPr>
                <w:rFonts w:hint="eastAsia"/>
                <w:lang w:val="en-US" w:eastAsia="zh-CN"/>
              </w:rPr>
              <w:t>5</w:t>
            </w:r>
            <w:r>
              <w:t>m</w:t>
            </w:r>
            <w:r>
              <w:rPr>
                <w:vertAlign w:val="superscript"/>
              </w:rPr>
              <w:t>2</w:t>
            </w:r>
            <w:r>
              <w:t>，建议存储期</w:t>
            </w:r>
            <w:r>
              <w:rPr>
                <w:rFonts w:hint="eastAsia"/>
              </w:rPr>
              <w:t>3</w:t>
            </w:r>
            <w:r>
              <w:t>个月。危废暂存间选址所在区域地质结构稳定，地震强度4度，满足地震烈度不超过7级的要求；危废暂存间底部高于地下水最高水位；项目危废暂存间不位于溶洞区或易遭受严重自然灾害如洪水、滑坡、泥石流、潮汐等影响的地区；项目危废暂存间建在易燃、易爆等危险品仓库、高压输电线路防护区域以外。危废暂存间应做好防腐、防渗和防漏处理，四周设置围堰，预防废物泄漏。</w:t>
            </w:r>
          </w:p>
          <w:p w14:paraId="1B724B9E">
            <w:pPr>
              <w:adjustRightInd w:val="0"/>
              <w:snapToGrid w:val="0"/>
              <w:spacing w:line="500" w:lineRule="exact"/>
              <w:ind w:firstLine="420" w:firstLineChars="200"/>
              <w:rPr>
                <w:bCs/>
                <w:szCs w:val="21"/>
              </w:rPr>
            </w:pPr>
            <w:r>
              <w:rPr>
                <w:rFonts w:hint="eastAsia"/>
                <w:bCs/>
                <w:szCs w:val="21"/>
              </w:rPr>
              <w:t>根据《危险废物贮存污染控制标准》（GB 18597-2023），</w:t>
            </w:r>
            <w:r>
              <w:rPr>
                <w:rFonts w:hint="default" w:ascii="Times New Roman" w:hAnsi="Times New Roman" w:eastAsia="宋体" w:cs="Times New Roman"/>
                <w:bCs/>
                <w:szCs w:val="21"/>
              </w:rPr>
              <w:t>《省生态环境厅关于印发江苏省固体废物全过程环境监管工作意见》（苏环办〔2024〕16号）</w:t>
            </w:r>
            <w:r>
              <w:rPr>
                <w:rFonts w:hint="eastAsia" w:ascii="Times New Roman" w:hAnsi="Times New Roman" w:eastAsia="宋体" w:cs="Times New Roman"/>
                <w:bCs/>
                <w:szCs w:val="21"/>
                <w:lang w:eastAsia="zh-CN"/>
              </w:rPr>
              <w:t>、省生态环境厅关于做好《危险废物贮存污染控制标准》等标准规范实施后危险废物环境管理衔接工作的通知</w:t>
            </w:r>
            <w:r>
              <w:rPr>
                <w:rFonts w:hint="default" w:ascii="Times New Roman" w:hAnsi="Times New Roman" w:eastAsia="宋体" w:cs="Times New Roman"/>
                <w:bCs/>
                <w:szCs w:val="21"/>
                <w:lang w:eastAsia="zh-CN"/>
              </w:rPr>
              <w:t>（苏环办﹝</w:t>
            </w:r>
            <w:r>
              <w:rPr>
                <w:rFonts w:hint="default" w:ascii="Times New Roman" w:hAnsi="Times New Roman" w:eastAsia="宋体" w:cs="Times New Roman"/>
                <w:bCs/>
                <w:szCs w:val="21"/>
                <w:lang w:val="en-US" w:eastAsia="zh-CN"/>
              </w:rPr>
              <w:t>2023</w:t>
            </w:r>
            <w:r>
              <w:rPr>
                <w:rFonts w:hint="default" w:ascii="Times New Roman" w:hAnsi="Times New Roman" w:eastAsia="宋体" w:cs="Times New Roman"/>
                <w:bCs/>
                <w:szCs w:val="21"/>
                <w:lang w:eastAsia="zh-CN"/>
              </w:rPr>
              <w:t>﹞</w:t>
            </w:r>
            <w:r>
              <w:rPr>
                <w:rFonts w:hint="default" w:ascii="Times New Roman" w:hAnsi="Times New Roman" w:eastAsia="宋体" w:cs="Times New Roman"/>
                <w:bCs/>
                <w:szCs w:val="21"/>
                <w:lang w:val="en-US" w:eastAsia="zh-CN"/>
              </w:rPr>
              <w:t>154号</w:t>
            </w:r>
            <w:r>
              <w:rPr>
                <w:rFonts w:hint="default" w:ascii="Times New Roman" w:hAnsi="Times New Roman" w:eastAsia="宋体" w:cs="Times New Roman"/>
                <w:bCs/>
                <w:szCs w:val="21"/>
                <w:lang w:eastAsia="zh-CN"/>
              </w:rPr>
              <w:t>）</w:t>
            </w:r>
            <w:r>
              <w:rPr>
                <w:rFonts w:hint="default" w:ascii="Times New Roman" w:hAnsi="Times New Roman" w:eastAsia="宋体" w:cs="Times New Roman"/>
                <w:bCs/>
                <w:szCs w:val="21"/>
              </w:rPr>
              <w:t>要求</w:t>
            </w:r>
            <w:r>
              <w:rPr>
                <w:rFonts w:hint="eastAsia" w:ascii="Times New Roman" w:hAnsi="Times New Roman" w:eastAsia="宋体" w:cs="Times New Roman"/>
                <w:bCs/>
                <w:szCs w:val="21"/>
                <w:lang w:eastAsia="zh-CN"/>
              </w:rPr>
              <w:t>，</w:t>
            </w:r>
            <w:r>
              <w:rPr>
                <w:rFonts w:hint="eastAsia"/>
                <w:bCs/>
                <w:szCs w:val="21"/>
              </w:rPr>
              <w:t>危险废物贮存场所（设施）基本情况见下表。</w:t>
            </w:r>
          </w:p>
          <w:p w14:paraId="04A9184B">
            <w:pPr>
              <w:autoSpaceDE w:val="0"/>
              <w:autoSpaceDN w:val="0"/>
              <w:snapToGrid w:val="0"/>
              <w:spacing w:line="500" w:lineRule="exact"/>
              <w:jc w:val="center"/>
              <w:rPr>
                <w:b/>
                <w:snapToGrid w:val="0"/>
                <w:kern w:val="0"/>
              </w:rPr>
            </w:pPr>
            <w:r>
              <w:rPr>
                <w:rFonts w:hint="eastAsia"/>
                <w:b/>
                <w:snapToGrid w:val="0"/>
                <w:kern w:val="0"/>
              </w:rPr>
              <w:t>表4-2</w:t>
            </w:r>
            <w:r>
              <w:rPr>
                <w:rFonts w:hint="eastAsia"/>
                <w:b/>
                <w:snapToGrid w:val="0"/>
                <w:kern w:val="0"/>
                <w:lang w:val="en-US" w:eastAsia="zh-CN"/>
              </w:rPr>
              <w:t>2</w:t>
            </w:r>
            <w:r>
              <w:rPr>
                <w:rFonts w:hint="eastAsia"/>
                <w:b/>
                <w:snapToGrid w:val="0"/>
                <w:kern w:val="0"/>
              </w:rPr>
              <w:t xml:space="preserve"> 危废贮存设施污染防治措施</w:t>
            </w:r>
          </w:p>
          <w:tbl>
            <w:tblPr>
              <w:tblStyle w:val="16"/>
              <w:tblW w:w="779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669"/>
              <w:gridCol w:w="3467"/>
            </w:tblGrid>
            <w:tr w14:paraId="03EFC3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02" w:hRule="atLeast"/>
                <w:jc w:val="center"/>
              </w:trPr>
              <w:tc>
                <w:tcPr>
                  <w:tcW w:w="663" w:type="dxa"/>
                  <w:vAlign w:val="center"/>
                </w:tcPr>
                <w:p w14:paraId="119C4BDA">
                  <w:pPr>
                    <w:adjustRightInd w:val="0"/>
                    <w:snapToGrid w:val="0"/>
                    <w:jc w:val="center"/>
                    <w:rPr>
                      <w:sz w:val="18"/>
                      <w:szCs w:val="18"/>
                    </w:rPr>
                  </w:pPr>
                  <w:r>
                    <w:rPr>
                      <w:rFonts w:hint="eastAsia"/>
                      <w:sz w:val="18"/>
                      <w:szCs w:val="18"/>
                    </w:rPr>
                    <w:t>类别</w:t>
                  </w:r>
                </w:p>
              </w:tc>
              <w:tc>
                <w:tcPr>
                  <w:tcW w:w="3669" w:type="dxa"/>
                  <w:vAlign w:val="center"/>
                </w:tcPr>
                <w:p w14:paraId="2AC6740C">
                  <w:pPr>
                    <w:adjustRightInd w:val="0"/>
                    <w:snapToGrid w:val="0"/>
                    <w:jc w:val="center"/>
                    <w:rPr>
                      <w:sz w:val="18"/>
                      <w:szCs w:val="18"/>
                    </w:rPr>
                  </w:pPr>
                  <w:r>
                    <w:rPr>
                      <w:rFonts w:hint="eastAsia"/>
                      <w:sz w:val="18"/>
                      <w:szCs w:val="18"/>
                    </w:rPr>
                    <w:t>具体建设要求</w:t>
                  </w:r>
                </w:p>
              </w:tc>
              <w:tc>
                <w:tcPr>
                  <w:tcW w:w="3467" w:type="dxa"/>
                  <w:vAlign w:val="center"/>
                </w:tcPr>
                <w:p w14:paraId="35C858E2">
                  <w:pPr>
                    <w:adjustRightInd w:val="0"/>
                    <w:snapToGrid w:val="0"/>
                    <w:jc w:val="center"/>
                    <w:rPr>
                      <w:sz w:val="18"/>
                      <w:szCs w:val="18"/>
                    </w:rPr>
                  </w:pPr>
                  <w:r>
                    <w:rPr>
                      <w:rFonts w:hint="eastAsia"/>
                      <w:sz w:val="18"/>
                      <w:szCs w:val="18"/>
                    </w:rPr>
                    <w:t>本公司拟采取污染防治措施</w:t>
                  </w:r>
                </w:p>
              </w:tc>
            </w:tr>
            <w:tr w14:paraId="120F27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63" w:type="dxa"/>
                  <w:vMerge w:val="restart"/>
                  <w:vAlign w:val="center"/>
                </w:tcPr>
                <w:p w14:paraId="5149C309">
                  <w:pPr>
                    <w:adjustRightInd w:val="0"/>
                    <w:snapToGrid w:val="0"/>
                    <w:jc w:val="center"/>
                    <w:rPr>
                      <w:sz w:val="18"/>
                      <w:szCs w:val="18"/>
                    </w:rPr>
                  </w:pPr>
                  <w:r>
                    <w:rPr>
                      <w:rFonts w:hint="eastAsia"/>
                      <w:sz w:val="18"/>
                      <w:szCs w:val="18"/>
                    </w:rPr>
                    <w:t>危险废物贮存场所</w:t>
                  </w:r>
                </w:p>
              </w:tc>
              <w:tc>
                <w:tcPr>
                  <w:tcW w:w="3669" w:type="dxa"/>
                  <w:vAlign w:val="center"/>
                </w:tcPr>
                <w:p w14:paraId="682C68E6">
                  <w:pPr>
                    <w:adjustRightInd w:val="0"/>
                    <w:snapToGrid w:val="0"/>
                    <w:rPr>
                      <w:sz w:val="18"/>
                      <w:szCs w:val="18"/>
                    </w:rPr>
                  </w:pPr>
                  <w:r>
                    <w:rPr>
                      <w:rFonts w:hint="eastAsia"/>
                      <w:sz w:val="18"/>
                      <w:szCs w:val="18"/>
                    </w:rPr>
                    <w:t>1、基础必须防渗，并且满足防渗要求；</w:t>
                  </w:r>
                </w:p>
              </w:tc>
              <w:tc>
                <w:tcPr>
                  <w:tcW w:w="3467" w:type="dxa"/>
                  <w:vAlign w:val="center"/>
                </w:tcPr>
                <w:p w14:paraId="0E982CE3">
                  <w:pPr>
                    <w:adjustRightInd w:val="0"/>
                    <w:snapToGrid w:val="0"/>
                    <w:rPr>
                      <w:sz w:val="18"/>
                      <w:szCs w:val="18"/>
                    </w:rPr>
                  </w:pPr>
                  <w:r>
                    <w:rPr>
                      <w:rFonts w:hint="eastAsia"/>
                      <w:sz w:val="18"/>
                      <w:szCs w:val="18"/>
                    </w:rPr>
                    <w:t>危废仓库地面拟采用地面硬化+环氧地坪，底部加设土工膜，防渗等级满足防渗要求</w:t>
                  </w:r>
                </w:p>
              </w:tc>
            </w:tr>
            <w:tr w14:paraId="493256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701" w:hRule="atLeast"/>
                <w:jc w:val="center"/>
              </w:trPr>
              <w:tc>
                <w:tcPr>
                  <w:tcW w:w="663" w:type="dxa"/>
                  <w:vMerge w:val="continue"/>
                  <w:vAlign w:val="center"/>
                </w:tcPr>
                <w:p w14:paraId="3C94B6EB">
                  <w:pPr>
                    <w:adjustRightInd w:val="0"/>
                    <w:snapToGrid w:val="0"/>
                    <w:jc w:val="center"/>
                    <w:rPr>
                      <w:sz w:val="18"/>
                      <w:szCs w:val="18"/>
                    </w:rPr>
                  </w:pPr>
                </w:p>
              </w:tc>
              <w:tc>
                <w:tcPr>
                  <w:tcW w:w="3669" w:type="dxa"/>
                  <w:vAlign w:val="center"/>
                </w:tcPr>
                <w:p w14:paraId="34F53B4C">
                  <w:pPr>
                    <w:adjustRightInd w:val="0"/>
                    <w:snapToGrid w:val="0"/>
                    <w:rPr>
                      <w:sz w:val="18"/>
                      <w:szCs w:val="18"/>
                    </w:rPr>
                  </w:pPr>
                  <w:r>
                    <w:rPr>
                      <w:rFonts w:hint="eastAsia"/>
                      <w:sz w:val="18"/>
                      <w:szCs w:val="18"/>
                    </w:rPr>
                    <w:t>2、必须有泄漏液体收集装置、气体导出口及气体净化装置；</w:t>
                  </w:r>
                </w:p>
              </w:tc>
              <w:tc>
                <w:tcPr>
                  <w:tcW w:w="3467" w:type="dxa"/>
                  <w:vAlign w:val="center"/>
                </w:tcPr>
                <w:p w14:paraId="6313514F">
                  <w:pPr>
                    <w:adjustRightInd w:val="0"/>
                    <w:snapToGrid w:val="0"/>
                    <w:jc w:val="center"/>
                    <w:rPr>
                      <w:sz w:val="18"/>
                      <w:szCs w:val="18"/>
                    </w:rPr>
                  </w:pPr>
                  <w:r>
                    <w:rPr>
                      <w:rFonts w:hint="eastAsia"/>
                      <w:sz w:val="18"/>
                      <w:szCs w:val="18"/>
                    </w:rPr>
                    <w:t>危废均密封贮存在危废仓库内，危废定期处置，不涉及气体排放，因此，危废仓库</w:t>
                  </w:r>
                  <w:r>
                    <w:rPr>
                      <w:rFonts w:hint="eastAsia"/>
                      <w:sz w:val="18"/>
                      <w:szCs w:val="18"/>
                      <w:lang w:eastAsia="zh-CN"/>
                    </w:rPr>
                    <w:t>无须设置</w:t>
                  </w:r>
                  <w:r>
                    <w:rPr>
                      <w:rFonts w:hint="eastAsia"/>
                      <w:sz w:val="18"/>
                      <w:szCs w:val="18"/>
                    </w:rPr>
                    <w:t>气体净化装置</w:t>
                  </w:r>
                </w:p>
              </w:tc>
            </w:tr>
            <w:tr w14:paraId="094791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63" w:type="dxa"/>
                  <w:vMerge w:val="continue"/>
                  <w:vAlign w:val="center"/>
                </w:tcPr>
                <w:p w14:paraId="2F991759">
                  <w:pPr>
                    <w:adjustRightInd w:val="0"/>
                    <w:snapToGrid w:val="0"/>
                    <w:jc w:val="center"/>
                    <w:rPr>
                      <w:sz w:val="18"/>
                      <w:szCs w:val="18"/>
                    </w:rPr>
                  </w:pPr>
                </w:p>
              </w:tc>
              <w:tc>
                <w:tcPr>
                  <w:tcW w:w="3669" w:type="dxa"/>
                  <w:vAlign w:val="center"/>
                </w:tcPr>
                <w:p w14:paraId="115959DA">
                  <w:pPr>
                    <w:adjustRightInd w:val="0"/>
                    <w:snapToGrid w:val="0"/>
                    <w:rPr>
                      <w:sz w:val="18"/>
                      <w:szCs w:val="18"/>
                    </w:rPr>
                  </w:pPr>
                  <w:r>
                    <w:rPr>
                      <w:rFonts w:hint="eastAsia"/>
                      <w:sz w:val="18"/>
                      <w:szCs w:val="18"/>
                    </w:rPr>
                    <w:t>3、设施内要有安全照明设施、观察窗口；通讯设施；消防设施；</w:t>
                  </w:r>
                </w:p>
              </w:tc>
              <w:tc>
                <w:tcPr>
                  <w:tcW w:w="3467" w:type="dxa"/>
                  <w:vAlign w:val="center"/>
                </w:tcPr>
                <w:p w14:paraId="52F5CE2A">
                  <w:pPr>
                    <w:adjustRightInd w:val="0"/>
                    <w:snapToGrid w:val="0"/>
                    <w:jc w:val="center"/>
                    <w:rPr>
                      <w:sz w:val="18"/>
                      <w:szCs w:val="18"/>
                    </w:rPr>
                  </w:pPr>
                  <w:r>
                    <w:rPr>
                      <w:rFonts w:hint="eastAsia"/>
                      <w:sz w:val="18"/>
                      <w:szCs w:val="18"/>
                    </w:rPr>
                    <w:t>危废仓库内拟配备通讯设备、防爆灯、禁火标志、灭火器（如黄沙）等</w:t>
                  </w:r>
                </w:p>
              </w:tc>
            </w:tr>
            <w:tr w14:paraId="453F78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31" w:hRule="atLeast"/>
                <w:jc w:val="center"/>
              </w:trPr>
              <w:tc>
                <w:tcPr>
                  <w:tcW w:w="663" w:type="dxa"/>
                  <w:vMerge w:val="continue"/>
                  <w:vAlign w:val="center"/>
                </w:tcPr>
                <w:p w14:paraId="13B4A34A">
                  <w:pPr>
                    <w:adjustRightInd w:val="0"/>
                    <w:snapToGrid w:val="0"/>
                    <w:jc w:val="center"/>
                    <w:rPr>
                      <w:sz w:val="18"/>
                      <w:szCs w:val="18"/>
                    </w:rPr>
                  </w:pPr>
                </w:p>
              </w:tc>
              <w:tc>
                <w:tcPr>
                  <w:tcW w:w="3669" w:type="dxa"/>
                  <w:vAlign w:val="center"/>
                </w:tcPr>
                <w:p w14:paraId="7D826513">
                  <w:pPr>
                    <w:adjustRightInd w:val="0"/>
                    <w:snapToGrid w:val="0"/>
                    <w:rPr>
                      <w:sz w:val="18"/>
                      <w:szCs w:val="18"/>
                    </w:rPr>
                  </w:pPr>
                  <w:r>
                    <w:rPr>
                      <w:rFonts w:hint="eastAsia"/>
                      <w:sz w:val="18"/>
                      <w:szCs w:val="18"/>
                    </w:rPr>
                    <w:t>4、危险废物堆要防风、防雨、防晒；</w:t>
                  </w:r>
                </w:p>
              </w:tc>
              <w:tc>
                <w:tcPr>
                  <w:tcW w:w="3467" w:type="dxa"/>
                  <w:vAlign w:val="center"/>
                </w:tcPr>
                <w:p w14:paraId="444E65FC">
                  <w:pPr>
                    <w:adjustRightInd w:val="0"/>
                    <w:snapToGrid w:val="0"/>
                    <w:jc w:val="center"/>
                    <w:rPr>
                      <w:sz w:val="18"/>
                      <w:szCs w:val="18"/>
                    </w:rPr>
                  </w:pPr>
                  <w:r>
                    <w:rPr>
                      <w:rFonts w:hint="eastAsia"/>
                      <w:sz w:val="18"/>
                      <w:szCs w:val="18"/>
                    </w:rPr>
                    <w:t>危废仓库密闭，地面防渗处理，四周设围堰，设置钢筋混凝土导流沟，并采用底部加设土工膜进行防渗，具备防风、防雨、防晒功能</w:t>
                  </w:r>
                </w:p>
              </w:tc>
            </w:tr>
            <w:tr w14:paraId="537702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63" w:type="dxa"/>
                  <w:vMerge w:val="continue"/>
                  <w:vAlign w:val="center"/>
                </w:tcPr>
                <w:p w14:paraId="0513E073">
                  <w:pPr>
                    <w:adjustRightInd w:val="0"/>
                    <w:snapToGrid w:val="0"/>
                    <w:jc w:val="center"/>
                    <w:rPr>
                      <w:sz w:val="18"/>
                      <w:szCs w:val="18"/>
                    </w:rPr>
                  </w:pPr>
                </w:p>
              </w:tc>
              <w:tc>
                <w:tcPr>
                  <w:tcW w:w="3669" w:type="dxa"/>
                  <w:vAlign w:val="center"/>
                </w:tcPr>
                <w:p w14:paraId="292E3FC7">
                  <w:pPr>
                    <w:adjustRightInd w:val="0"/>
                    <w:snapToGrid w:val="0"/>
                    <w:rPr>
                      <w:sz w:val="18"/>
                      <w:szCs w:val="18"/>
                    </w:rPr>
                  </w:pPr>
                  <w:r>
                    <w:rPr>
                      <w:rFonts w:hint="eastAsia"/>
                      <w:sz w:val="18"/>
                      <w:szCs w:val="18"/>
                    </w:rPr>
                    <w:t>5、在危险废物仓库出入口、设施内部、危险废物运输车辆通道等关键位置按照危险废物贮存设施视频监控布设要求设置视频监控，并与中控室联网；</w:t>
                  </w:r>
                </w:p>
              </w:tc>
              <w:tc>
                <w:tcPr>
                  <w:tcW w:w="3467" w:type="dxa"/>
                  <w:vAlign w:val="center"/>
                </w:tcPr>
                <w:p w14:paraId="60D49519">
                  <w:pPr>
                    <w:adjustRightInd w:val="0"/>
                    <w:snapToGrid w:val="0"/>
                    <w:jc w:val="center"/>
                    <w:rPr>
                      <w:sz w:val="18"/>
                      <w:szCs w:val="18"/>
                    </w:rPr>
                  </w:pPr>
                  <w:r>
                    <w:rPr>
                      <w:rFonts w:hint="eastAsia"/>
                      <w:sz w:val="18"/>
                      <w:szCs w:val="18"/>
                    </w:rPr>
                    <w:t>建设单位拟在仓库出入口、仓库内、厂门口等关键位置安装视频监控设施，进行实时监控，并与中控室联网</w:t>
                  </w:r>
                </w:p>
              </w:tc>
            </w:tr>
            <w:tr w14:paraId="46C74F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663" w:type="dxa"/>
                  <w:vMerge w:val="continue"/>
                  <w:vAlign w:val="center"/>
                </w:tcPr>
                <w:p w14:paraId="12677F68">
                  <w:pPr>
                    <w:adjustRightInd w:val="0"/>
                    <w:snapToGrid w:val="0"/>
                    <w:jc w:val="center"/>
                    <w:rPr>
                      <w:sz w:val="18"/>
                      <w:szCs w:val="18"/>
                    </w:rPr>
                  </w:pPr>
                </w:p>
              </w:tc>
              <w:tc>
                <w:tcPr>
                  <w:tcW w:w="3669" w:type="dxa"/>
                  <w:vAlign w:val="center"/>
                </w:tcPr>
                <w:p w14:paraId="0C41CB26">
                  <w:pPr>
                    <w:adjustRightInd w:val="0"/>
                    <w:snapToGrid w:val="0"/>
                    <w:rPr>
                      <w:sz w:val="18"/>
                      <w:szCs w:val="18"/>
                    </w:rPr>
                  </w:pPr>
                  <w:r>
                    <w:rPr>
                      <w:rFonts w:hint="eastAsia"/>
                      <w:sz w:val="18"/>
                      <w:szCs w:val="18"/>
                    </w:rPr>
                    <w:t>6、按照《环境保护图形标志固体废物贮存（处置）场》（GB15562.2-1995）和危险废物识别标识设置规范设置标志；</w:t>
                  </w:r>
                </w:p>
              </w:tc>
              <w:tc>
                <w:tcPr>
                  <w:tcW w:w="3467" w:type="dxa"/>
                  <w:vAlign w:val="center"/>
                </w:tcPr>
                <w:p w14:paraId="6914E8BC">
                  <w:pPr>
                    <w:adjustRightInd w:val="0"/>
                    <w:snapToGrid w:val="0"/>
                    <w:jc w:val="center"/>
                    <w:rPr>
                      <w:sz w:val="18"/>
                      <w:szCs w:val="18"/>
                    </w:rPr>
                  </w:pPr>
                  <w:r>
                    <w:rPr>
                      <w:rFonts w:hint="eastAsia"/>
                      <w:sz w:val="18"/>
                      <w:szCs w:val="18"/>
                    </w:rPr>
                    <w:t>建设单位拟在厂区门口设置危废信息公</w:t>
                  </w:r>
                </w:p>
                <w:p w14:paraId="1A151FEF">
                  <w:pPr>
                    <w:adjustRightInd w:val="0"/>
                    <w:snapToGrid w:val="0"/>
                    <w:jc w:val="center"/>
                    <w:rPr>
                      <w:sz w:val="18"/>
                      <w:szCs w:val="18"/>
                    </w:rPr>
                  </w:pPr>
                  <w:r>
                    <w:rPr>
                      <w:rFonts w:hint="eastAsia"/>
                      <w:sz w:val="18"/>
                      <w:szCs w:val="18"/>
                    </w:rPr>
                    <w:t>开栏，危废仓库外墙及各类危废贮存处墙面设置贮存设施警示标志牌，对危险废</w:t>
                  </w:r>
                  <w:r>
                    <w:rPr>
                      <w:rFonts w:hint="eastAsia"/>
                      <w:sz w:val="18"/>
                      <w:szCs w:val="18"/>
                      <w:lang w:eastAsia="zh-CN"/>
                    </w:rPr>
                    <w:t>物</w:t>
                  </w:r>
                  <w:r>
                    <w:rPr>
                      <w:rFonts w:hint="eastAsia"/>
                      <w:sz w:val="18"/>
                      <w:szCs w:val="18"/>
                    </w:rPr>
                    <w:t>的容器和包装物以及收集、贮存、运输、处置危险废物的设施、场所，拟设置危险废物识别标志</w:t>
                  </w:r>
                </w:p>
              </w:tc>
            </w:tr>
            <w:tr w14:paraId="657555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63" w:type="dxa"/>
                  <w:vMerge w:val="restart"/>
                  <w:vAlign w:val="center"/>
                </w:tcPr>
                <w:p w14:paraId="779B988D">
                  <w:pPr>
                    <w:adjustRightInd w:val="0"/>
                    <w:snapToGrid w:val="0"/>
                    <w:jc w:val="center"/>
                    <w:rPr>
                      <w:sz w:val="18"/>
                      <w:szCs w:val="18"/>
                    </w:rPr>
                  </w:pPr>
                  <w:r>
                    <w:rPr>
                      <w:rFonts w:hint="eastAsia"/>
                      <w:sz w:val="18"/>
                      <w:szCs w:val="18"/>
                    </w:rPr>
                    <w:t>危废贮存过程</w:t>
                  </w:r>
                </w:p>
              </w:tc>
              <w:tc>
                <w:tcPr>
                  <w:tcW w:w="3669" w:type="dxa"/>
                  <w:vAlign w:val="center"/>
                </w:tcPr>
                <w:p w14:paraId="7DABF928">
                  <w:pPr>
                    <w:adjustRightInd w:val="0"/>
                    <w:snapToGrid w:val="0"/>
                    <w:rPr>
                      <w:sz w:val="18"/>
                      <w:szCs w:val="18"/>
                    </w:rPr>
                  </w:pPr>
                  <w:r>
                    <w:rPr>
                      <w:rFonts w:hint="eastAsia"/>
                      <w:sz w:val="18"/>
                      <w:szCs w:val="18"/>
                    </w:rPr>
                    <w:t>1、企业应根据危险废物的种类和特性进行分区、分类贮存</w:t>
                  </w:r>
                </w:p>
              </w:tc>
              <w:tc>
                <w:tcPr>
                  <w:tcW w:w="3467" w:type="dxa"/>
                  <w:vAlign w:val="center"/>
                </w:tcPr>
                <w:p w14:paraId="32F39272">
                  <w:pPr>
                    <w:adjustRightInd w:val="0"/>
                    <w:snapToGrid w:val="0"/>
                    <w:jc w:val="center"/>
                    <w:rPr>
                      <w:sz w:val="18"/>
                      <w:szCs w:val="18"/>
                    </w:rPr>
                  </w:pPr>
                  <w:r>
                    <w:rPr>
                      <w:rFonts w:hint="eastAsia"/>
                      <w:sz w:val="18"/>
                      <w:szCs w:val="18"/>
                    </w:rPr>
                    <w:t>仓库内不同危废分区贮存，危废均密封贮存在危废仓库内</w:t>
                  </w:r>
                </w:p>
              </w:tc>
            </w:tr>
            <w:tr w14:paraId="57DA21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663" w:type="dxa"/>
                  <w:vMerge w:val="continue"/>
                  <w:vAlign w:val="center"/>
                </w:tcPr>
                <w:p w14:paraId="1D25F09B">
                  <w:pPr>
                    <w:adjustRightInd w:val="0"/>
                    <w:snapToGrid w:val="0"/>
                    <w:jc w:val="center"/>
                    <w:rPr>
                      <w:sz w:val="18"/>
                      <w:szCs w:val="18"/>
                    </w:rPr>
                  </w:pPr>
                </w:p>
              </w:tc>
              <w:tc>
                <w:tcPr>
                  <w:tcW w:w="3669" w:type="dxa"/>
                  <w:vAlign w:val="center"/>
                </w:tcPr>
                <w:p w14:paraId="2E80A956">
                  <w:pPr>
                    <w:adjustRightInd w:val="0"/>
                    <w:snapToGrid w:val="0"/>
                    <w:rPr>
                      <w:sz w:val="18"/>
                      <w:szCs w:val="18"/>
                    </w:rPr>
                  </w:pPr>
                  <w:r>
                    <w:rPr>
                      <w:rFonts w:hint="eastAsia"/>
                      <w:sz w:val="18"/>
                      <w:szCs w:val="18"/>
                    </w:rPr>
                    <w:t>2、危险废物贮存容器应当使用符合标准的容器盛装危险废物，装载危险废物的容器及材质要满足相应的强度要求，完好无损，盛装危险废物的容器材质和衬里要与危险废物相容</w:t>
                  </w:r>
                </w:p>
              </w:tc>
              <w:tc>
                <w:tcPr>
                  <w:tcW w:w="3467" w:type="dxa"/>
                  <w:vAlign w:val="center"/>
                </w:tcPr>
                <w:p w14:paraId="742CDB1D">
                  <w:pPr>
                    <w:adjustRightInd w:val="0"/>
                    <w:snapToGrid w:val="0"/>
                    <w:rPr>
                      <w:sz w:val="18"/>
                      <w:szCs w:val="18"/>
                    </w:rPr>
                  </w:pPr>
                  <w:r>
                    <w:rPr>
                      <w:rFonts w:hint="eastAsia"/>
                      <w:sz w:val="18"/>
                      <w:szCs w:val="18"/>
                    </w:rPr>
                    <w:t>建设项目拟采取的危险废物贮存容器材质均与危险废物相容，完好无损，满足要求</w:t>
                  </w:r>
                </w:p>
              </w:tc>
            </w:tr>
            <w:tr w14:paraId="2354FC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63" w:type="dxa"/>
                  <w:vMerge w:val="continue"/>
                  <w:vAlign w:val="center"/>
                </w:tcPr>
                <w:p w14:paraId="6E8D1DC8">
                  <w:pPr>
                    <w:adjustRightInd w:val="0"/>
                    <w:snapToGrid w:val="0"/>
                    <w:jc w:val="center"/>
                    <w:rPr>
                      <w:sz w:val="18"/>
                      <w:szCs w:val="18"/>
                    </w:rPr>
                  </w:pPr>
                </w:p>
              </w:tc>
              <w:tc>
                <w:tcPr>
                  <w:tcW w:w="3669" w:type="dxa"/>
                  <w:vAlign w:val="center"/>
                </w:tcPr>
                <w:p w14:paraId="259B610C">
                  <w:pPr>
                    <w:adjustRightInd w:val="0"/>
                    <w:snapToGrid w:val="0"/>
                    <w:rPr>
                      <w:sz w:val="18"/>
                      <w:szCs w:val="18"/>
                    </w:rPr>
                  </w:pPr>
                  <w:r>
                    <w:rPr>
                      <w:rFonts w:hint="eastAsia"/>
                      <w:sz w:val="18"/>
                      <w:szCs w:val="18"/>
                    </w:rPr>
                    <w:t>3、不得将不相容的废物混合或合并存放。</w:t>
                  </w:r>
                </w:p>
              </w:tc>
              <w:tc>
                <w:tcPr>
                  <w:tcW w:w="3467" w:type="dxa"/>
                  <w:vAlign w:val="center"/>
                </w:tcPr>
                <w:p w14:paraId="619B1014">
                  <w:pPr>
                    <w:adjustRightInd w:val="0"/>
                    <w:snapToGrid w:val="0"/>
                    <w:jc w:val="center"/>
                    <w:rPr>
                      <w:sz w:val="18"/>
                      <w:szCs w:val="18"/>
                    </w:rPr>
                  </w:pPr>
                  <w:r>
                    <w:rPr>
                      <w:rFonts w:hint="eastAsia"/>
                      <w:sz w:val="18"/>
                      <w:szCs w:val="18"/>
                    </w:rPr>
                    <w:t>危废仓库内不同危废分区贮存</w:t>
                  </w:r>
                </w:p>
              </w:tc>
            </w:tr>
            <w:tr w14:paraId="6CB97B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663" w:type="dxa"/>
                  <w:vAlign w:val="center"/>
                </w:tcPr>
                <w:p w14:paraId="44439952">
                  <w:pPr>
                    <w:adjustRightInd w:val="0"/>
                    <w:snapToGrid w:val="0"/>
                    <w:jc w:val="center"/>
                    <w:rPr>
                      <w:sz w:val="18"/>
                      <w:szCs w:val="18"/>
                    </w:rPr>
                  </w:pPr>
                  <w:r>
                    <w:rPr>
                      <w:rFonts w:hint="eastAsia"/>
                      <w:sz w:val="18"/>
                      <w:szCs w:val="18"/>
                    </w:rPr>
                    <w:t>危险废物暂存管理要求</w:t>
                  </w:r>
                </w:p>
              </w:tc>
              <w:tc>
                <w:tcPr>
                  <w:tcW w:w="3669" w:type="dxa"/>
                  <w:vAlign w:val="center"/>
                </w:tcPr>
                <w:p w14:paraId="54BF6BD0">
                  <w:pPr>
                    <w:adjustRightInd w:val="0"/>
                    <w:snapToGrid w:val="0"/>
                    <w:rPr>
                      <w:sz w:val="18"/>
                      <w:szCs w:val="18"/>
                    </w:rPr>
                  </w:pPr>
                  <w:r>
                    <w:rPr>
                      <w:rFonts w:hint="eastAsia"/>
                      <w:sz w:val="18"/>
                      <w:szCs w:val="18"/>
                    </w:rPr>
                    <w:t>须</w:t>
                  </w:r>
                  <w:r>
                    <w:rPr>
                      <w:rFonts w:hint="eastAsia"/>
                      <w:sz w:val="18"/>
                      <w:szCs w:val="18"/>
                      <w:lang w:eastAsia="zh-CN"/>
                    </w:rPr>
                    <w:t>做</w:t>
                  </w:r>
                  <w:r>
                    <w:rPr>
                      <w:rFonts w:hint="eastAsia"/>
                      <w:sz w:val="18"/>
                      <w:szCs w:val="18"/>
                    </w:rPr>
                    <w:t>好危险废物情况的记录，记录上须注明危险废物的名称、来源、数量、特性和包装容器的类别、入库日期、存放库位、废物出库日期及接收单位名称。危险废物的记录和货单在危险废物回取后应继续保留三年。</w:t>
                  </w:r>
                </w:p>
              </w:tc>
              <w:tc>
                <w:tcPr>
                  <w:tcW w:w="3467" w:type="dxa"/>
                  <w:vAlign w:val="center"/>
                </w:tcPr>
                <w:p w14:paraId="11131323">
                  <w:pPr>
                    <w:adjustRightInd w:val="0"/>
                    <w:snapToGrid w:val="0"/>
                    <w:rPr>
                      <w:sz w:val="18"/>
                      <w:szCs w:val="18"/>
                    </w:rPr>
                  </w:pPr>
                  <w:r>
                    <w:rPr>
                      <w:rFonts w:hint="eastAsia"/>
                      <w:sz w:val="18"/>
                      <w:szCs w:val="18"/>
                    </w:rPr>
                    <w:t>拟设立危险废物进出入台账登记管理制度，记录危险废物的名称、来源、数量、特性和包装容器的类别、入库日期、存放库位、废物出库日期及接收单位名称，严格执行危险废物电子联单制度，实行对危险废物从源头到终端处理的全过程监管，确保危险废物100%得到安全处置。危险废物的记录和货单保留三年。</w:t>
                  </w:r>
                </w:p>
              </w:tc>
            </w:tr>
          </w:tbl>
          <w:p w14:paraId="5D924093">
            <w:pPr>
              <w:adjustRightInd w:val="0"/>
              <w:snapToGrid w:val="0"/>
              <w:spacing w:line="500" w:lineRule="exact"/>
              <w:ind w:firstLine="420" w:firstLineChars="200"/>
            </w:pPr>
            <w:r>
              <w:t>5、环境管理要求</w:t>
            </w:r>
          </w:p>
          <w:p w14:paraId="06C9BBB8">
            <w:pPr>
              <w:adjustRightInd w:val="0"/>
              <w:snapToGrid w:val="0"/>
              <w:spacing w:line="500" w:lineRule="exact"/>
              <w:ind w:firstLine="420" w:firstLineChars="200"/>
            </w:pPr>
            <w:r>
              <w:t>在日常营运中，应制定固废管理计划，将固废的产生、贮存、利用、处置等情况纳入生产记录，建立固废管理台账和企业内部产生和收集贮存部门交接制度。</w:t>
            </w:r>
          </w:p>
          <w:p w14:paraId="7D24425B">
            <w:pPr>
              <w:adjustRightInd w:val="0"/>
              <w:snapToGrid w:val="0"/>
              <w:spacing w:line="500" w:lineRule="exact"/>
              <w:ind w:firstLine="420" w:firstLineChars="200"/>
            </w:pPr>
            <w:r>
              <w:t>企业为固体废物污染防治的责任主体，应建立风险管理及应急救援体系，执行环境监测计划、转移联单管理制度及国家和省有关转移管理的相关规定、处置过程安全操作规程、人员培训考核制度、档案管理制度、处置全过程管理制度等。</w:t>
            </w:r>
          </w:p>
          <w:p w14:paraId="5CDDFCC5">
            <w:pPr>
              <w:adjustRightInd w:val="0"/>
              <w:snapToGrid w:val="0"/>
              <w:spacing w:line="500" w:lineRule="exact"/>
              <w:ind w:firstLine="420" w:firstLineChars="200"/>
            </w:pPr>
            <w:r>
              <w:t>固体废物环境影响评价结论：</w:t>
            </w:r>
          </w:p>
          <w:p w14:paraId="0BD3C688">
            <w:pPr>
              <w:adjustRightInd w:val="0"/>
              <w:snapToGrid w:val="0"/>
              <w:spacing w:line="500" w:lineRule="exact"/>
              <w:ind w:firstLine="420" w:firstLineChars="200"/>
            </w:pPr>
            <w:r>
              <w:t>综上所述，建设项目产生的固废经上述措施有效处置，对周边环境影响较小，固废处理措施是可行的。</w:t>
            </w:r>
          </w:p>
          <w:p w14:paraId="62A7DC37">
            <w:pPr>
              <w:adjustRightInd w:val="0"/>
              <w:snapToGrid w:val="0"/>
              <w:spacing w:line="500" w:lineRule="exact"/>
              <w:ind w:firstLine="420" w:firstLineChars="200"/>
              <w:jc w:val="left"/>
            </w:pPr>
            <w:r>
              <w:t>根据《环境保护图形标志固体废物贮存（处置）场》（GB15562.2-1995）</w:t>
            </w:r>
            <w:r>
              <w:rPr>
                <w:rFonts w:hint="eastAsia"/>
                <w:lang w:eastAsia="zh-CN"/>
              </w:rPr>
              <w:t>、危险废物识别标志设置技术规范 （HJ 1276—2022）</w:t>
            </w:r>
            <w:r>
              <w:t>和</w:t>
            </w:r>
            <w:r>
              <w:rPr>
                <w:rFonts w:hint="eastAsia"/>
              </w:rPr>
              <w:t>《江苏省固体废物全过程环境监管工作意见》的通知苏环办[2024]16号）</w:t>
            </w:r>
            <w:r>
              <w:t>。本项目固废堆放场环境保护图形标志的具体要求见表4-2</w:t>
            </w:r>
            <w:r>
              <w:rPr>
                <w:rFonts w:hint="eastAsia"/>
                <w:lang w:val="en-US" w:eastAsia="zh-CN"/>
              </w:rPr>
              <w:t>3</w:t>
            </w:r>
            <w:r>
              <w:t>。</w:t>
            </w:r>
          </w:p>
          <w:p w14:paraId="0BCC7937">
            <w:pPr>
              <w:spacing w:line="500" w:lineRule="exact"/>
              <w:ind w:firstLine="422" w:firstLineChars="200"/>
              <w:jc w:val="center"/>
              <w:rPr>
                <w:b/>
              </w:rPr>
            </w:pPr>
            <w:r>
              <w:rPr>
                <w:b/>
              </w:rPr>
              <w:t>表</w:t>
            </w:r>
            <w:r>
              <w:rPr>
                <w:rFonts w:hint="eastAsia"/>
                <w:b/>
              </w:rPr>
              <w:t>4-2</w:t>
            </w:r>
            <w:r>
              <w:rPr>
                <w:rFonts w:hint="eastAsia"/>
                <w:b/>
                <w:lang w:val="en-US" w:eastAsia="zh-CN"/>
              </w:rPr>
              <w:t>3</w:t>
            </w:r>
            <w:r>
              <w:rPr>
                <w:rFonts w:hint="eastAsia"/>
                <w:b/>
              </w:rPr>
              <w:t xml:space="preserve"> 建设项目危险废物利用处置方式评价表</w:t>
            </w:r>
          </w:p>
          <w:tbl>
            <w:tblPr>
              <w:tblStyle w:val="16"/>
              <w:tblW w:w="80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47"/>
              <w:gridCol w:w="1134"/>
              <w:gridCol w:w="794"/>
              <w:gridCol w:w="949"/>
              <w:gridCol w:w="2756"/>
            </w:tblGrid>
            <w:tr w14:paraId="7D3548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93" w:hRule="atLeast"/>
                <w:jc w:val="center"/>
              </w:trPr>
              <w:tc>
                <w:tcPr>
                  <w:tcW w:w="1134" w:type="dxa"/>
                  <w:vAlign w:val="center"/>
                </w:tcPr>
                <w:p w14:paraId="1B326501">
                  <w:pPr>
                    <w:adjustRightInd w:val="0"/>
                    <w:snapToGrid w:val="0"/>
                    <w:jc w:val="center"/>
                    <w:rPr>
                      <w:b/>
                      <w:bCs/>
                      <w:sz w:val="18"/>
                      <w:szCs w:val="18"/>
                    </w:rPr>
                  </w:pPr>
                  <w:r>
                    <w:rPr>
                      <w:rFonts w:hint="eastAsia"/>
                      <w:b/>
                      <w:bCs/>
                      <w:sz w:val="18"/>
                      <w:szCs w:val="18"/>
                    </w:rPr>
                    <w:t>排放口名称</w:t>
                  </w:r>
                </w:p>
              </w:tc>
              <w:tc>
                <w:tcPr>
                  <w:tcW w:w="1247" w:type="dxa"/>
                  <w:vAlign w:val="center"/>
                </w:tcPr>
                <w:p w14:paraId="22FDEDA3">
                  <w:pPr>
                    <w:adjustRightInd w:val="0"/>
                    <w:snapToGrid w:val="0"/>
                    <w:jc w:val="center"/>
                    <w:rPr>
                      <w:b/>
                      <w:bCs/>
                      <w:sz w:val="18"/>
                      <w:szCs w:val="18"/>
                    </w:rPr>
                  </w:pPr>
                  <w:r>
                    <w:rPr>
                      <w:rFonts w:hint="eastAsia"/>
                      <w:b/>
                      <w:bCs/>
                      <w:sz w:val="18"/>
                      <w:szCs w:val="18"/>
                    </w:rPr>
                    <w:t>图形标志</w:t>
                  </w:r>
                </w:p>
              </w:tc>
              <w:tc>
                <w:tcPr>
                  <w:tcW w:w="1134" w:type="dxa"/>
                  <w:vAlign w:val="center"/>
                </w:tcPr>
                <w:p w14:paraId="3675ADE3">
                  <w:pPr>
                    <w:adjustRightInd w:val="0"/>
                    <w:snapToGrid w:val="0"/>
                    <w:jc w:val="center"/>
                    <w:rPr>
                      <w:b/>
                      <w:bCs/>
                      <w:sz w:val="18"/>
                      <w:szCs w:val="18"/>
                    </w:rPr>
                  </w:pPr>
                  <w:r>
                    <w:rPr>
                      <w:rFonts w:hint="eastAsia"/>
                      <w:b/>
                      <w:bCs/>
                      <w:sz w:val="18"/>
                      <w:szCs w:val="18"/>
                    </w:rPr>
                    <w:t>形状</w:t>
                  </w:r>
                </w:p>
              </w:tc>
              <w:tc>
                <w:tcPr>
                  <w:tcW w:w="794" w:type="dxa"/>
                  <w:vAlign w:val="center"/>
                </w:tcPr>
                <w:p w14:paraId="6D5C3B52">
                  <w:pPr>
                    <w:adjustRightInd w:val="0"/>
                    <w:snapToGrid w:val="0"/>
                    <w:jc w:val="center"/>
                    <w:rPr>
                      <w:b/>
                      <w:bCs/>
                      <w:sz w:val="18"/>
                      <w:szCs w:val="18"/>
                    </w:rPr>
                  </w:pPr>
                  <w:r>
                    <w:rPr>
                      <w:rFonts w:hint="eastAsia"/>
                      <w:b/>
                      <w:bCs/>
                      <w:sz w:val="18"/>
                      <w:szCs w:val="18"/>
                    </w:rPr>
                    <w:t>背景</w:t>
                  </w:r>
                </w:p>
                <w:p w14:paraId="2AED4382">
                  <w:pPr>
                    <w:adjustRightInd w:val="0"/>
                    <w:snapToGrid w:val="0"/>
                    <w:jc w:val="center"/>
                    <w:rPr>
                      <w:b/>
                      <w:bCs/>
                      <w:sz w:val="18"/>
                      <w:szCs w:val="18"/>
                    </w:rPr>
                  </w:pPr>
                  <w:r>
                    <w:rPr>
                      <w:rFonts w:hint="eastAsia"/>
                      <w:b/>
                      <w:bCs/>
                      <w:sz w:val="18"/>
                      <w:szCs w:val="18"/>
                    </w:rPr>
                    <w:t>颜色</w:t>
                  </w:r>
                </w:p>
              </w:tc>
              <w:tc>
                <w:tcPr>
                  <w:tcW w:w="949" w:type="dxa"/>
                  <w:vAlign w:val="center"/>
                </w:tcPr>
                <w:p w14:paraId="2F87C9D0">
                  <w:pPr>
                    <w:adjustRightInd w:val="0"/>
                    <w:snapToGrid w:val="0"/>
                    <w:jc w:val="center"/>
                    <w:rPr>
                      <w:b/>
                      <w:bCs/>
                      <w:sz w:val="18"/>
                      <w:szCs w:val="18"/>
                    </w:rPr>
                  </w:pPr>
                  <w:r>
                    <w:rPr>
                      <w:rFonts w:hint="eastAsia"/>
                      <w:b/>
                      <w:bCs/>
                      <w:sz w:val="18"/>
                      <w:szCs w:val="18"/>
                    </w:rPr>
                    <w:t>图形</w:t>
                  </w:r>
                </w:p>
                <w:p w14:paraId="14AEF355">
                  <w:pPr>
                    <w:adjustRightInd w:val="0"/>
                    <w:snapToGrid w:val="0"/>
                    <w:jc w:val="center"/>
                    <w:rPr>
                      <w:b/>
                      <w:bCs/>
                      <w:sz w:val="18"/>
                      <w:szCs w:val="18"/>
                    </w:rPr>
                  </w:pPr>
                  <w:r>
                    <w:rPr>
                      <w:rFonts w:hint="eastAsia"/>
                      <w:b/>
                      <w:bCs/>
                      <w:sz w:val="18"/>
                      <w:szCs w:val="18"/>
                    </w:rPr>
                    <w:t>颜色</w:t>
                  </w:r>
                </w:p>
              </w:tc>
              <w:tc>
                <w:tcPr>
                  <w:tcW w:w="2756" w:type="dxa"/>
                  <w:vAlign w:val="center"/>
                </w:tcPr>
                <w:p w14:paraId="5995FE5D">
                  <w:pPr>
                    <w:adjustRightInd w:val="0"/>
                    <w:snapToGrid w:val="0"/>
                    <w:jc w:val="center"/>
                    <w:rPr>
                      <w:b/>
                      <w:bCs/>
                      <w:sz w:val="18"/>
                      <w:szCs w:val="18"/>
                    </w:rPr>
                  </w:pPr>
                  <w:r>
                    <w:rPr>
                      <w:rFonts w:hint="eastAsia"/>
                      <w:b/>
                      <w:bCs/>
                      <w:sz w:val="18"/>
                      <w:szCs w:val="18"/>
                    </w:rPr>
                    <w:t>图形标志</w:t>
                  </w:r>
                </w:p>
              </w:tc>
            </w:tr>
            <w:tr w14:paraId="2FEF8B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134" w:type="dxa"/>
                  <w:vMerge w:val="restart"/>
                  <w:vAlign w:val="center"/>
                </w:tcPr>
                <w:p w14:paraId="523E8E30">
                  <w:pPr>
                    <w:adjustRightInd w:val="0"/>
                    <w:snapToGrid w:val="0"/>
                    <w:jc w:val="center"/>
                    <w:rPr>
                      <w:sz w:val="18"/>
                      <w:szCs w:val="18"/>
                    </w:rPr>
                  </w:pPr>
                  <w:r>
                    <w:rPr>
                      <w:kern w:val="0"/>
                      <w:sz w:val="18"/>
                      <w:szCs w:val="18"/>
                    </w:rPr>
                    <w:t>危险废物暂存场所</w:t>
                  </w:r>
                </w:p>
              </w:tc>
              <w:tc>
                <w:tcPr>
                  <w:tcW w:w="1247" w:type="dxa"/>
                  <w:vAlign w:val="center"/>
                </w:tcPr>
                <w:p w14:paraId="5A859574">
                  <w:pPr>
                    <w:autoSpaceDE w:val="0"/>
                    <w:autoSpaceDN w:val="0"/>
                    <w:adjustRightInd w:val="0"/>
                    <w:snapToGrid w:val="0"/>
                    <w:jc w:val="center"/>
                    <w:rPr>
                      <w:sz w:val="18"/>
                      <w:szCs w:val="18"/>
                    </w:rPr>
                  </w:pPr>
                  <w:r>
                    <w:rPr>
                      <w:rFonts w:hint="eastAsia"/>
                      <w:kern w:val="0"/>
                      <w:sz w:val="18"/>
                      <w:szCs w:val="18"/>
                    </w:rPr>
                    <w:t>贮存分区标识</w:t>
                  </w:r>
                </w:p>
              </w:tc>
              <w:tc>
                <w:tcPr>
                  <w:tcW w:w="1134" w:type="dxa"/>
                  <w:vAlign w:val="center"/>
                </w:tcPr>
                <w:p w14:paraId="665E14AD">
                  <w:pPr>
                    <w:autoSpaceDE w:val="0"/>
                    <w:autoSpaceDN w:val="0"/>
                    <w:adjustRightInd w:val="0"/>
                    <w:snapToGrid w:val="0"/>
                    <w:jc w:val="center"/>
                    <w:rPr>
                      <w:sz w:val="18"/>
                      <w:szCs w:val="18"/>
                    </w:rPr>
                  </w:pPr>
                  <w:r>
                    <w:rPr>
                      <w:kern w:val="0"/>
                      <w:sz w:val="18"/>
                      <w:szCs w:val="18"/>
                    </w:rPr>
                    <w:t>长方形边框</w:t>
                  </w:r>
                </w:p>
              </w:tc>
              <w:tc>
                <w:tcPr>
                  <w:tcW w:w="794" w:type="dxa"/>
                  <w:vAlign w:val="center"/>
                </w:tcPr>
                <w:p w14:paraId="0F6DA578">
                  <w:pPr>
                    <w:autoSpaceDE w:val="0"/>
                    <w:autoSpaceDN w:val="0"/>
                    <w:adjustRightInd w:val="0"/>
                    <w:snapToGrid w:val="0"/>
                    <w:jc w:val="center"/>
                    <w:rPr>
                      <w:sz w:val="18"/>
                      <w:szCs w:val="18"/>
                    </w:rPr>
                  </w:pPr>
                  <w:r>
                    <w:rPr>
                      <w:kern w:val="0"/>
                      <w:sz w:val="18"/>
                      <w:szCs w:val="18"/>
                    </w:rPr>
                    <w:t>黄色</w:t>
                  </w:r>
                </w:p>
              </w:tc>
              <w:tc>
                <w:tcPr>
                  <w:tcW w:w="949" w:type="dxa"/>
                  <w:vAlign w:val="center"/>
                </w:tcPr>
                <w:p w14:paraId="45746602">
                  <w:pPr>
                    <w:autoSpaceDE w:val="0"/>
                    <w:autoSpaceDN w:val="0"/>
                    <w:adjustRightInd w:val="0"/>
                    <w:snapToGrid w:val="0"/>
                    <w:jc w:val="center"/>
                    <w:rPr>
                      <w:sz w:val="18"/>
                      <w:szCs w:val="18"/>
                    </w:rPr>
                  </w:pPr>
                  <w:r>
                    <w:rPr>
                      <w:rFonts w:hint="eastAsia"/>
                      <w:sz w:val="18"/>
                      <w:szCs w:val="18"/>
                    </w:rPr>
                    <w:t>橘黄色</w:t>
                  </w:r>
                </w:p>
              </w:tc>
              <w:tc>
                <w:tcPr>
                  <w:tcW w:w="2756" w:type="dxa"/>
                  <w:vAlign w:val="center"/>
                </w:tcPr>
                <w:p w14:paraId="6491A5D1">
                  <w:pPr>
                    <w:autoSpaceDE w:val="0"/>
                    <w:autoSpaceDN w:val="0"/>
                    <w:adjustRightInd w:val="0"/>
                    <w:snapToGrid w:val="0"/>
                    <w:jc w:val="center"/>
                    <w:rPr>
                      <w:szCs w:val="21"/>
                    </w:rPr>
                  </w:pPr>
                  <w:r>
                    <w:rPr>
                      <w:rFonts w:hint="eastAsia"/>
                      <w:sz w:val="18"/>
                      <w:szCs w:val="18"/>
                    </w:rPr>
                    <w:drawing>
                      <wp:inline distT="0" distB="0" distL="114300" distR="114300">
                        <wp:extent cx="1567815" cy="1318895"/>
                        <wp:effectExtent l="0" t="0" r="13335" b="14605"/>
                        <wp:docPr id="13" name="图片 7" descr="a501ff290b0be2f0355b7727ee6e6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a501ff290b0be2f0355b7727ee6e60c"/>
                                <pic:cNvPicPr>
                                  <a:picLocks noChangeAspect="1"/>
                                </pic:cNvPicPr>
                              </pic:nvPicPr>
                              <pic:blipFill>
                                <a:blip r:embed="rId11"/>
                                <a:stretch>
                                  <a:fillRect/>
                                </a:stretch>
                              </pic:blipFill>
                              <pic:spPr>
                                <a:xfrm>
                                  <a:off x="0" y="0"/>
                                  <a:ext cx="1567815" cy="1318895"/>
                                </a:xfrm>
                                <a:prstGeom prst="rect">
                                  <a:avLst/>
                                </a:prstGeom>
                                <a:noFill/>
                                <a:ln>
                                  <a:noFill/>
                                </a:ln>
                              </pic:spPr>
                            </pic:pic>
                          </a:graphicData>
                        </a:graphic>
                      </wp:inline>
                    </w:drawing>
                  </w:r>
                </w:p>
              </w:tc>
            </w:tr>
            <w:tr w14:paraId="2297EE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134" w:type="dxa"/>
                  <w:vMerge w:val="continue"/>
                  <w:vAlign w:val="center"/>
                </w:tcPr>
                <w:p w14:paraId="2BA41666">
                  <w:pPr>
                    <w:adjustRightInd w:val="0"/>
                    <w:snapToGrid w:val="0"/>
                    <w:jc w:val="center"/>
                    <w:rPr>
                      <w:sz w:val="18"/>
                      <w:szCs w:val="18"/>
                    </w:rPr>
                  </w:pPr>
                </w:p>
              </w:tc>
              <w:tc>
                <w:tcPr>
                  <w:tcW w:w="1247" w:type="dxa"/>
                  <w:vAlign w:val="center"/>
                </w:tcPr>
                <w:p w14:paraId="69E6B5A1">
                  <w:pPr>
                    <w:autoSpaceDE w:val="0"/>
                    <w:autoSpaceDN w:val="0"/>
                    <w:adjustRightInd w:val="0"/>
                    <w:snapToGrid w:val="0"/>
                    <w:jc w:val="center"/>
                    <w:rPr>
                      <w:sz w:val="18"/>
                      <w:szCs w:val="18"/>
                    </w:rPr>
                  </w:pPr>
                  <w:r>
                    <w:rPr>
                      <w:kern w:val="0"/>
                      <w:sz w:val="18"/>
                      <w:szCs w:val="18"/>
                    </w:rPr>
                    <w:t>贮存设施标志牌</w:t>
                  </w:r>
                </w:p>
              </w:tc>
              <w:tc>
                <w:tcPr>
                  <w:tcW w:w="1134" w:type="dxa"/>
                  <w:vAlign w:val="center"/>
                </w:tcPr>
                <w:p w14:paraId="11C05FDD">
                  <w:pPr>
                    <w:autoSpaceDE w:val="0"/>
                    <w:autoSpaceDN w:val="0"/>
                    <w:adjustRightInd w:val="0"/>
                    <w:snapToGrid w:val="0"/>
                    <w:jc w:val="center"/>
                    <w:rPr>
                      <w:sz w:val="18"/>
                      <w:szCs w:val="18"/>
                    </w:rPr>
                  </w:pPr>
                  <w:r>
                    <w:rPr>
                      <w:kern w:val="0"/>
                      <w:sz w:val="18"/>
                      <w:szCs w:val="18"/>
                    </w:rPr>
                    <w:t>长方形边框</w:t>
                  </w:r>
                </w:p>
              </w:tc>
              <w:tc>
                <w:tcPr>
                  <w:tcW w:w="794" w:type="dxa"/>
                  <w:vAlign w:val="center"/>
                </w:tcPr>
                <w:p w14:paraId="17F21EEB">
                  <w:pPr>
                    <w:autoSpaceDE w:val="0"/>
                    <w:autoSpaceDN w:val="0"/>
                    <w:adjustRightInd w:val="0"/>
                    <w:snapToGrid w:val="0"/>
                    <w:jc w:val="center"/>
                    <w:rPr>
                      <w:sz w:val="18"/>
                      <w:szCs w:val="18"/>
                    </w:rPr>
                  </w:pPr>
                  <w:r>
                    <w:rPr>
                      <w:kern w:val="0"/>
                      <w:sz w:val="18"/>
                      <w:szCs w:val="18"/>
                    </w:rPr>
                    <w:t>黄色</w:t>
                  </w:r>
                </w:p>
              </w:tc>
              <w:tc>
                <w:tcPr>
                  <w:tcW w:w="949" w:type="dxa"/>
                  <w:vAlign w:val="center"/>
                </w:tcPr>
                <w:p w14:paraId="7397B2ED">
                  <w:pPr>
                    <w:autoSpaceDE w:val="0"/>
                    <w:autoSpaceDN w:val="0"/>
                    <w:adjustRightInd w:val="0"/>
                    <w:snapToGrid w:val="0"/>
                    <w:jc w:val="center"/>
                    <w:rPr>
                      <w:sz w:val="18"/>
                      <w:szCs w:val="18"/>
                    </w:rPr>
                  </w:pPr>
                  <w:r>
                    <w:rPr>
                      <w:kern w:val="0"/>
                      <w:sz w:val="18"/>
                      <w:szCs w:val="18"/>
                    </w:rPr>
                    <w:t>黑色</w:t>
                  </w:r>
                </w:p>
              </w:tc>
              <w:tc>
                <w:tcPr>
                  <w:tcW w:w="2756" w:type="dxa"/>
                  <w:vAlign w:val="center"/>
                </w:tcPr>
                <w:p w14:paraId="57E2EE6C">
                  <w:pPr>
                    <w:autoSpaceDE w:val="0"/>
                    <w:autoSpaceDN w:val="0"/>
                    <w:adjustRightInd w:val="0"/>
                    <w:snapToGrid w:val="0"/>
                    <w:jc w:val="center"/>
                    <w:rPr>
                      <w:szCs w:val="21"/>
                    </w:rPr>
                  </w:pPr>
                  <w:r>
                    <w:rPr>
                      <w:rFonts w:hint="eastAsia"/>
                      <w:kern w:val="0"/>
                      <w:sz w:val="18"/>
                      <w:szCs w:val="18"/>
                    </w:rPr>
                    <w:drawing>
                      <wp:inline distT="0" distB="0" distL="114300" distR="114300">
                        <wp:extent cx="1596390" cy="1002665"/>
                        <wp:effectExtent l="0" t="0" r="3810" b="6985"/>
                        <wp:docPr id="12" name="图片 8" descr="528f46504634c351ceb34cc5e45ed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528f46504634c351ceb34cc5e45ed99"/>
                                <pic:cNvPicPr>
                                  <a:picLocks noChangeAspect="1"/>
                                </pic:cNvPicPr>
                              </pic:nvPicPr>
                              <pic:blipFill>
                                <a:blip r:embed="rId12"/>
                                <a:stretch>
                                  <a:fillRect/>
                                </a:stretch>
                              </pic:blipFill>
                              <pic:spPr>
                                <a:xfrm>
                                  <a:off x="0" y="0"/>
                                  <a:ext cx="1596390" cy="1002665"/>
                                </a:xfrm>
                                <a:prstGeom prst="rect">
                                  <a:avLst/>
                                </a:prstGeom>
                                <a:noFill/>
                                <a:ln>
                                  <a:noFill/>
                                </a:ln>
                              </pic:spPr>
                            </pic:pic>
                          </a:graphicData>
                        </a:graphic>
                      </wp:inline>
                    </w:drawing>
                  </w:r>
                </w:p>
              </w:tc>
            </w:tr>
            <w:tr w14:paraId="2B664E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134" w:type="dxa"/>
                  <w:vMerge w:val="continue"/>
                  <w:vAlign w:val="center"/>
                </w:tcPr>
                <w:p w14:paraId="3F391446">
                  <w:pPr>
                    <w:adjustRightInd w:val="0"/>
                    <w:snapToGrid w:val="0"/>
                    <w:jc w:val="center"/>
                    <w:rPr>
                      <w:sz w:val="18"/>
                      <w:szCs w:val="18"/>
                    </w:rPr>
                  </w:pPr>
                </w:p>
              </w:tc>
              <w:tc>
                <w:tcPr>
                  <w:tcW w:w="1247" w:type="dxa"/>
                  <w:vAlign w:val="center"/>
                </w:tcPr>
                <w:p w14:paraId="2FD42A08">
                  <w:pPr>
                    <w:autoSpaceDE w:val="0"/>
                    <w:autoSpaceDN w:val="0"/>
                    <w:adjustRightInd w:val="0"/>
                    <w:snapToGrid w:val="0"/>
                    <w:jc w:val="center"/>
                    <w:rPr>
                      <w:sz w:val="18"/>
                      <w:szCs w:val="18"/>
                    </w:rPr>
                  </w:pPr>
                  <w:r>
                    <w:rPr>
                      <w:kern w:val="0"/>
                      <w:sz w:val="18"/>
                      <w:szCs w:val="18"/>
                    </w:rPr>
                    <w:t>包装识别标签</w:t>
                  </w:r>
                </w:p>
              </w:tc>
              <w:tc>
                <w:tcPr>
                  <w:tcW w:w="1134" w:type="dxa"/>
                  <w:vAlign w:val="center"/>
                </w:tcPr>
                <w:p w14:paraId="7CBB647A">
                  <w:pPr>
                    <w:autoSpaceDE w:val="0"/>
                    <w:autoSpaceDN w:val="0"/>
                    <w:adjustRightInd w:val="0"/>
                    <w:snapToGrid w:val="0"/>
                    <w:jc w:val="center"/>
                    <w:rPr>
                      <w:sz w:val="18"/>
                      <w:szCs w:val="18"/>
                    </w:rPr>
                  </w:pPr>
                  <w:r>
                    <w:rPr>
                      <w:kern w:val="0"/>
                      <w:sz w:val="18"/>
                      <w:szCs w:val="18"/>
                    </w:rPr>
                    <w:t>/</w:t>
                  </w:r>
                </w:p>
              </w:tc>
              <w:tc>
                <w:tcPr>
                  <w:tcW w:w="794" w:type="dxa"/>
                  <w:vAlign w:val="center"/>
                </w:tcPr>
                <w:p w14:paraId="59909314">
                  <w:pPr>
                    <w:autoSpaceDE w:val="0"/>
                    <w:autoSpaceDN w:val="0"/>
                    <w:adjustRightInd w:val="0"/>
                    <w:snapToGrid w:val="0"/>
                    <w:jc w:val="center"/>
                    <w:rPr>
                      <w:sz w:val="18"/>
                      <w:szCs w:val="18"/>
                    </w:rPr>
                  </w:pPr>
                  <w:r>
                    <w:rPr>
                      <w:rFonts w:hint="eastAsia"/>
                      <w:sz w:val="18"/>
                      <w:szCs w:val="18"/>
                    </w:rPr>
                    <w:t>橘黄色</w:t>
                  </w:r>
                </w:p>
              </w:tc>
              <w:tc>
                <w:tcPr>
                  <w:tcW w:w="949" w:type="dxa"/>
                  <w:vAlign w:val="center"/>
                </w:tcPr>
                <w:p w14:paraId="730D5D88">
                  <w:pPr>
                    <w:autoSpaceDE w:val="0"/>
                    <w:autoSpaceDN w:val="0"/>
                    <w:adjustRightInd w:val="0"/>
                    <w:snapToGrid w:val="0"/>
                    <w:jc w:val="center"/>
                    <w:rPr>
                      <w:sz w:val="18"/>
                      <w:szCs w:val="18"/>
                    </w:rPr>
                  </w:pPr>
                  <w:r>
                    <w:rPr>
                      <w:kern w:val="0"/>
                      <w:sz w:val="18"/>
                      <w:szCs w:val="18"/>
                    </w:rPr>
                    <w:t>黑色</w:t>
                  </w:r>
                </w:p>
              </w:tc>
              <w:tc>
                <w:tcPr>
                  <w:tcW w:w="2756" w:type="dxa"/>
                  <w:vAlign w:val="center"/>
                </w:tcPr>
                <w:p w14:paraId="7076B070">
                  <w:pPr>
                    <w:autoSpaceDE w:val="0"/>
                    <w:autoSpaceDN w:val="0"/>
                    <w:adjustRightInd w:val="0"/>
                    <w:snapToGrid w:val="0"/>
                    <w:jc w:val="center"/>
                    <w:rPr>
                      <w:szCs w:val="21"/>
                    </w:rPr>
                  </w:pPr>
                  <w:r>
                    <w:rPr>
                      <w:rFonts w:hint="eastAsia"/>
                      <w:kern w:val="0"/>
                      <w:sz w:val="18"/>
                      <w:szCs w:val="18"/>
                    </w:rPr>
                    <w:drawing>
                      <wp:inline distT="0" distB="0" distL="114300" distR="114300">
                        <wp:extent cx="1483360" cy="1071880"/>
                        <wp:effectExtent l="0" t="0" r="2540" b="13970"/>
                        <wp:docPr id="10" name="图片 9" descr="85cd3f7e3ae128b722fa9e3f3229e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85cd3f7e3ae128b722fa9e3f3229e2e"/>
                                <pic:cNvPicPr>
                                  <a:picLocks noChangeAspect="1"/>
                                </pic:cNvPicPr>
                              </pic:nvPicPr>
                              <pic:blipFill>
                                <a:blip r:embed="rId13"/>
                                <a:stretch>
                                  <a:fillRect/>
                                </a:stretch>
                              </pic:blipFill>
                              <pic:spPr>
                                <a:xfrm>
                                  <a:off x="0" y="0"/>
                                  <a:ext cx="1483360" cy="1071880"/>
                                </a:xfrm>
                                <a:prstGeom prst="rect">
                                  <a:avLst/>
                                </a:prstGeom>
                                <a:noFill/>
                                <a:ln>
                                  <a:noFill/>
                                </a:ln>
                              </pic:spPr>
                            </pic:pic>
                          </a:graphicData>
                        </a:graphic>
                      </wp:inline>
                    </w:drawing>
                  </w:r>
                </w:p>
              </w:tc>
            </w:tr>
            <w:tr w14:paraId="5917E2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134" w:type="dxa"/>
                  <w:vAlign w:val="center"/>
                </w:tcPr>
                <w:p w14:paraId="13695A8F">
                  <w:pPr>
                    <w:adjustRightInd w:val="0"/>
                    <w:snapToGrid w:val="0"/>
                    <w:jc w:val="center"/>
                    <w:rPr>
                      <w:sz w:val="18"/>
                      <w:szCs w:val="18"/>
                    </w:rPr>
                  </w:pPr>
                  <w:r>
                    <w:rPr>
                      <w:rFonts w:hint="eastAsia"/>
                      <w:sz w:val="18"/>
                      <w:szCs w:val="18"/>
                    </w:rPr>
                    <w:t>废气排口</w:t>
                  </w:r>
                </w:p>
              </w:tc>
              <w:tc>
                <w:tcPr>
                  <w:tcW w:w="1247" w:type="dxa"/>
                  <w:vAlign w:val="center"/>
                </w:tcPr>
                <w:p w14:paraId="0DEBEBC6">
                  <w:pPr>
                    <w:adjustRightInd w:val="0"/>
                    <w:snapToGrid w:val="0"/>
                    <w:jc w:val="center"/>
                    <w:rPr>
                      <w:sz w:val="18"/>
                      <w:szCs w:val="18"/>
                    </w:rPr>
                  </w:pPr>
                  <w:r>
                    <w:rPr>
                      <w:rFonts w:hint="eastAsia"/>
                      <w:sz w:val="18"/>
                      <w:szCs w:val="18"/>
                    </w:rPr>
                    <w:t>提示标志</w:t>
                  </w:r>
                </w:p>
              </w:tc>
              <w:tc>
                <w:tcPr>
                  <w:tcW w:w="1134" w:type="dxa"/>
                  <w:vAlign w:val="center"/>
                </w:tcPr>
                <w:p w14:paraId="6247CB03">
                  <w:pPr>
                    <w:adjustRightInd w:val="0"/>
                    <w:snapToGrid w:val="0"/>
                    <w:jc w:val="center"/>
                    <w:rPr>
                      <w:sz w:val="18"/>
                      <w:szCs w:val="18"/>
                    </w:rPr>
                  </w:pPr>
                  <w:r>
                    <w:rPr>
                      <w:rFonts w:hint="eastAsia"/>
                      <w:sz w:val="18"/>
                      <w:szCs w:val="18"/>
                    </w:rPr>
                    <w:t>70</w:t>
                  </w:r>
                  <w:r>
                    <w:rPr>
                      <w:sz w:val="18"/>
                      <w:szCs w:val="18"/>
                    </w:rPr>
                    <w:t>×</w:t>
                  </w:r>
                  <w:r>
                    <w:rPr>
                      <w:rFonts w:hint="eastAsia"/>
                      <w:sz w:val="18"/>
                      <w:szCs w:val="18"/>
                    </w:rPr>
                    <w:t>50cm</w:t>
                  </w:r>
                </w:p>
              </w:tc>
              <w:tc>
                <w:tcPr>
                  <w:tcW w:w="794" w:type="dxa"/>
                  <w:vAlign w:val="center"/>
                </w:tcPr>
                <w:p w14:paraId="5AF8A84E">
                  <w:pPr>
                    <w:adjustRightInd w:val="0"/>
                    <w:snapToGrid w:val="0"/>
                    <w:jc w:val="center"/>
                    <w:rPr>
                      <w:sz w:val="18"/>
                      <w:szCs w:val="18"/>
                    </w:rPr>
                  </w:pPr>
                  <w:r>
                    <w:rPr>
                      <w:rFonts w:hint="eastAsia"/>
                      <w:sz w:val="18"/>
                      <w:szCs w:val="18"/>
                    </w:rPr>
                    <w:t>绿色</w:t>
                  </w:r>
                </w:p>
              </w:tc>
              <w:tc>
                <w:tcPr>
                  <w:tcW w:w="949" w:type="dxa"/>
                  <w:vAlign w:val="center"/>
                </w:tcPr>
                <w:p w14:paraId="7665BFAF">
                  <w:pPr>
                    <w:adjustRightInd w:val="0"/>
                    <w:snapToGrid w:val="0"/>
                    <w:jc w:val="center"/>
                    <w:rPr>
                      <w:sz w:val="18"/>
                      <w:szCs w:val="18"/>
                    </w:rPr>
                  </w:pPr>
                  <w:r>
                    <w:rPr>
                      <w:rFonts w:hint="eastAsia"/>
                      <w:sz w:val="18"/>
                      <w:szCs w:val="18"/>
                    </w:rPr>
                    <w:t>白色</w:t>
                  </w:r>
                </w:p>
              </w:tc>
              <w:tc>
                <w:tcPr>
                  <w:tcW w:w="2756" w:type="dxa"/>
                  <w:vAlign w:val="center"/>
                </w:tcPr>
                <w:p w14:paraId="68FEF540">
                  <w:pPr>
                    <w:adjustRightInd w:val="0"/>
                    <w:snapToGrid w:val="0"/>
                    <w:jc w:val="center"/>
                    <w:rPr>
                      <w:szCs w:val="21"/>
                    </w:rPr>
                  </w:pPr>
                  <w:r>
                    <w:rPr>
                      <w:szCs w:val="21"/>
                    </w:rPr>
                    <w:drawing>
                      <wp:inline distT="0" distB="0" distL="114300" distR="114300">
                        <wp:extent cx="1675765" cy="1003935"/>
                        <wp:effectExtent l="0" t="0" r="635" b="5715"/>
                        <wp:docPr id="9" name="图片 10" descr="E:\桌面\QQ截图20200702162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E:\桌面\QQ截图20200702162140.png"/>
                                <pic:cNvPicPr>
                                  <a:picLocks noChangeAspect="1"/>
                                </pic:cNvPicPr>
                              </pic:nvPicPr>
                              <pic:blipFill>
                                <a:blip r:embed="rId14"/>
                                <a:stretch>
                                  <a:fillRect/>
                                </a:stretch>
                              </pic:blipFill>
                              <pic:spPr>
                                <a:xfrm>
                                  <a:off x="0" y="0"/>
                                  <a:ext cx="1675765" cy="1003935"/>
                                </a:xfrm>
                                <a:prstGeom prst="rect">
                                  <a:avLst/>
                                </a:prstGeom>
                                <a:noFill/>
                                <a:ln>
                                  <a:noFill/>
                                </a:ln>
                              </pic:spPr>
                            </pic:pic>
                          </a:graphicData>
                        </a:graphic>
                      </wp:inline>
                    </w:drawing>
                  </w:r>
                </w:p>
              </w:tc>
            </w:tr>
            <w:tr w14:paraId="50D2E3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134" w:type="dxa"/>
                  <w:vAlign w:val="center"/>
                </w:tcPr>
                <w:p w14:paraId="768D812A">
                  <w:pPr>
                    <w:adjustRightInd w:val="0"/>
                    <w:snapToGrid w:val="0"/>
                    <w:jc w:val="center"/>
                    <w:rPr>
                      <w:sz w:val="18"/>
                      <w:szCs w:val="18"/>
                    </w:rPr>
                  </w:pPr>
                  <w:r>
                    <w:rPr>
                      <w:rFonts w:hint="eastAsia"/>
                      <w:sz w:val="18"/>
                      <w:szCs w:val="18"/>
                    </w:rPr>
                    <w:t>一般固废暂存场所</w:t>
                  </w:r>
                </w:p>
              </w:tc>
              <w:tc>
                <w:tcPr>
                  <w:tcW w:w="1247" w:type="dxa"/>
                  <w:vAlign w:val="center"/>
                </w:tcPr>
                <w:p w14:paraId="4A353492">
                  <w:pPr>
                    <w:adjustRightInd w:val="0"/>
                    <w:snapToGrid w:val="0"/>
                    <w:jc w:val="center"/>
                    <w:rPr>
                      <w:sz w:val="18"/>
                      <w:szCs w:val="18"/>
                    </w:rPr>
                  </w:pPr>
                  <w:r>
                    <w:rPr>
                      <w:rFonts w:hint="eastAsia"/>
                      <w:sz w:val="18"/>
                      <w:szCs w:val="18"/>
                    </w:rPr>
                    <w:t>提示标志</w:t>
                  </w:r>
                </w:p>
              </w:tc>
              <w:tc>
                <w:tcPr>
                  <w:tcW w:w="1134" w:type="dxa"/>
                  <w:vAlign w:val="center"/>
                </w:tcPr>
                <w:p w14:paraId="2BD36845">
                  <w:pPr>
                    <w:adjustRightInd w:val="0"/>
                    <w:snapToGrid w:val="0"/>
                    <w:jc w:val="center"/>
                    <w:rPr>
                      <w:sz w:val="18"/>
                      <w:szCs w:val="18"/>
                    </w:rPr>
                  </w:pPr>
                  <w:r>
                    <w:rPr>
                      <w:rFonts w:hint="eastAsia"/>
                      <w:sz w:val="18"/>
                      <w:szCs w:val="18"/>
                    </w:rPr>
                    <w:t>70</w:t>
                  </w:r>
                  <w:r>
                    <w:rPr>
                      <w:sz w:val="18"/>
                      <w:szCs w:val="18"/>
                    </w:rPr>
                    <w:t>×</w:t>
                  </w:r>
                  <w:r>
                    <w:rPr>
                      <w:rFonts w:hint="eastAsia"/>
                      <w:sz w:val="18"/>
                      <w:szCs w:val="18"/>
                    </w:rPr>
                    <w:t>50cm</w:t>
                  </w:r>
                </w:p>
              </w:tc>
              <w:tc>
                <w:tcPr>
                  <w:tcW w:w="794" w:type="dxa"/>
                  <w:vAlign w:val="center"/>
                </w:tcPr>
                <w:p w14:paraId="205F1EBC">
                  <w:pPr>
                    <w:adjustRightInd w:val="0"/>
                    <w:snapToGrid w:val="0"/>
                    <w:jc w:val="center"/>
                    <w:rPr>
                      <w:sz w:val="18"/>
                      <w:szCs w:val="18"/>
                    </w:rPr>
                  </w:pPr>
                  <w:r>
                    <w:rPr>
                      <w:rFonts w:hint="eastAsia"/>
                      <w:sz w:val="18"/>
                      <w:szCs w:val="18"/>
                    </w:rPr>
                    <w:t>绿色</w:t>
                  </w:r>
                </w:p>
              </w:tc>
              <w:tc>
                <w:tcPr>
                  <w:tcW w:w="949" w:type="dxa"/>
                  <w:vAlign w:val="center"/>
                </w:tcPr>
                <w:p w14:paraId="3EF0FC1B">
                  <w:pPr>
                    <w:adjustRightInd w:val="0"/>
                    <w:snapToGrid w:val="0"/>
                    <w:jc w:val="center"/>
                    <w:rPr>
                      <w:sz w:val="18"/>
                      <w:szCs w:val="18"/>
                    </w:rPr>
                  </w:pPr>
                  <w:r>
                    <w:rPr>
                      <w:rFonts w:hint="eastAsia"/>
                      <w:sz w:val="18"/>
                      <w:szCs w:val="18"/>
                    </w:rPr>
                    <w:t>白色</w:t>
                  </w:r>
                </w:p>
              </w:tc>
              <w:tc>
                <w:tcPr>
                  <w:tcW w:w="2756" w:type="dxa"/>
                  <w:vAlign w:val="center"/>
                </w:tcPr>
                <w:p w14:paraId="2B98746B">
                  <w:pPr>
                    <w:adjustRightInd w:val="0"/>
                    <w:snapToGrid w:val="0"/>
                    <w:jc w:val="center"/>
                    <w:rPr>
                      <w:sz w:val="18"/>
                      <w:szCs w:val="18"/>
                    </w:rPr>
                  </w:pPr>
                  <w:r>
                    <w:rPr>
                      <w:sz w:val="18"/>
                      <w:szCs w:val="18"/>
                    </w:rPr>
                    <w:drawing>
                      <wp:inline distT="0" distB="0" distL="114300" distR="114300">
                        <wp:extent cx="1661795" cy="991235"/>
                        <wp:effectExtent l="0" t="0" r="14605" b="18415"/>
                        <wp:docPr id="6" name="图片 13" descr="E:\桌面\QQ截图20200702161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descr="E:\桌面\QQ截图20200702161351.png"/>
                                <pic:cNvPicPr>
                                  <a:picLocks noChangeAspect="1"/>
                                </pic:cNvPicPr>
                              </pic:nvPicPr>
                              <pic:blipFill>
                                <a:blip r:embed="rId15"/>
                                <a:stretch>
                                  <a:fillRect/>
                                </a:stretch>
                              </pic:blipFill>
                              <pic:spPr>
                                <a:xfrm>
                                  <a:off x="0" y="0"/>
                                  <a:ext cx="1661795" cy="991235"/>
                                </a:xfrm>
                                <a:prstGeom prst="rect">
                                  <a:avLst/>
                                </a:prstGeom>
                                <a:noFill/>
                                <a:ln>
                                  <a:noFill/>
                                </a:ln>
                              </pic:spPr>
                            </pic:pic>
                          </a:graphicData>
                        </a:graphic>
                      </wp:inline>
                    </w:drawing>
                  </w:r>
                </w:p>
              </w:tc>
            </w:tr>
          </w:tbl>
          <w:p w14:paraId="6F78AE70">
            <w:pPr>
              <w:widowControl/>
              <w:spacing w:line="500" w:lineRule="exact"/>
              <w:ind w:firstLine="422" w:firstLineChars="200"/>
              <w:jc w:val="left"/>
              <w:rPr>
                <w:b/>
                <w:bCs/>
              </w:rPr>
            </w:pPr>
            <w:r>
              <w:rPr>
                <w:b/>
                <w:bCs/>
              </w:rPr>
              <w:t xml:space="preserve">五、地下水、土壤环境影响分析 </w:t>
            </w:r>
          </w:p>
          <w:p w14:paraId="66092A91">
            <w:pPr>
              <w:widowControl/>
              <w:spacing w:line="500" w:lineRule="exact"/>
              <w:ind w:firstLine="420" w:firstLineChars="200"/>
              <w:jc w:val="left"/>
            </w:pPr>
            <w:r>
              <w:rPr>
                <w:rFonts w:hint="eastAsia"/>
              </w:rPr>
              <w:t>一、地下水污染源及途径</w:t>
            </w:r>
          </w:p>
          <w:p w14:paraId="5C94CA7B">
            <w:pPr>
              <w:widowControl/>
              <w:spacing w:line="500" w:lineRule="exact"/>
              <w:ind w:firstLine="420" w:firstLineChars="200"/>
              <w:jc w:val="left"/>
            </w:pPr>
            <w:r>
              <w:rPr>
                <w:rFonts w:hint="eastAsia"/>
              </w:rPr>
              <w:t>污染物从污染源进入地下水所经过路径称为地下水污染途径，地下水污染途径是多种多样的。根据工程所处区域地质情况，拟建项目可能对地下水造成污染的途径主要有：危废暂存库废液下渗对地下水造成的污染。</w:t>
            </w:r>
          </w:p>
          <w:p w14:paraId="29746C11">
            <w:pPr>
              <w:widowControl/>
              <w:spacing w:line="500" w:lineRule="exact"/>
              <w:ind w:firstLine="420" w:firstLineChars="200"/>
              <w:jc w:val="left"/>
            </w:pPr>
            <w:r>
              <w:rPr>
                <w:rFonts w:hint="eastAsia"/>
              </w:rPr>
              <w:t>项目发生事故泄漏时，泄漏物质首先进入包气带，在包气带中污染物的运移以垂向为主，所发生的过程主要包括对流、弥散、吸附和解析、生物降解、挥发等。当污染物穿透了包气带后就会到达地下水潜水含水层，由于潜水含水层以上无隔水层保护，包气带厚度又小，潜水水质的防护能力较差。若危险废物贮存场地等没有专门的防渗措施或防渗措施不到位，必然会导致一些渗滤液渗入地下而污染潜水层。本项目厂房内危废暂存库按照《危险废物贮存污染控制标准》（GB18597-2023）的相关要求进行地下水污染防渗措施的建设。</w:t>
            </w:r>
          </w:p>
          <w:p w14:paraId="08F7A8B8">
            <w:pPr>
              <w:widowControl/>
              <w:spacing w:line="500" w:lineRule="exact"/>
              <w:ind w:firstLine="420" w:firstLineChars="200"/>
              <w:jc w:val="left"/>
            </w:pPr>
            <w:r>
              <w:rPr>
                <w:rFonts w:hint="eastAsia"/>
              </w:rPr>
              <w:t>二、地下水污染源及途径</w:t>
            </w:r>
          </w:p>
          <w:p w14:paraId="0CCBCC10">
            <w:pPr>
              <w:widowControl/>
              <w:spacing w:line="500" w:lineRule="exact"/>
              <w:ind w:firstLine="420" w:firstLineChars="200"/>
              <w:jc w:val="left"/>
            </w:pPr>
            <w:r>
              <w:rPr>
                <w:rFonts w:hint="eastAsia"/>
              </w:rPr>
              <w:t>（1）污染途径</w:t>
            </w:r>
          </w:p>
          <w:p w14:paraId="5CA10A00">
            <w:pPr>
              <w:widowControl/>
              <w:spacing w:line="500" w:lineRule="exact"/>
              <w:ind w:firstLine="420" w:firstLineChars="200"/>
              <w:jc w:val="left"/>
            </w:pPr>
            <w:r>
              <w:rPr>
                <w:rFonts w:hint="eastAsia"/>
              </w:rPr>
              <w:t>项目运行期可能对土壤环境产生影响的途径包括垂直入渗。</w:t>
            </w:r>
          </w:p>
          <w:p w14:paraId="65513157">
            <w:pPr>
              <w:widowControl/>
              <w:spacing w:line="500" w:lineRule="exact"/>
              <w:ind w:firstLine="420" w:firstLineChars="200"/>
              <w:jc w:val="left"/>
            </w:pPr>
            <w:r>
              <w:rPr>
                <w:rFonts w:hint="eastAsia"/>
              </w:rPr>
              <w:t>（2）污染源及污染物类型</w:t>
            </w:r>
          </w:p>
          <w:p w14:paraId="173CF776">
            <w:pPr>
              <w:widowControl/>
              <w:spacing w:line="500" w:lineRule="exact"/>
              <w:ind w:firstLine="420" w:firstLineChars="200"/>
              <w:jc w:val="left"/>
            </w:pPr>
            <w:r>
              <w:rPr>
                <w:rFonts w:hint="eastAsia"/>
              </w:rPr>
              <w:t>垂直入渗主要为</w:t>
            </w:r>
            <w:r>
              <w:rPr>
                <w:rFonts w:hint="eastAsia"/>
                <w:lang w:eastAsia="zh-CN"/>
              </w:rPr>
              <w:t>涂料</w:t>
            </w:r>
            <w:r>
              <w:rPr>
                <w:rFonts w:hint="eastAsia"/>
              </w:rPr>
              <w:t>等垂直入渗对土壤垂直方向向下的土壤环境质量产生影响。正常状况下，本项目相关拟建工程防渗措施均按照设计要求进行，采取严格的防渗、防溢流、防泄漏、防腐蚀等措施，且措施未发生破坏正常运行情况，污水不会渗入和进入土壤，对土壤不会造成污染。</w:t>
            </w:r>
          </w:p>
          <w:p w14:paraId="66537401">
            <w:pPr>
              <w:widowControl/>
              <w:numPr>
                <w:ilvl w:val="0"/>
                <w:numId w:val="6"/>
              </w:numPr>
              <w:spacing w:line="500" w:lineRule="exact"/>
              <w:ind w:firstLine="420" w:firstLineChars="200"/>
              <w:jc w:val="left"/>
            </w:pPr>
            <w:r>
              <w:rPr>
                <w:rFonts w:hint="eastAsia"/>
              </w:rPr>
              <w:t>地下水、土壤防范措施</w:t>
            </w:r>
          </w:p>
          <w:p w14:paraId="20571793">
            <w:pPr>
              <w:widowControl/>
              <w:spacing w:line="500" w:lineRule="exact"/>
              <w:ind w:firstLine="420" w:firstLineChars="200"/>
              <w:jc w:val="left"/>
            </w:pPr>
            <w:r>
              <w:rPr>
                <w:rFonts w:hint="eastAsia"/>
              </w:rPr>
              <w:t>项目投产后，如企业管理不当或防治措施未到位的情况下，项目所产生的废水和固废会通过不同途径进入到地下水和土壤中，从而污染到地下水和土壤环境。因此，企业在本项目的建设过程中采取了最严格的防渗措施，确保不发生废液渗漏现象，确保项目所在地的地下水及土壤不受污染。防渗处理是防止地下水污染的重要环保保护措施，也是杜绝地下水污染的最后一道防线。根据项目区域水文地质情况及项目特点，提出如下污染防治措施及防渗要求。</w:t>
            </w:r>
          </w:p>
          <w:p w14:paraId="67A064C1">
            <w:pPr>
              <w:widowControl/>
              <w:spacing w:line="500" w:lineRule="exact"/>
              <w:ind w:firstLine="420" w:firstLineChars="200"/>
              <w:jc w:val="left"/>
            </w:pPr>
            <w:r>
              <w:rPr>
                <w:rFonts w:hint="eastAsia"/>
              </w:rPr>
              <w:t>拟建项目厂区应划分为非污染区和污染区，污染区分为一般污染区、重点污染区及特殊污染区。非污染区可不进行防渗处理，污染区则应按照不同分区要求，采取不同等级的防渗措施，并确保其可靠性和有效性。一般污染区的防渗设计应满足《一般工业固体废物贮存和填埋污染控制标准》（GB18599-2020），重点及特殊污染区的防渗设计应满足《危险废物贮存污染控制标准》（GB18597-2023）。</w:t>
            </w:r>
          </w:p>
          <w:p w14:paraId="16B131B7">
            <w:pPr>
              <w:widowControl/>
              <w:spacing w:line="500" w:lineRule="exact"/>
              <w:ind w:firstLine="420" w:firstLineChars="200"/>
              <w:jc w:val="left"/>
              <w:rPr>
                <w:rFonts w:hint="eastAsia" w:eastAsia="宋体"/>
                <w:b/>
                <w:bCs/>
                <w:lang w:eastAsia="zh-CN"/>
              </w:rPr>
            </w:pPr>
            <w:r>
              <w:t>本项目地下水污染防渗分区见表4-2</w:t>
            </w:r>
            <w:r>
              <w:rPr>
                <w:rFonts w:hint="eastAsia"/>
                <w:lang w:val="en-US" w:eastAsia="zh-CN"/>
              </w:rPr>
              <w:t>4</w:t>
            </w:r>
          </w:p>
          <w:p w14:paraId="1E3A8ECC">
            <w:pPr>
              <w:widowControl/>
              <w:spacing w:line="360" w:lineRule="auto"/>
              <w:jc w:val="center"/>
            </w:pPr>
            <w:r>
              <w:rPr>
                <w:b/>
                <w:bCs/>
              </w:rPr>
              <w:t>表4-2</w:t>
            </w:r>
            <w:r>
              <w:rPr>
                <w:rFonts w:hint="eastAsia"/>
                <w:b/>
                <w:bCs/>
                <w:lang w:val="en-US" w:eastAsia="zh-CN"/>
              </w:rPr>
              <w:t>4</w:t>
            </w:r>
            <w:r>
              <w:rPr>
                <w:rFonts w:hint="eastAsia"/>
                <w:b/>
                <w:bCs/>
              </w:rPr>
              <w:t xml:space="preserve"> </w:t>
            </w:r>
            <w:r>
              <w:rPr>
                <w:b/>
                <w:bCs/>
              </w:rPr>
              <w:t>项目厂区地下水污染防渗分区</w:t>
            </w:r>
          </w:p>
          <w:tbl>
            <w:tblPr>
              <w:tblStyle w:val="16"/>
              <w:tblW w:w="8169"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108"/>
              <w:gridCol w:w="1336"/>
              <w:gridCol w:w="5102"/>
            </w:tblGrid>
            <w:tr w14:paraId="7A49E5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25" w:hRule="atLeast"/>
              </w:trPr>
              <w:tc>
                <w:tcPr>
                  <w:tcW w:w="623" w:type="dxa"/>
                  <w:vAlign w:val="center"/>
                </w:tcPr>
                <w:p w14:paraId="514EA9E0">
                  <w:pPr>
                    <w:jc w:val="center"/>
                    <w:rPr>
                      <w:sz w:val="18"/>
                      <w:szCs w:val="18"/>
                    </w:rPr>
                  </w:pPr>
                  <w:r>
                    <w:rPr>
                      <w:sz w:val="18"/>
                      <w:szCs w:val="18"/>
                    </w:rPr>
                    <w:t>序号</w:t>
                  </w:r>
                </w:p>
              </w:tc>
              <w:tc>
                <w:tcPr>
                  <w:tcW w:w="1108" w:type="dxa"/>
                  <w:vAlign w:val="center"/>
                </w:tcPr>
                <w:p w14:paraId="44AB3EE9">
                  <w:pPr>
                    <w:jc w:val="center"/>
                    <w:rPr>
                      <w:sz w:val="18"/>
                      <w:szCs w:val="18"/>
                    </w:rPr>
                  </w:pPr>
                  <w:r>
                    <w:rPr>
                      <w:sz w:val="18"/>
                      <w:szCs w:val="18"/>
                    </w:rPr>
                    <w:t>防渗分区</w:t>
                  </w:r>
                </w:p>
              </w:tc>
              <w:tc>
                <w:tcPr>
                  <w:tcW w:w="1336" w:type="dxa"/>
                  <w:vAlign w:val="center"/>
                </w:tcPr>
                <w:p w14:paraId="1245B787">
                  <w:pPr>
                    <w:jc w:val="center"/>
                    <w:rPr>
                      <w:sz w:val="18"/>
                      <w:szCs w:val="18"/>
                    </w:rPr>
                  </w:pPr>
                  <w:r>
                    <w:rPr>
                      <w:sz w:val="18"/>
                      <w:szCs w:val="18"/>
                    </w:rPr>
                    <w:t>分区位置</w:t>
                  </w:r>
                </w:p>
              </w:tc>
              <w:tc>
                <w:tcPr>
                  <w:tcW w:w="5102" w:type="dxa"/>
                  <w:vAlign w:val="center"/>
                </w:tcPr>
                <w:p w14:paraId="3F4B56A4">
                  <w:pPr>
                    <w:jc w:val="center"/>
                    <w:rPr>
                      <w:sz w:val="18"/>
                      <w:szCs w:val="18"/>
                    </w:rPr>
                  </w:pPr>
                  <w:r>
                    <w:rPr>
                      <w:sz w:val="18"/>
                      <w:szCs w:val="18"/>
                    </w:rPr>
                    <w:t>防渗技术要求</w:t>
                  </w:r>
                </w:p>
              </w:tc>
            </w:tr>
            <w:tr w14:paraId="200760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3" w:type="dxa"/>
                  <w:vAlign w:val="center"/>
                </w:tcPr>
                <w:p w14:paraId="06AC278E">
                  <w:pPr>
                    <w:jc w:val="center"/>
                    <w:rPr>
                      <w:sz w:val="18"/>
                      <w:szCs w:val="18"/>
                    </w:rPr>
                  </w:pPr>
                  <w:r>
                    <w:rPr>
                      <w:sz w:val="18"/>
                      <w:szCs w:val="18"/>
                    </w:rPr>
                    <w:t>1</w:t>
                  </w:r>
                </w:p>
              </w:tc>
              <w:tc>
                <w:tcPr>
                  <w:tcW w:w="1108" w:type="dxa"/>
                  <w:vMerge w:val="restart"/>
                  <w:vAlign w:val="center"/>
                </w:tcPr>
                <w:p w14:paraId="28869E22">
                  <w:pPr>
                    <w:jc w:val="center"/>
                    <w:rPr>
                      <w:sz w:val="18"/>
                      <w:szCs w:val="18"/>
                    </w:rPr>
                  </w:pPr>
                  <w:r>
                    <w:rPr>
                      <w:sz w:val="18"/>
                      <w:szCs w:val="18"/>
                    </w:rPr>
                    <w:t>重点防渗区</w:t>
                  </w:r>
                </w:p>
              </w:tc>
              <w:tc>
                <w:tcPr>
                  <w:tcW w:w="1336" w:type="dxa"/>
                  <w:vAlign w:val="center"/>
                </w:tcPr>
                <w:p w14:paraId="2184AFD5">
                  <w:pPr>
                    <w:jc w:val="center"/>
                    <w:rPr>
                      <w:rFonts w:hint="eastAsia" w:eastAsia="宋体"/>
                      <w:sz w:val="18"/>
                      <w:szCs w:val="18"/>
                      <w:lang w:eastAsia="zh-CN"/>
                    </w:rPr>
                  </w:pPr>
                  <w:r>
                    <w:rPr>
                      <w:sz w:val="18"/>
                      <w:szCs w:val="18"/>
                    </w:rPr>
                    <w:t>危废仓库</w:t>
                  </w:r>
                </w:p>
              </w:tc>
              <w:tc>
                <w:tcPr>
                  <w:tcW w:w="5102" w:type="dxa"/>
                  <w:vAlign w:val="center"/>
                </w:tcPr>
                <w:p w14:paraId="07E31026">
                  <w:pPr>
                    <w:jc w:val="center"/>
                    <w:rPr>
                      <w:sz w:val="18"/>
                      <w:szCs w:val="18"/>
                    </w:rPr>
                  </w:pPr>
                  <w:r>
                    <w:rPr>
                      <w:sz w:val="18"/>
                      <w:szCs w:val="18"/>
                    </w:rPr>
                    <w:t>依据国家危险贮存标准要求设计、施工，采用200mm厚C15砼垫层随打随抹光，设置钢筋混凝土围堰，并采用底部加设土工膜进行防渗，使渗透系数不大于10</w:t>
                  </w:r>
                  <w:r>
                    <w:rPr>
                      <w:rFonts w:hint="eastAsia"/>
                      <w:sz w:val="18"/>
                      <w:szCs w:val="18"/>
                      <w:vertAlign w:val="superscript"/>
                      <w:lang w:eastAsia="zh-CN"/>
                    </w:rPr>
                    <w:t>—</w:t>
                  </w:r>
                  <w:r>
                    <w:rPr>
                      <w:sz w:val="18"/>
                      <w:szCs w:val="18"/>
                      <w:vertAlign w:val="superscript"/>
                    </w:rPr>
                    <w:t>10</w:t>
                  </w:r>
                  <w:r>
                    <w:rPr>
                      <w:sz w:val="18"/>
                      <w:szCs w:val="18"/>
                    </w:rPr>
                    <w:t>cm/s，且防雨和防晒</w:t>
                  </w:r>
                </w:p>
              </w:tc>
            </w:tr>
            <w:tr w14:paraId="77955B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3" w:type="dxa"/>
                  <w:vAlign w:val="center"/>
                </w:tcPr>
                <w:p w14:paraId="28DA0CBF">
                  <w:pPr>
                    <w:jc w:val="center"/>
                    <w:rPr>
                      <w:sz w:val="18"/>
                      <w:szCs w:val="18"/>
                    </w:rPr>
                  </w:pPr>
                  <w:r>
                    <w:rPr>
                      <w:sz w:val="18"/>
                      <w:szCs w:val="18"/>
                    </w:rPr>
                    <w:t>2</w:t>
                  </w:r>
                </w:p>
              </w:tc>
              <w:tc>
                <w:tcPr>
                  <w:tcW w:w="1108" w:type="dxa"/>
                  <w:vMerge w:val="continue"/>
                  <w:vAlign w:val="center"/>
                </w:tcPr>
                <w:p w14:paraId="673C49D8">
                  <w:pPr>
                    <w:jc w:val="center"/>
                    <w:rPr>
                      <w:sz w:val="18"/>
                      <w:szCs w:val="18"/>
                    </w:rPr>
                  </w:pPr>
                </w:p>
              </w:tc>
              <w:tc>
                <w:tcPr>
                  <w:tcW w:w="1336" w:type="dxa"/>
                  <w:vAlign w:val="center"/>
                </w:tcPr>
                <w:p w14:paraId="235EDE2B">
                  <w:pPr>
                    <w:jc w:val="center"/>
                    <w:rPr>
                      <w:rFonts w:hint="eastAsia" w:eastAsia="宋体"/>
                      <w:sz w:val="18"/>
                      <w:szCs w:val="18"/>
                      <w:lang w:eastAsia="zh-CN"/>
                    </w:rPr>
                  </w:pPr>
                  <w:r>
                    <w:rPr>
                      <w:rFonts w:hint="eastAsia"/>
                      <w:sz w:val="18"/>
                      <w:szCs w:val="18"/>
                      <w:lang w:eastAsia="zh-CN"/>
                    </w:rPr>
                    <w:t>沉淀池、事故应急池</w:t>
                  </w:r>
                </w:p>
              </w:tc>
              <w:tc>
                <w:tcPr>
                  <w:tcW w:w="5102" w:type="dxa"/>
                  <w:vAlign w:val="center"/>
                </w:tcPr>
                <w:p w14:paraId="2EF49358">
                  <w:pPr>
                    <w:jc w:val="center"/>
                    <w:rPr>
                      <w:sz w:val="18"/>
                      <w:szCs w:val="18"/>
                    </w:rPr>
                  </w:pPr>
                  <w:r>
                    <w:rPr>
                      <w:rFonts w:hint="eastAsia"/>
                      <w:sz w:val="18"/>
                      <w:szCs w:val="18"/>
                    </w:rPr>
                    <w:t>池底宜略呈弧形，排污管道宜在高处设立小溢流口，以保证气体的排放，在污水排放前应该进行沉淀处理，出水的浊度不能超过20mg/L，池底应采用防渗漏材料，外池应设有防渗挡墙，以防止渗漏</w:t>
                  </w:r>
                </w:p>
              </w:tc>
            </w:tr>
            <w:tr w14:paraId="6AEFD9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60" w:hRule="atLeast"/>
              </w:trPr>
              <w:tc>
                <w:tcPr>
                  <w:tcW w:w="623" w:type="dxa"/>
                  <w:vAlign w:val="center"/>
                </w:tcPr>
                <w:p w14:paraId="3F1C3D30">
                  <w:pPr>
                    <w:jc w:val="center"/>
                    <w:rPr>
                      <w:sz w:val="18"/>
                      <w:szCs w:val="18"/>
                    </w:rPr>
                  </w:pPr>
                  <w:r>
                    <w:rPr>
                      <w:sz w:val="18"/>
                      <w:szCs w:val="18"/>
                    </w:rPr>
                    <w:t>3</w:t>
                  </w:r>
                </w:p>
              </w:tc>
              <w:tc>
                <w:tcPr>
                  <w:tcW w:w="1108" w:type="dxa"/>
                  <w:vMerge w:val="restart"/>
                  <w:vAlign w:val="center"/>
                </w:tcPr>
                <w:p w14:paraId="17ADAEBA">
                  <w:pPr>
                    <w:jc w:val="center"/>
                    <w:rPr>
                      <w:sz w:val="18"/>
                      <w:szCs w:val="18"/>
                    </w:rPr>
                  </w:pPr>
                  <w:r>
                    <w:rPr>
                      <w:sz w:val="18"/>
                      <w:szCs w:val="18"/>
                    </w:rPr>
                    <w:t>一般防渗区</w:t>
                  </w:r>
                </w:p>
              </w:tc>
              <w:tc>
                <w:tcPr>
                  <w:tcW w:w="1336" w:type="dxa"/>
                  <w:vAlign w:val="center"/>
                </w:tcPr>
                <w:p w14:paraId="6775ED1C">
                  <w:pPr>
                    <w:jc w:val="center"/>
                    <w:rPr>
                      <w:sz w:val="18"/>
                      <w:szCs w:val="18"/>
                    </w:rPr>
                  </w:pPr>
                  <w:r>
                    <w:rPr>
                      <w:rFonts w:hint="eastAsia"/>
                      <w:sz w:val="18"/>
                      <w:szCs w:val="18"/>
                    </w:rPr>
                    <w:t>化粪池</w:t>
                  </w:r>
                  <w:r>
                    <w:rPr>
                      <w:rFonts w:hint="eastAsia"/>
                      <w:sz w:val="18"/>
                      <w:szCs w:val="18"/>
                      <w:lang w:eastAsia="zh-CN"/>
                    </w:rPr>
                    <w:t>、</w:t>
                  </w:r>
                  <w:r>
                    <w:rPr>
                      <w:sz w:val="18"/>
                      <w:szCs w:val="18"/>
                    </w:rPr>
                    <w:t>生产车间</w:t>
                  </w:r>
                </w:p>
              </w:tc>
              <w:tc>
                <w:tcPr>
                  <w:tcW w:w="5102" w:type="dxa"/>
                  <w:vMerge w:val="restart"/>
                  <w:vAlign w:val="center"/>
                </w:tcPr>
                <w:p w14:paraId="7295EF63">
                  <w:pPr>
                    <w:jc w:val="center"/>
                    <w:rPr>
                      <w:sz w:val="18"/>
                      <w:szCs w:val="18"/>
                    </w:rPr>
                  </w:pPr>
                  <w:r>
                    <w:rPr>
                      <w:sz w:val="18"/>
                      <w:szCs w:val="18"/>
                    </w:rPr>
                    <w:t>地面基础防渗和构筑物防渗等级达到渗透系数≤10</w:t>
                  </w:r>
                  <w:r>
                    <w:rPr>
                      <w:rFonts w:hint="eastAsia"/>
                      <w:sz w:val="18"/>
                      <w:szCs w:val="18"/>
                      <w:vertAlign w:val="superscript"/>
                      <w:lang w:eastAsia="zh-CN"/>
                    </w:rPr>
                    <w:t>—</w:t>
                  </w:r>
                  <w:r>
                    <w:rPr>
                      <w:sz w:val="18"/>
                      <w:szCs w:val="18"/>
                      <w:vertAlign w:val="superscript"/>
                    </w:rPr>
                    <w:t>7</w:t>
                  </w:r>
                  <w:r>
                    <w:rPr>
                      <w:sz w:val="18"/>
                      <w:szCs w:val="18"/>
                    </w:rPr>
                    <w:t>cm/s相当于不小于1.5m厚的</w:t>
                  </w:r>
                  <w:r>
                    <w:rPr>
                      <w:rFonts w:hint="eastAsia"/>
                      <w:sz w:val="18"/>
                      <w:szCs w:val="18"/>
                      <w:lang w:eastAsia="zh-CN"/>
                    </w:rPr>
                    <w:t>黏土</w:t>
                  </w:r>
                  <w:r>
                    <w:rPr>
                      <w:sz w:val="18"/>
                      <w:szCs w:val="18"/>
                    </w:rPr>
                    <w:t>防护层</w:t>
                  </w:r>
                </w:p>
              </w:tc>
            </w:tr>
            <w:tr w14:paraId="38F148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23" w:type="dxa"/>
                  <w:vAlign w:val="center"/>
                </w:tcPr>
                <w:p w14:paraId="5EDFBED9">
                  <w:pPr>
                    <w:jc w:val="center"/>
                    <w:rPr>
                      <w:sz w:val="18"/>
                      <w:szCs w:val="18"/>
                    </w:rPr>
                  </w:pPr>
                  <w:r>
                    <w:rPr>
                      <w:sz w:val="18"/>
                      <w:szCs w:val="18"/>
                    </w:rPr>
                    <w:t>4</w:t>
                  </w:r>
                </w:p>
              </w:tc>
              <w:tc>
                <w:tcPr>
                  <w:tcW w:w="1108" w:type="dxa"/>
                  <w:vMerge w:val="continue"/>
                  <w:vAlign w:val="center"/>
                </w:tcPr>
                <w:p w14:paraId="5B3B3203">
                  <w:pPr>
                    <w:jc w:val="center"/>
                    <w:rPr>
                      <w:sz w:val="18"/>
                      <w:szCs w:val="18"/>
                    </w:rPr>
                  </w:pPr>
                </w:p>
              </w:tc>
              <w:tc>
                <w:tcPr>
                  <w:tcW w:w="1336" w:type="dxa"/>
                  <w:vAlign w:val="center"/>
                </w:tcPr>
                <w:p w14:paraId="6C7EB18D">
                  <w:pPr>
                    <w:jc w:val="center"/>
                    <w:rPr>
                      <w:sz w:val="18"/>
                      <w:szCs w:val="18"/>
                    </w:rPr>
                  </w:pPr>
                  <w:r>
                    <w:rPr>
                      <w:sz w:val="18"/>
                      <w:szCs w:val="18"/>
                    </w:rPr>
                    <w:t>一般固废仓库</w:t>
                  </w:r>
                </w:p>
              </w:tc>
              <w:tc>
                <w:tcPr>
                  <w:tcW w:w="5102" w:type="dxa"/>
                  <w:vMerge w:val="continue"/>
                  <w:vAlign w:val="center"/>
                </w:tcPr>
                <w:p w14:paraId="0F89B566">
                  <w:pPr>
                    <w:jc w:val="center"/>
                    <w:rPr>
                      <w:sz w:val="18"/>
                      <w:szCs w:val="18"/>
                    </w:rPr>
                  </w:pPr>
                </w:p>
              </w:tc>
            </w:tr>
            <w:tr w14:paraId="501375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3" w:type="dxa"/>
                  <w:vAlign w:val="center"/>
                </w:tcPr>
                <w:p w14:paraId="55380DB2">
                  <w:pPr>
                    <w:jc w:val="center"/>
                    <w:rPr>
                      <w:sz w:val="18"/>
                      <w:szCs w:val="18"/>
                    </w:rPr>
                  </w:pPr>
                  <w:r>
                    <w:rPr>
                      <w:sz w:val="18"/>
                      <w:szCs w:val="18"/>
                    </w:rPr>
                    <w:t>5</w:t>
                  </w:r>
                </w:p>
              </w:tc>
              <w:tc>
                <w:tcPr>
                  <w:tcW w:w="1108" w:type="dxa"/>
                  <w:vAlign w:val="center"/>
                </w:tcPr>
                <w:p w14:paraId="69617904">
                  <w:pPr>
                    <w:jc w:val="center"/>
                    <w:rPr>
                      <w:sz w:val="18"/>
                      <w:szCs w:val="18"/>
                    </w:rPr>
                  </w:pPr>
                  <w:r>
                    <w:rPr>
                      <w:sz w:val="18"/>
                      <w:szCs w:val="18"/>
                    </w:rPr>
                    <w:t>简单防渗区</w:t>
                  </w:r>
                </w:p>
              </w:tc>
              <w:tc>
                <w:tcPr>
                  <w:tcW w:w="1336" w:type="dxa"/>
                  <w:vAlign w:val="center"/>
                </w:tcPr>
                <w:p w14:paraId="7ABAD6FA">
                  <w:pPr>
                    <w:jc w:val="center"/>
                    <w:rPr>
                      <w:sz w:val="18"/>
                      <w:szCs w:val="18"/>
                    </w:rPr>
                  </w:pPr>
                  <w:r>
                    <w:rPr>
                      <w:sz w:val="18"/>
                      <w:szCs w:val="18"/>
                    </w:rPr>
                    <w:t>办公</w:t>
                  </w:r>
                  <w:r>
                    <w:rPr>
                      <w:rFonts w:hint="eastAsia"/>
                      <w:sz w:val="18"/>
                      <w:szCs w:val="18"/>
                    </w:rPr>
                    <w:t>区域</w:t>
                  </w:r>
                </w:p>
              </w:tc>
              <w:tc>
                <w:tcPr>
                  <w:tcW w:w="5102" w:type="dxa"/>
                  <w:vAlign w:val="center"/>
                </w:tcPr>
                <w:p w14:paraId="5D0A2832">
                  <w:pPr>
                    <w:jc w:val="center"/>
                    <w:rPr>
                      <w:sz w:val="18"/>
                      <w:szCs w:val="18"/>
                    </w:rPr>
                  </w:pPr>
                  <w:r>
                    <w:rPr>
                      <w:sz w:val="18"/>
                      <w:szCs w:val="18"/>
                    </w:rPr>
                    <w:t>一般地面硬化</w:t>
                  </w:r>
                </w:p>
              </w:tc>
            </w:tr>
          </w:tbl>
          <w:p w14:paraId="54DC8FCF">
            <w:pPr>
              <w:spacing w:line="500" w:lineRule="exact"/>
              <w:ind w:firstLine="420" w:firstLineChars="200"/>
            </w:pPr>
            <w:r>
              <w:t>厂区内的危险废物仓库采用环氧地坪，周围设置围堰和地沟用于收集渗漏液，对所在场地的土壤和地下水的造成的影响极小。</w:t>
            </w:r>
          </w:p>
          <w:p w14:paraId="753ED3E0">
            <w:pPr>
              <w:adjustRightInd w:val="0"/>
              <w:snapToGrid w:val="0"/>
              <w:spacing w:line="500" w:lineRule="exact"/>
              <w:ind w:firstLine="422" w:firstLineChars="200"/>
              <w:rPr>
                <w:b/>
                <w:szCs w:val="21"/>
              </w:rPr>
            </w:pPr>
            <w:r>
              <w:rPr>
                <w:b/>
                <w:bCs/>
              </w:rPr>
              <w:t>六、</w:t>
            </w:r>
            <w:r>
              <w:rPr>
                <w:b/>
                <w:szCs w:val="21"/>
              </w:rPr>
              <w:t>生态</w:t>
            </w:r>
          </w:p>
          <w:p w14:paraId="0415123A">
            <w:pPr>
              <w:adjustRightInd w:val="0"/>
              <w:snapToGrid w:val="0"/>
              <w:spacing w:line="500" w:lineRule="exact"/>
              <w:ind w:firstLine="420" w:firstLineChars="200"/>
              <w:rPr>
                <w:b/>
                <w:bCs/>
              </w:rPr>
            </w:pPr>
            <w:r>
              <w:rPr>
                <w:bCs/>
                <w:szCs w:val="21"/>
              </w:rPr>
              <w:t>项目周围无自然保护区及文物古迹等特殊保护对象。项目占地比较平缓，水土流失比较小，因而对生态造成影响较小，项目产生的污染物经有效处理后，对生态造成的影响较小。</w:t>
            </w:r>
          </w:p>
          <w:p w14:paraId="014033A2">
            <w:pPr>
              <w:spacing w:line="500" w:lineRule="exact"/>
              <w:ind w:firstLine="211" w:firstLineChars="100"/>
              <w:rPr>
                <w:b/>
                <w:bCs/>
              </w:rPr>
            </w:pPr>
            <w:r>
              <w:rPr>
                <w:b/>
                <w:bCs/>
              </w:rPr>
              <w:t xml:space="preserve">七、环境风险 </w:t>
            </w:r>
          </w:p>
          <w:p w14:paraId="2CC9545E">
            <w:pPr>
              <w:spacing w:line="500" w:lineRule="exact"/>
              <w:ind w:firstLine="420" w:firstLineChars="200"/>
            </w:pPr>
            <w:r>
              <w:t xml:space="preserve">（1）风险调查 </w:t>
            </w:r>
          </w:p>
          <w:p w14:paraId="40B36ADC">
            <w:pPr>
              <w:spacing w:line="500" w:lineRule="exact"/>
              <w:ind w:firstLine="420" w:firstLineChars="200"/>
              <w:rPr>
                <w:b/>
                <w:bCs/>
              </w:rPr>
            </w:pPr>
            <w:r>
              <w:rPr>
                <w:rFonts w:hint="eastAsia"/>
              </w:rPr>
              <w:t>根据《建设项目环境风险评价技术导则》（HJ169-2018），对公司生产使用、存储的生产原料、燃料、产品、中间产品、副产品、催化剂、辅助生产物料、“三废”污染物等有害物质，易燃易爆物质，进行危险性识别。根据《建设项目环境风险评价技术导则》（HJ169-2018）附录C中相关内容，</w:t>
            </w:r>
            <w:r>
              <w:t>本项目涉及危险物质及数量见表4-2</w:t>
            </w:r>
            <w:r>
              <w:rPr>
                <w:rFonts w:hint="eastAsia"/>
                <w:lang w:val="en-US" w:eastAsia="zh-CN"/>
              </w:rPr>
              <w:t>5</w:t>
            </w:r>
            <w:r>
              <w:t>。</w:t>
            </w:r>
          </w:p>
          <w:p w14:paraId="5F3D80B2">
            <w:pPr>
              <w:spacing w:line="360" w:lineRule="auto"/>
              <w:jc w:val="center"/>
              <w:rPr>
                <w:b/>
                <w:bCs/>
              </w:rPr>
            </w:pPr>
            <w:r>
              <w:rPr>
                <w:b/>
                <w:bCs/>
              </w:rPr>
              <w:t>表 4-2</w:t>
            </w:r>
            <w:r>
              <w:rPr>
                <w:rFonts w:hint="eastAsia"/>
                <w:b/>
                <w:bCs/>
                <w:lang w:val="en-US" w:eastAsia="zh-CN"/>
              </w:rPr>
              <w:t>5</w:t>
            </w:r>
            <w:r>
              <w:rPr>
                <w:rFonts w:hint="eastAsia"/>
                <w:b/>
                <w:bCs/>
              </w:rPr>
              <w:t xml:space="preserve"> </w:t>
            </w:r>
            <w:r>
              <w:rPr>
                <w:b/>
                <w:bCs/>
              </w:rPr>
              <w:t xml:space="preserve"> 本项目涉及的危险物质及数量</w:t>
            </w:r>
          </w:p>
          <w:tbl>
            <w:tblPr>
              <w:tblStyle w:val="16"/>
              <w:tblW w:w="811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656"/>
              <w:gridCol w:w="1352"/>
              <w:gridCol w:w="1353"/>
              <w:gridCol w:w="1353"/>
              <w:gridCol w:w="1353"/>
            </w:tblGrid>
            <w:tr w14:paraId="5727B1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49" w:type="dxa"/>
                  <w:vAlign w:val="center"/>
                </w:tcPr>
                <w:p w14:paraId="74D6D743">
                  <w:pPr>
                    <w:jc w:val="center"/>
                    <w:rPr>
                      <w:color w:val="auto"/>
                      <w:sz w:val="18"/>
                      <w:szCs w:val="18"/>
                    </w:rPr>
                  </w:pPr>
                  <w:r>
                    <w:rPr>
                      <w:color w:val="auto"/>
                      <w:sz w:val="18"/>
                      <w:szCs w:val="18"/>
                    </w:rPr>
                    <w:t>序号</w:t>
                  </w:r>
                </w:p>
              </w:tc>
              <w:tc>
                <w:tcPr>
                  <w:tcW w:w="1656" w:type="dxa"/>
                  <w:vAlign w:val="center"/>
                </w:tcPr>
                <w:p w14:paraId="599A721A">
                  <w:pPr>
                    <w:jc w:val="center"/>
                    <w:rPr>
                      <w:color w:val="auto"/>
                      <w:sz w:val="18"/>
                      <w:szCs w:val="18"/>
                    </w:rPr>
                  </w:pPr>
                  <w:r>
                    <w:rPr>
                      <w:color w:val="auto"/>
                      <w:sz w:val="18"/>
                      <w:szCs w:val="18"/>
                    </w:rPr>
                    <w:t>名称</w:t>
                  </w:r>
                </w:p>
              </w:tc>
              <w:tc>
                <w:tcPr>
                  <w:tcW w:w="1352" w:type="dxa"/>
                  <w:vAlign w:val="center"/>
                </w:tcPr>
                <w:p w14:paraId="4A44AEC5">
                  <w:pPr>
                    <w:jc w:val="center"/>
                    <w:rPr>
                      <w:color w:val="auto"/>
                      <w:sz w:val="18"/>
                      <w:szCs w:val="18"/>
                    </w:rPr>
                  </w:pPr>
                  <w:r>
                    <w:rPr>
                      <w:color w:val="auto"/>
                      <w:sz w:val="18"/>
                      <w:szCs w:val="18"/>
                    </w:rPr>
                    <w:t>最大存储量</w:t>
                  </w:r>
                  <w:r>
                    <w:rPr>
                      <w:rFonts w:hint="eastAsia"/>
                      <w:color w:val="auto"/>
                      <w:sz w:val="18"/>
                      <w:szCs w:val="18"/>
                    </w:rPr>
                    <w:t>t/a</w:t>
                  </w:r>
                </w:p>
              </w:tc>
              <w:tc>
                <w:tcPr>
                  <w:tcW w:w="1353" w:type="dxa"/>
                  <w:vAlign w:val="center"/>
                </w:tcPr>
                <w:p w14:paraId="21BC0C4C">
                  <w:pPr>
                    <w:jc w:val="center"/>
                    <w:rPr>
                      <w:color w:val="auto"/>
                      <w:sz w:val="18"/>
                      <w:szCs w:val="18"/>
                    </w:rPr>
                  </w:pPr>
                  <w:r>
                    <w:rPr>
                      <w:color w:val="auto"/>
                      <w:sz w:val="18"/>
                      <w:szCs w:val="18"/>
                    </w:rPr>
                    <w:t>临界量</w:t>
                  </w:r>
                </w:p>
              </w:tc>
              <w:tc>
                <w:tcPr>
                  <w:tcW w:w="1353" w:type="dxa"/>
                  <w:vAlign w:val="center"/>
                </w:tcPr>
                <w:p w14:paraId="580F2992">
                  <w:pPr>
                    <w:jc w:val="center"/>
                    <w:rPr>
                      <w:color w:val="auto"/>
                      <w:sz w:val="18"/>
                      <w:szCs w:val="18"/>
                    </w:rPr>
                  </w:pPr>
                  <w:r>
                    <w:rPr>
                      <w:color w:val="auto"/>
                      <w:sz w:val="18"/>
                      <w:szCs w:val="18"/>
                    </w:rPr>
                    <w:t>qn/Qn</w:t>
                  </w:r>
                </w:p>
              </w:tc>
              <w:tc>
                <w:tcPr>
                  <w:tcW w:w="1353" w:type="dxa"/>
                  <w:vAlign w:val="center"/>
                </w:tcPr>
                <w:p w14:paraId="26B274A5">
                  <w:pPr>
                    <w:jc w:val="center"/>
                    <w:rPr>
                      <w:color w:val="auto"/>
                      <w:sz w:val="18"/>
                      <w:szCs w:val="18"/>
                    </w:rPr>
                  </w:pPr>
                  <w:r>
                    <w:rPr>
                      <w:color w:val="auto"/>
                      <w:sz w:val="18"/>
                      <w:szCs w:val="18"/>
                    </w:rPr>
                    <w:t>存储位置</w:t>
                  </w:r>
                </w:p>
              </w:tc>
            </w:tr>
            <w:tr w14:paraId="6C6109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49" w:type="dxa"/>
                  <w:vAlign w:val="center"/>
                </w:tcPr>
                <w:p w14:paraId="2AB7142F">
                  <w:pPr>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1</w:t>
                  </w:r>
                </w:p>
              </w:tc>
              <w:tc>
                <w:tcPr>
                  <w:tcW w:w="1656" w:type="dxa"/>
                  <w:vAlign w:val="center"/>
                </w:tcPr>
                <w:p w14:paraId="3BD15522">
                  <w:pPr>
                    <w:adjustRightInd w:val="0"/>
                    <w:snapToGrid w:val="0"/>
                    <w:jc w:val="center"/>
                    <w:rPr>
                      <w:rFonts w:hint="eastAsia" w:cs="Times New Roman"/>
                      <w:color w:val="auto"/>
                      <w:sz w:val="18"/>
                      <w:szCs w:val="18"/>
                      <w:highlight w:val="yellow"/>
                      <w:lang w:val="en-US" w:eastAsia="zh-CN"/>
                    </w:rPr>
                  </w:pPr>
                  <w:r>
                    <w:rPr>
                      <w:rFonts w:hint="eastAsia" w:cs="Times New Roman"/>
                      <w:color w:val="auto"/>
                      <w:sz w:val="18"/>
                      <w:szCs w:val="18"/>
                      <w:highlight w:val="none"/>
                      <w:lang w:val="en-US" w:eastAsia="zh-CN"/>
                    </w:rPr>
                    <w:t>润滑油</w:t>
                  </w:r>
                </w:p>
              </w:tc>
              <w:tc>
                <w:tcPr>
                  <w:tcW w:w="1352" w:type="dxa"/>
                  <w:vAlign w:val="center"/>
                </w:tcPr>
                <w:p w14:paraId="2604BE35">
                  <w:pPr>
                    <w:adjustRightInd w:val="0"/>
                    <w:snapToGrid w:val="0"/>
                    <w:jc w:val="center"/>
                    <w:rPr>
                      <w:rFonts w:hint="default"/>
                      <w:color w:val="auto"/>
                      <w:sz w:val="18"/>
                      <w:szCs w:val="18"/>
                      <w:lang w:val="en-US" w:eastAsia="zh-CN"/>
                    </w:rPr>
                  </w:pPr>
                  <w:r>
                    <w:rPr>
                      <w:rFonts w:hint="eastAsia"/>
                      <w:color w:val="auto"/>
                      <w:sz w:val="18"/>
                      <w:szCs w:val="18"/>
                      <w:lang w:val="en-US" w:eastAsia="zh-CN"/>
                    </w:rPr>
                    <w:t>1</w:t>
                  </w:r>
                </w:p>
              </w:tc>
              <w:tc>
                <w:tcPr>
                  <w:tcW w:w="1353" w:type="dxa"/>
                  <w:vAlign w:val="center"/>
                </w:tcPr>
                <w:p w14:paraId="680A4C27">
                  <w:pPr>
                    <w:jc w:val="center"/>
                    <w:rPr>
                      <w:rFonts w:hint="default"/>
                      <w:color w:val="auto"/>
                      <w:sz w:val="18"/>
                      <w:szCs w:val="18"/>
                      <w:lang w:val="en-US" w:eastAsia="zh-CN"/>
                    </w:rPr>
                  </w:pPr>
                  <w:r>
                    <w:rPr>
                      <w:rFonts w:hint="eastAsia"/>
                      <w:color w:val="auto"/>
                      <w:sz w:val="18"/>
                      <w:szCs w:val="18"/>
                      <w:lang w:val="en-US" w:eastAsia="zh-CN"/>
                    </w:rPr>
                    <w:t>2500</w:t>
                  </w:r>
                </w:p>
              </w:tc>
              <w:tc>
                <w:tcPr>
                  <w:tcW w:w="1353" w:type="dxa"/>
                  <w:vAlign w:val="center"/>
                </w:tcPr>
                <w:p w14:paraId="3DDB161E">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0.0004</w:t>
                  </w:r>
                </w:p>
              </w:tc>
              <w:tc>
                <w:tcPr>
                  <w:tcW w:w="1353" w:type="dxa"/>
                  <w:vAlign w:val="center"/>
                </w:tcPr>
                <w:p w14:paraId="2CC34FB8">
                  <w:pPr>
                    <w:jc w:val="center"/>
                    <w:rPr>
                      <w:rFonts w:hint="eastAsia" w:eastAsia="宋体"/>
                      <w:color w:val="auto"/>
                      <w:sz w:val="18"/>
                      <w:szCs w:val="18"/>
                      <w:lang w:eastAsia="zh-CN"/>
                    </w:rPr>
                  </w:pPr>
                  <w:r>
                    <w:rPr>
                      <w:rFonts w:hint="eastAsia"/>
                      <w:color w:val="auto"/>
                      <w:sz w:val="18"/>
                      <w:szCs w:val="18"/>
                      <w:lang w:eastAsia="zh-CN"/>
                    </w:rPr>
                    <w:t>原料存放区</w:t>
                  </w:r>
                </w:p>
              </w:tc>
            </w:tr>
            <w:tr w14:paraId="3CFA9A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9" w:type="dxa"/>
                  <w:vAlign w:val="center"/>
                </w:tcPr>
                <w:p w14:paraId="206F8DC0">
                  <w:pPr>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2</w:t>
                  </w:r>
                </w:p>
              </w:tc>
              <w:tc>
                <w:tcPr>
                  <w:tcW w:w="1656" w:type="dxa"/>
                  <w:vAlign w:val="center"/>
                </w:tcPr>
                <w:p w14:paraId="451D300B">
                  <w:pPr>
                    <w:jc w:val="center"/>
                    <w:rPr>
                      <w:rFonts w:hint="eastAsia" w:eastAsia="宋体"/>
                      <w:color w:val="auto"/>
                      <w:sz w:val="18"/>
                      <w:szCs w:val="18"/>
                      <w:lang w:eastAsia="zh-CN"/>
                    </w:rPr>
                  </w:pPr>
                  <w:r>
                    <w:rPr>
                      <w:color w:val="auto"/>
                      <w:sz w:val="18"/>
                      <w:szCs w:val="18"/>
                    </w:rPr>
                    <w:t>废活性炭</w:t>
                  </w:r>
                </w:p>
              </w:tc>
              <w:tc>
                <w:tcPr>
                  <w:tcW w:w="1352" w:type="dxa"/>
                  <w:vAlign w:val="center"/>
                </w:tcPr>
                <w:p w14:paraId="46941526">
                  <w:pPr>
                    <w:jc w:val="center"/>
                    <w:rPr>
                      <w:rFonts w:hint="default" w:eastAsia="宋体"/>
                      <w:color w:val="auto"/>
                      <w:sz w:val="18"/>
                      <w:szCs w:val="18"/>
                      <w:lang w:val="en-US" w:eastAsia="zh-CN"/>
                    </w:rPr>
                  </w:pPr>
                  <w:r>
                    <w:rPr>
                      <w:rFonts w:hint="eastAsia" w:cs="Times New Roman"/>
                      <w:color w:val="auto"/>
                      <w:sz w:val="18"/>
                      <w:szCs w:val="18"/>
                      <w:lang w:val="en-US" w:eastAsia="zh-CN"/>
                    </w:rPr>
                    <w:t>16.58</w:t>
                  </w:r>
                </w:p>
              </w:tc>
              <w:tc>
                <w:tcPr>
                  <w:tcW w:w="1353" w:type="dxa"/>
                  <w:vAlign w:val="center"/>
                </w:tcPr>
                <w:p w14:paraId="0135A63F">
                  <w:pPr>
                    <w:jc w:val="center"/>
                    <w:rPr>
                      <w:rFonts w:hint="default" w:eastAsia="宋体"/>
                      <w:color w:val="auto"/>
                      <w:sz w:val="18"/>
                      <w:szCs w:val="18"/>
                      <w:lang w:val="en-US" w:eastAsia="zh-CN"/>
                    </w:rPr>
                  </w:pPr>
                  <w:r>
                    <w:rPr>
                      <w:rFonts w:hint="eastAsia"/>
                      <w:color w:val="auto"/>
                      <w:sz w:val="18"/>
                      <w:szCs w:val="18"/>
                      <w:lang w:val="en-US" w:eastAsia="zh-CN"/>
                    </w:rPr>
                    <w:t>50</w:t>
                  </w:r>
                </w:p>
              </w:tc>
              <w:tc>
                <w:tcPr>
                  <w:tcW w:w="1353" w:type="dxa"/>
                  <w:vAlign w:val="center"/>
                </w:tcPr>
                <w:p w14:paraId="59154366">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0.1622</w:t>
                  </w:r>
                </w:p>
              </w:tc>
              <w:tc>
                <w:tcPr>
                  <w:tcW w:w="1353" w:type="dxa"/>
                  <w:vMerge w:val="restart"/>
                  <w:vAlign w:val="center"/>
                </w:tcPr>
                <w:p w14:paraId="237C6817">
                  <w:pPr>
                    <w:jc w:val="center"/>
                    <w:rPr>
                      <w:color w:val="auto"/>
                      <w:sz w:val="18"/>
                      <w:szCs w:val="18"/>
                    </w:rPr>
                  </w:pPr>
                  <w:r>
                    <w:rPr>
                      <w:color w:val="auto"/>
                      <w:sz w:val="18"/>
                      <w:szCs w:val="18"/>
                    </w:rPr>
                    <w:t>危废库</w:t>
                  </w:r>
                </w:p>
              </w:tc>
            </w:tr>
            <w:tr w14:paraId="69F72A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9" w:type="dxa"/>
                  <w:vAlign w:val="center"/>
                </w:tcPr>
                <w:p w14:paraId="5DDAC2E3">
                  <w:pPr>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3</w:t>
                  </w:r>
                </w:p>
              </w:tc>
              <w:tc>
                <w:tcPr>
                  <w:tcW w:w="1656" w:type="dxa"/>
                  <w:vAlign w:val="center"/>
                </w:tcPr>
                <w:p w14:paraId="79AE6E2B">
                  <w:pPr>
                    <w:jc w:val="center"/>
                    <w:rPr>
                      <w:color w:val="auto"/>
                      <w:sz w:val="18"/>
                      <w:szCs w:val="18"/>
                    </w:rPr>
                  </w:pPr>
                  <w:r>
                    <w:rPr>
                      <w:rFonts w:hint="eastAsia"/>
                      <w:color w:val="auto"/>
                      <w:sz w:val="18"/>
                      <w:szCs w:val="18"/>
                      <w:lang w:eastAsia="zh-CN"/>
                    </w:rPr>
                    <w:t>喷淋塔废液</w:t>
                  </w:r>
                </w:p>
              </w:tc>
              <w:tc>
                <w:tcPr>
                  <w:tcW w:w="1352" w:type="dxa"/>
                  <w:vAlign w:val="center"/>
                </w:tcPr>
                <w:p w14:paraId="383E7465">
                  <w:pPr>
                    <w:jc w:val="center"/>
                    <w:rPr>
                      <w:rFonts w:hint="default" w:eastAsia="宋体"/>
                      <w:color w:val="auto"/>
                      <w:sz w:val="18"/>
                      <w:szCs w:val="18"/>
                      <w:lang w:val="en-US" w:eastAsia="zh-CN"/>
                    </w:rPr>
                  </w:pPr>
                  <w:r>
                    <w:rPr>
                      <w:rFonts w:hint="eastAsia" w:ascii="Times New Roman" w:hAnsi="Times New Roman" w:eastAsia="宋体" w:cs="Times New Roman"/>
                      <w:color w:val="auto"/>
                      <w:sz w:val="18"/>
                      <w:szCs w:val="18"/>
                      <w:lang w:val="en-US" w:eastAsia="zh-CN"/>
                    </w:rPr>
                    <w:t>2.4</w:t>
                  </w:r>
                </w:p>
              </w:tc>
              <w:tc>
                <w:tcPr>
                  <w:tcW w:w="1353" w:type="dxa"/>
                  <w:vAlign w:val="center"/>
                </w:tcPr>
                <w:p w14:paraId="3CD2C318">
                  <w:pPr>
                    <w:jc w:val="center"/>
                    <w:rPr>
                      <w:color w:val="auto"/>
                      <w:sz w:val="18"/>
                      <w:szCs w:val="18"/>
                    </w:rPr>
                  </w:pPr>
                  <w:r>
                    <w:rPr>
                      <w:rFonts w:hint="eastAsia"/>
                      <w:color w:val="auto"/>
                      <w:sz w:val="18"/>
                      <w:szCs w:val="18"/>
                    </w:rPr>
                    <w:t>50</w:t>
                  </w:r>
                </w:p>
              </w:tc>
              <w:tc>
                <w:tcPr>
                  <w:tcW w:w="1353" w:type="dxa"/>
                  <w:vAlign w:val="center"/>
                </w:tcPr>
                <w:p w14:paraId="36C0B86E">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0.048</w:t>
                  </w:r>
                </w:p>
              </w:tc>
              <w:tc>
                <w:tcPr>
                  <w:tcW w:w="1353" w:type="dxa"/>
                  <w:vMerge w:val="continue"/>
                  <w:vAlign w:val="center"/>
                </w:tcPr>
                <w:p w14:paraId="35CDD229">
                  <w:pPr>
                    <w:jc w:val="center"/>
                    <w:rPr>
                      <w:color w:val="auto"/>
                      <w:sz w:val="18"/>
                      <w:szCs w:val="18"/>
                    </w:rPr>
                  </w:pPr>
                </w:p>
              </w:tc>
            </w:tr>
            <w:tr w14:paraId="3B613A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9" w:type="dxa"/>
                  <w:vAlign w:val="center"/>
                </w:tcPr>
                <w:p w14:paraId="27B46825">
                  <w:pPr>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4</w:t>
                  </w:r>
                </w:p>
              </w:tc>
              <w:tc>
                <w:tcPr>
                  <w:tcW w:w="1656" w:type="dxa"/>
                  <w:vAlign w:val="center"/>
                </w:tcPr>
                <w:p w14:paraId="3C4194E4">
                  <w:pPr>
                    <w:pStyle w:val="24"/>
                    <w:ind w:firstLine="0" w:firstLineChars="0"/>
                    <w:rPr>
                      <w:color w:val="auto"/>
                      <w:sz w:val="18"/>
                      <w:szCs w:val="18"/>
                    </w:rPr>
                  </w:pPr>
                  <w:r>
                    <w:rPr>
                      <w:rFonts w:hint="eastAsia" w:ascii="Times New Roman" w:hAnsi="Times New Roman" w:eastAsia="宋体" w:cs="Times New Roman"/>
                      <w:color w:val="auto"/>
                      <w:sz w:val="18"/>
                      <w:szCs w:val="18"/>
                      <w:lang w:eastAsia="zh-CN"/>
                    </w:rPr>
                    <w:t>废滤芯</w:t>
                  </w:r>
                </w:p>
              </w:tc>
              <w:tc>
                <w:tcPr>
                  <w:tcW w:w="1352" w:type="dxa"/>
                  <w:vAlign w:val="center"/>
                </w:tcPr>
                <w:p w14:paraId="461015B4">
                  <w:pPr>
                    <w:jc w:val="center"/>
                    <w:rPr>
                      <w:rFonts w:hint="default"/>
                      <w:color w:val="auto"/>
                      <w:sz w:val="18"/>
                      <w:szCs w:val="18"/>
                      <w:lang w:val="en-US" w:eastAsia="zh-CN"/>
                    </w:rPr>
                  </w:pPr>
                  <w:r>
                    <w:rPr>
                      <w:rFonts w:hint="eastAsia" w:ascii="Times New Roman" w:hAnsi="Times New Roman" w:eastAsia="宋体" w:cs="Times New Roman"/>
                      <w:color w:val="auto"/>
                      <w:sz w:val="18"/>
                      <w:szCs w:val="18"/>
                      <w:lang w:val="en-US" w:eastAsia="zh-CN"/>
                    </w:rPr>
                    <w:t>1</w:t>
                  </w:r>
                </w:p>
              </w:tc>
              <w:tc>
                <w:tcPr>
                  <w:tcW w:w="1353" w:type="dxa"/>
                  <w:vAlign w:val="center"/>
                </w:tcPr>
                <w:p w14:paraId="74D1AA0C">
                  <w:pPr>
                    <w:jc w:val="center"/>
                    <w:rPr>
                      <w:rFonts w:hint="eastAsia"/>
                      <w:color w:val="auto"/>
                      <w:sz w:val="18"/>
                      <w:szCs w:val="18"/>
                    </w:rPr>
                  </w:pPr>
                  <w:r>
                    <w:rPr>
                      <w:rFonts w:hint="eastAsia"/>
                      <w:color w:val="auto"/>
                      <w:sz w:val="18"/>
                      <w:szCs w:val="18"/>
                    </w:rPr>
                    <w:t>50</w:t>
                  </w:r>
                </w:p>
              </w:tc>
              <w:tc>
                <w:tcPr>
                  <w:tcW w:w="1353" w:type="dxa"/>
                  <w:vAlign w:val="center"/>
                </w:tcPr>
                <w:p w14:paraId="279C643C">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0.02</w:t>
                  </w:r>
                </w:p>
              </w:tc>
              <w:tc>
                <w:tcPr>
                  <w:tcW w:w="1353" w:type="dxa"/>
                  <w:vMerge w:val="continue"/>
                  <w:vAlign w:val="center"/>
                </w:tcPr>
                <w:p w14:paraId="3C9E8157">
                  <w:pPr>
                    <w:jc w:val="center"/>
                    <w:rPr>
                      <w:color w:val="auto"/>
                      <w:sz w:val="18"/>
                      <w:szCs w:val="18"/>
                    </w:rPr>
                  </w:pPr>
                </w:p>
              </w:tc>
            </w:tr>
            <w:tr w14:paraId="4F968B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9" w:type="dxa"/>
                  <w:vAlign w:val="center"/>
                </w:tcPr>
                <w:p w14:paraId="445CCF68">
                  <w:pPr>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5</w:t>
                  </w:r>
                </w:p>
              </w:tc>
              <w:tc>
                <w:tcPr>
                  <w:tcW w:w="1656" w:type="dxa"/>
                  <w:vAlign w:val="center"/>
                </w:tcPr>
                <w:p w14:paraId="3F71DB09">
                  <w:pPr>
                    <w:pStyle w:val="24"/>
                    <w:ind w:firstLine="0" w:firstLineChars="0"/>
                    <w:rPr>
                      <w:color w:val="auto"/>
                      <w:sz w:val="18"/>
                      <w:szCs w:val="18"/>
                    </w:rPr>
                  </w:pPr>
                  <w:r>
                    <w:rPr>
                      <w:rFonts w:hint="eastAsia" w:ascii="Times New Roman" w:hAnsi="Times New Roman" w:eastAsia="宋体" w:cs="Times New Roman"/>
                      <w:color w:val="auto"/>
                      <w:sz w:val="18"/>
                      <w:szCs w:val="18"/>
                      <w:lang w:eastAsia="zh-CN"/>
                    </w:rPr>
                    <w:t>废润滑油</w:t>
                  </w:r>
                </w:p>
              </w:tc>
              <w:tc>
                <w:tcPr>
                  <w:tcW w:w="1352" w:type="dxa"/>
                  <w:vAlign w:val="center"/>
                </w:tcPr>
                <w:p w14:paraId="49F05818">
                  <w:pPr>
                    <w:jc w:val="center"/>
                    <w:rPr>
                      <w:rFonts w:hint="default"/>
                      <w:color w:val="auto"/>
                      <w:sz w:val="18"/>
                      <w:szCs w:val="18"/>
                      <w:lang w:val="en-US" w:eastAsia="zh-CN"/>
                    </w:rPr>
                  </w:pPr>
                  <w:r>
                    <w:rPr>
                      <w:rFonts w:hint="eastAsia" w:ascii="Times New Roman" w:hAnsi="Times New Roman" w:eastAsia="宋体" w:cs="Times New Roman"/>
                      <w:color w:val="auto"/>
                      <w:sz w:val="18"/>
                      <w:szCs w:val="18"/>
                      <w:lang w:val="en-US" w:eastAsia="zh-CN"/>
                    </w:rPr>
                    <w:t>1</w:t>
                  </w:r>
                </w:p>
              </w:tc>
              <w:tc>
                <w:tcPr>
                  <w:tcW w:w="1353" w:type="dxa"/>
                  <w:vAlign w:val="center"/>
                </w:tcPr>
                <w:p w14:paraId="22172C98">
                  <w:pPr>
                    <w:jc w:val="center"/>
                    <w:rPr>
                      <w:rFonts w:hint="eastAsia"/>
                      <w:color w:val="auto"/>
                      <w:sz w:val="18"/>
                      <w:szCs w:val="18"/>
                    </w:rPr>
                  </w:pPr>
                  <w:r>
                    <w:rPr>
                      <w:rFonts w:hint="eastAsia"/>
                      <w:color w:val="auto"/>
                      <w:sz w:val="18"/>
                      <w:szCs w:val="18"/>
                    </w:rPr>
                    <w:t>50</w:t>
                  </w:r>
                </w:p>
              </w:tc>
              <w:tc>
                <w:tcPr>
                  <w:tcW w:w="1353" w:type="dxa"/>
                  <w:vAlign w:val="center"/>
                </w:tcPr>
                <w:p w14:paraId="2E21644D">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0.02</w:t>
                  </w:r>
                </w:p>
              </w:tc>
              <w:tc>
                <w:tcPr>
                  <w:tcW w:w="1353" w:type="dxa"/>
                  <w:vMerge w:val="continue"/>
                  <w:vAlign w:val="center"/>
                </w:tcPr>
                <w:p w14:paraId="6D8B5B17">
                  <w:pPr>
                    <w:jc w:val="center"/>
                    <w:rPr>
                      <w:color w:val="auto"/>
                      <w:sz w:val="18"/>
                      <w:szCs w:val="18"/>
                    </w:rPr>
                  </w:pPr>
                </w:p>
              </w:tc>
            </w:tr>
            <w:tr w14:paraId="25D4D5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9" w:type="dxa"/>
                  <w:vAlign w:val="center"/>
                </w:tcPr>
                <w:p w14:paraId="6721A37D">
                  <w:pPr>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6</w:t>
                  </w:r>
                </w:p>
              </w:tc>
              <w:tc>
                <w:tcPr>
                  <w:tcW w:w="1656" w:type="dxa"/>
                  <w:vAlign w:val="center"/>
                </w:tcPr>
                <w:p w14:paraId="06372123">
                  <w:pPr>
                    <w:pStyle w:val="24"/>
                    <w:ind w:firstLine="0" w:firstLineChars="0"/>
                    <w:rPr>
                      <w:color w:val="auto"/>
                      <w:sz w:val="18"/>
                      <w:szCs w:val="18"/>
                    </w:rPr>
                  </w:pPr>
                  <w:r>
                    <w:rPr>
                      <w:rFonts w:hint="eastAsia" w:ascii="Times New Roman" w:hAnsi="Times New Roman" w:eastAsia="宋体" w:cs="Times New Roman"/>
                      <w:color w:val="auto"/>
                      <w:sz w:val="18"/>
                      <w:szCs w:val="18"/>
                      <w:lang w:eastAsia="zh-CN"/>
                    </w:rPr>
                    <w:t>废润滑油桶</w:t>
                  </w:r>
                </w:p>
              </w:tc>
              <w:tc>
                <w:tcPr>
                  <w:tcW w:w="1352" w:type="dxa"/>
                  <w:vAlign w:val="center"/>
                </w:tcPr>
                <w:p w14:paraId="1C668A26">
                  <w:pPr>
                    <w:jc w:val="center"/>
                    <w:rPr>
                      <w:rFonts w:hint="default"/>
                      <w:color w:val="auto"/>
                      <w:sz w:val="18"/>
                      <w:szCs w:val="18"/>
                      <w:lang w:val="en-US" w:eastAsia="zh-CN"/>
                    </w:rPr>
                  </w:pPr>
                  <w:r>
                    <w:rPr>
                      <w:rFonts w:hint="eastAsia" w:ascii="Times New Roman" w:hAnsi="Times New Roman" w:eastAsia="宋体" w:cs="Times New Roman"/>
                      <w:color w:val="auto"/>
                      <w:sz w:val="18"/>
                      <w:szCs w:val="18"/>
                      <w:lang w:val="en-US" w:eastAsia="zh-CN"/>
                    </w:rPr>
                    <w:t>0.5</w:t>
                  </w:r>
                </w:p>
              </w:tc>
              <w:tc>
                <w:tcPr>
                  <w:tcW w:w="1353" w:type="dxa"/>
                  <w:vAlign w:val="center"/>
                </w:tcPr>
                <w:p w14:paraId="5618AED4">
                  <w:pPr>
                    <w:jc w:val="center"/>
                    <w:rPr>
                      <w:rFonts w:hint="eastAsia"/>
                      <w:color w:val="auto"/>
                      <w:sz w:val="18"/>
                      <w:szCs w:val="18"/>
                    </w:rPr>
                  </w:pPr>
                  <w:r>
                    <w:rPr>
                      <w:rFonts w:hint="eastAsia"/>
                      <w:color w:val="auto"/>
                      <w:sz w:val="18"/>
                      <w:szCs w:val="18"/>
                    </w:rPr>
                    <w:t>50</w:t>
                  </w:r>
                </w:p>
              </w:tc>
              <w:tc>
                <w:tcPr>
                  <w:tcW w:w="1353" w:type="dxa"/>
                  <w:vAlign w:val="center"/>
                </w:tcPr>
                <w:p w14:paraId="422ABECC">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0.01</w:t>
                  </w:r>
                </w:p>
              </w:tc>
              <w:tc>
                <w:tcPr>
                  <w:tcW w:w="1353" w:type="dxa"/>
                  <w:vMerge w:val="continue"/>
                  <w:vAlign w:val="center"/>
                </w:tcPr>
                <w:p w14:paraId="081594F9">
                  <w:pPr>
                    <w:jc w:val="center"/>
                    <w:rPr>
                      <w:color w:val="auto"/>
                      <w:sz w:val="18"/>
                      <w:szCs w:val="18"/>
                    </w:rPr>
                  </w:pPr>
                </w:p>
              </w:tc>
            </w:tr>
            <w:tr w14:paraId="4A69D4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49" w:type="dxa"/>
                  <w:vAlign w:val="center"/>
                </w:tcPr>
                <w:p w14:paraId="52E173D5">
                  <w:pPr>
                    <w:tabs>
                      <w:tab w:val="center" w:pos="476"/>
                      <w:tab w:val="left" w:pos="599"/>
                    </w:tabs>
                    <w:jc w:val="center"/>
                    <w:rPr>
                      <w:rFonts w:hint="default" w:eastAsia="宋体"/>
                      <w:color w:val="auto"/>
                      <w:sz w:val="18"/>
                      <w:szCs w:val="18"/>
                      <w:lang w:val="en-US" w:eastAsia="zh-CN"/>
                    </w:rPr>
                  </w:pPr>
                </w:p>
              </w:tc>
              <w:tc>
                <w:tcPr>
                  <w:tcW w:w="1656" w:type="dxa"/>
                  <w:vAlign w:val="center"/>
                </w:tcPr>
                <w:p w14:paraId="395DFBF4">
                  <w:pPr>
                    <w:jc w:val="center"/>
                    <w:rPr>
                      <w:color w:val="auto"/>
                      <w:sz w:val="18"/>
                      <w:szCs w:val="18"/>
                    </w:rPr>
                  </w:pPr>
                  <w:r>
                    <w:rPr>
                      <w:color w:val="auto"/>
                      <w:sz w:val="18"/>
                      <w:szCs w:val="18"/>
                    </w:rPr>
                    <w:t>/</w:t>
                  </w:r>
                </w:p>
              </w:tc>
              <w:tc>
                <w:tcPr>
                  <w:tcW w:w="1352" w:type="dxa"/>
                  <w:vAlign w:val="center"/>
                </w:tcPr>
                <w:p w14:paraId="4C743327">
                  <w:pPr>
                    <w:jc w:val="center"/>
                    <w:rPr>
                      <w:color w:val="auto"/>
                      <w:sz w:val="18"/>
                      <w:szCs w:val="18"/>
                    </w:rPr>
                  </w:pPr>
                  <w:r>
                    <w:rPr>
                      <w:color w:val="auto"/>
                      <w:sz w:val="18"/>
                      <w:szCs w:val="18"/>
                    </w:rPr>
                    <w:t>/</w:t>
                  </w:r>
                </w:p>
              </w:tc>
              <w:tc>
                <w:tcPr>
                  <w:tcW w:w="1353" w:type="dxa"/>
                  <w:vAlign w:val="center"/>
                </w:tcPr>
                <w:p w14:paraId="50596908">
                  <w:pPr>
                    <w:jc w:val="center"/>
                    <w:rPr>
                      <w:color w:val="auto"/>
                      <w:sz w:val="18"/>
                      <w:szCs w:val="18"/>
                    </w:rPr>
                  </w:pPr>
                  <w:r>
                    <w:rPr>
                      <w:color w:val="auto"/>
                      <w:sz w:val="18"/>
                      <w:szCs w:val="18"/>
                    </w:rPr>
                    <w:t>合计</w:t>
                  </w:r>
                </w:p>
              </w:tc>
              <w:tc>
                <w:tcPr>
                  <w:tcW w:w="1353" w:type="dxa"/>
                  <w:vAlign w:val="center"/>
                </w:tcPr>
                <w:p w14:paraId="62C69FDB">
                  <w:pPr>
                    <w:widowControl/>
                    <w:jc w:val="center"/>
                    <w:textAlignment w:val="center"/>
                    <w:rPr>
                      <w:rFonts w:hint="default" w:eastAsia="宋体"/>
                      <w:color w:val="auto"/>
                      <w:sz w:val="18"/>
                      <w:szCs w:val="18"/>
                      <w:lang w:val="en-US" w:eastAsia="zh-CN"/>
                    </w:rPr>
                  </w:pPr>
                  <w:r>
                    <w:rPr>
                      <w:rFonts w:hint="eastAsia"/>
                      <w:color w:val="auto"/>
                      <w:sz w:val="18"/>
                      <w:szCs w:val="18"/>
                      <w:lang w:val="en-US" w:eastAsia="zh-CN"/>
                    </w:rPr>
                    <w:t>0.43</w:t>
                  </w:r>
                </w:p>
              </w:tc>
              <w:tc>
                <w:tcPr>
                  <w:tcW w:w="1353" w:type="dxa"/>
                  <w:vAlign w:val="center"/>
                </w:tcPr>
                <w:p w14:paraId="1DED34DB">
                  <w:pPr>
                    <w:jc w:val="center"/>
                    <w:rPr>
                      <w:color w:val="auto"/>
                      <w:sz w:val="18"/>
                      <w:szCs w:val="18"/>
                    </w:rPr>
                  </w:pPr>
                  <w:r>
                    <w:rPr>
                      <w:color w:val="auto"/>
                      <w:sz w:val="18"/>
                      <w:szCs w:val="18"/>
                    </w:rPr>
                    <w:t>/</w:t>
                  </w:r>
                </w:p>
              </w:tc>
            </w:tr>
            <w:tr w14:paraId="4B4A8A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116" w:type="dxa"/>
                  <w:gridSpan w:val="6"/>
                  <w:vAlign w:val="center"/>
                </w:tcPr>
                <w:p w14:paraId="6D7DD70E">
                  <w:pPr>
                    <w:rPr>
                      <w:color w:val="auto"/>
                    </w:rPr>
                  </w:pPr>
                  <w:r>
                    <w:rPr>
                      <w:color w:val="auto"/>
                      <w:sz w:val="18"/>
                      <w:szCs w:val="18"/>
                    </w:rPr>
                    <w:t>注：</w:t>
                  </w:r>
                  <w:r>
                    <w:rPr>
                      <w:rFonts w:hint="eastAsia"/>
                      <w:color w:val="auto"/>
                      <w:sz w:val="18"/>
                      <w:szCs w:val="18"/>
                    </w:rPr>
                    <w:t>①</w:t>
                  </w:r>
                  <w:r>
                    <w:rPr>
                      <w:color w:val="auto"/>
                      <w:sz w:val="18"/>
                      <w:szCs w:val="18"/>
                    </w:rPr>
                    <w:t>危险废物未列入《建设项目环境风险评价技术导则》（HJ169-2018）附录B突发环境事件风险物质及临界量表中，参照表B.2推荐临界量计算临界值。</w:t>
                  </w:r>
                </w:p>
              </w:tc>
            </w:tr>
          </w:tbl>
          <w:p w14:paraId="06663426">
            <w:pPr>
              <w:widowControl/>
              <w:spacing w:line="500" w:lineRule="exact"/>
              <w:ind w:firstLine="420" w:firstLineChars="200"/>
              <w:jc w:val="left"/>
              <w:rPr>
                <w:szCs w:val="21"/>
              </w:rPr>
            </w:pPr>
            <w:r>
              <w:rPr>
                <w:color w:val="000000"/>
                <w:kern w:val="0"/>
                <w:szCs w:val="21"/>
                <w:lang w:bidi="ar"/>
              </w:rPr>
              <w:t>综上，Q=</w:t>
            </w:r>
            <w:r>
              <w:rPr>
                <w:rFonts w:hint="eastAsia"/>
                <w:color w:val="000000"/>
                <w:kern w:val="0"/>
                <w:szCs w:val="21"/>
                <w:lang w:val="en-US" w:eastAsia="zh-CN" w:bidi="ar"/>
              </w:rPr>
              <w:t>0.43</w:t>
            </w:r>
            <w:r>
              <w:rPr>
                <w:color w:val="000000"/>
                <w:kern w:val="0"/>
                <w:szCs w:val="21"/>
                <w:lang w:bidi="ar"/>
              </w:rPr>
              <w:t>＜1因此本项目环境风险潜势为I。</w:t>
            </w:r>
          </w:p>
          <w:p w14:paraId="10BDC607">
            <w:pPr>
              <w:widowControl/>
              <w:spacing w:line="500" w:lineRule="exact"/>
              <w:ind w:firstLine="210" w:firstLineChars="100"/>
              <w:jc w:val="left"/>
            </w:pPr>
            <w:r>
              <w:t xml:space="preserve">（2）环境风险识别 </w:t>
            </w:r>
          </w:p>
          <w:p w14:paraId="0CE12E88">
            <w:pPr>
              <w:widowControl/>
              <w:spacing w:line="500" w:lineRule="exact"/>
              <w:ind w:firstLine="420" w:firstLineChars="200"/>
              <w:jc w:val="left"/>
            </w:pPr>
            <w:r>
              <w:t>对照《建设项目环境风险评价技术导则》（HJ169-2018），建设项目所涉及主要危险物质环境风险识别见表 4-</w:t>
            </w:r>
            <w:r>
              <w:rPr>
                <w:rFonts w:hint="eastAsia"/>
              </w:rPr>
              <w:t>2</w:t>
            </w:r>
            <w:r>
              <w:rPr>
                <w:rFonts w:hint="eastAsia"/>
                <w:lang w:val="en-US" w:eastAsia="zh-CN"/>
              </w:rPr>
              <w:t>6</w:t>
            </w:r>
            <w:r>
              <w:t>。</w:t>
            </w:r>
          </w:p>
          <w:p w14:paraId="3E0A51B9">
            <w:pPr>
              <w:widowControl/>
              <w:spacing w:line="360" w:lineRule="auto"/>
              <w:jc w:val="center"/>
              <w:rPr>
                <w:b/>
                <w:bCs/>
              </w:rPr>
            </w:pPr>
            <w:r>
              <w:rPr>
                <w:b/>
                <w:bCs/>
              </w:rPr>
              <w:t>表 4-</w:t>
            </w:r>
            <w:r>
              <w:rPr>
                <w:rFonts w:hint="eastAsia"/>
                <w:b/>
                <w:bCs/>
              </w:rPr>
              <w:t>2</w:t>
            </w:r>
            <w:r>
              <w:rPr>
                <w:rFonts w:hint="eastAsia"/>
                <w:b/>
                <w:bCs/>
                <w:lang w:val="en-US" w:eastAsia="zh-CN"/>
              </w:rPr>
              <w:t>6</w:t>
            </w:r>
            <w:r>
              <w:rPr>
                <w:b/>
                <w:bCs/>
              </w:rPr>
              <w:t xml:space="preserve"> 建设项目主要危险物质环境风险识别</w:t>
            </w:r>
          </w:p>
          <w:tbl>
            <w:tblPr>
              <w:tblStyle w:val="16"/>
              <w:tblW w:w="805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459"/>
              <w:gridCol w:w="3735"/>
              <w:gridCol w:w="2097"/>
            </w:tblGrid>
            <w:tr w14:paraId="46FDC8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67" w:type="dxa"/>
                  <w:vAlign w:val="center"/>
                </w:tcPr>
                <w:p w14:paraId="78D19AD0">
                  <w:pPr>
                    <w:jc w:val="center"/>
                    <w:rPr>
                      <w:sz w:val="18"/>
                      <w:szCs w:val="18"/>
                    </w:rPr>
                  </w:pPr>
                  <w:r>
                    <w:rPr>
                      <w:sz w:val="18"/>
                      <w:szCs w:val="18"/>
                    </w:rPr>
                    <w:t>序号</w:t>
                  </w:r>
                </w:p>
              </w:tc>
              <w:tc>
                <w:tcPr>
                  <w:tcW w:w="1459" w:type="dxa"/>
                  <w:vAlign w:val="center"/>
                </w:tcPr>
                <w:p w14:paraId="6E5BBE15">
                  <w:pPr>
                    <w:jc w:val="center"/>
                    <w:rPr>
                      <w:sz w:val="18"/>
                      <w:szCs w:val="18"/>
                    </w:rPr>
                  </w:pPr>
                  <w:r>
                    <w:rPr>
                      <w:sz w:val="18"/>
                      <w:szCs w:val="18"/>
                    </w:rPr>
                    <w:t>风险单元</w:t>
                  </w:r>
                </w:p>
              </w:tc>
              <w:tc>
                <w:tcPr>
                  <w:tcW w:w="3735" w:type="dxa"/>
                  <w:vAlign w:val="center"/>
                </w:tcPr>
                <w:p w14:paraId="7D49460C">
                  <w:pPr>
                    <w:jc w:val="center"/>
                    <w:rPr>
                      <w:sz w:val="18"/>
                      <w:szCs w:val="18"/>
                    </w:rPr>
                  </w:pPr>
                  <w:r>
                    <w:rPr>
                      <w:sz w:val="18"/>
                      <w:szCs w:val="18"/>
                    </w:rPr>
                    <w:t>涉及风险物</w:t>
                  </w:r>
                </w:p>
              </w:tc>
              <w:tc>
                <w:tcPr>
                  <w:tcW w:w="2097" w:type="dxa"/>
                  <w:vAlign w:val="center"/>
                </w:tcPr>
                <w:p w14:paraId="63EFE38D">
                  <w:pPr>
                    <w:jc w:val="center"/>
                    <w:rPr>
                      <w:sz w:val="18"/>
                      <w:szCs w:val="18"/>
                    </w:rPr>
                  </w:pPr>
                  <w:r>
                    <w:rPr>
                      <w:sz w:val="18"/>
                      <w:szCs w:val="18"/>
                    </w:rPr>
                    <w:t>可能影响环境的途径</w:t>
                  </w:r>
                </w:p>
              </w:tc>
            </w:tr>
            <w:tr w14:paraId="7FD3D2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67" w:type="dxa"/>
                  <w:vAlign w:val="center"/>
                </w:tcPr>
                <w:p w14:paraId="1ED6845E">
                  <w:pPr>
                    <w:jc w:val="center"/>
                    <w:rPr>
                      <w:rFonts w:hint="eastAsia" w:eastAsia="宋体"/>
                      <w:sz w:val="18"/>
                      <w:szCs w:val="18"/>
                      <w:lang w:eastAsia="zh-CN"/>
                    </w:rPr>
                  </w:pPr>
                  <w:r>
                    <w:rPr>
                      <w:rFonts w:hint="eastAsia"/>
                      <w:sz w:val="18"/>
                      <w:szCs w:val="18"/>
                      <w:lang w:val="en-US" w:eastAsia="zh-CN"/>
                    </w:rPr>
                    <w:t>1</w:t>
                  </w:r>
                </w:p>
              </w:tc>
              <w:tc>
                <w:tcPr>
                  <w:tcW w:w="1459" w:type="dxa"/>
                  <w:vAlign w:val="center"/>
                </w:tcPr>
                <w:p w14:paraId="09D9AA04">
                  <w:pPr>
                    <w:jc w:val="center"/>
                    <w:rPr>
                      <w:sz w:val="18"/>
                      <w:szCs w:val="18"/>
                    </w:rPr>
                  </w:pPr>
                  <w:r>
                    <w:rPr>
                      <w:sz w:val="18"/>
                      <w:szCs w:val="18"/>
                    </w:rPr>
                    <w:t>危废库</w:t>
                  </w:r>
                </w:p>
              </w:tc>
              <w:tc>
                <w:tcPr>
                  <w:tcW w:w="3735" w:type="dxa"/>
                  <w:vAlign w:val="center"/>
                </w:tcPr>
                <w:p w14:paraId="59BB3A6E">
                  <w:pPr>
                    <w:jc w:val="center"/>
                    <w:rPr>
                      <w:rFonts w:hint="eastAsia" w:eastAsia="宋体"/>
                      <w:sz w:val="18"/>
                      <w:szCs w:val="18"/>
                      <w:lang w:eastAsia="zh-CN"/>
                    </w:rPr>
                  </w:pPr>
                  <w:r>
                    <w:rPr>
                      <w:rFonts w:hint="eastAsia"/>
                      <w:sz w:val="18"/>
                      <w:szCs w:val="18"/>
                      <w:lang w:eastAsia="zh-CN"/>
                    </w:rPr>
                    <w:t>废活性炭、</w:t>
                  </w:r>
                  <w:r>
                    <w:rPr>
                      <w:rFonts w:hint="eastAsia"/>
                      <w:color w:val="auto"/>
                      <w:sz w:val="18"/>
                      <w:szCs w:val="18"/>
                      <w:lang w:eastAsia="zh-CN"/>
                    </w:rPr>
                    <w:t>喷淋塔废液、</w:t>
                  </w:r>
                  <w:r>
                    <w:rPr>
                      <w:rFonts w:hint="eastAsia" w:ascii="Times New Roman" w:hAnsi="Times New Roman" w:eastAsia="宋体" w:cs="Times New Roman"/>
                      <w:color w:val="auto"/>
                      <w:sz w:val="18"/>
                      <w:szCs w:val="18"/>
                      <w:lang w:eastAsia="zh-CN"/>
                    </w:rPr>
                    <w:t>废滤芯、废润滑油、废润滑油桶</w:t>
                  </w:r>
                </w:p>
              </w:tc>
              <w:tc>
                <w:tcPr>
                  <w:tcW w:w="2097" w:type="dxa"/>
                  <w:vAlign w:val="center"/>
                </w:tcPr>
                <w:p w14:paraId="3D021BB1">
                  <w:pPr>
                    <w:jc w:val="center"/>
                    <w:rPr>
                      <w:sz w:val="18"/>
                      <w:szCs w:val="18"/>
                    </w:rPr>
                  </w:pPr>
                  <w:r>
                    <w:rPr>
                      <w:sz w:val="18"/>
                      <w:szCs w:val="18"/>
                    </w:rPr>
                    <w:t>泄漏以及火灾等引起的伴生/次生污染物排放</w:t>
                  </w:r>
                </w:p>
              </w:tc>
            </w:tr>
            <w:tr w14:paraId="295ED1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5964A7C3">
                  <w:pPr>
                    <w:jc w:val="center"/>
                    <w:rPr>
                      <w:rFonts w:hint="eastAsia" w:eastAsia="宋体"/>
                      <w:sz w:val="18"/>
                      <w:szCs w:val="18"/>
                      <w:lang w:eastAsia="zh-CN"/>
                    </w:rPr>
                  </w:pPr>
                  <w:r>
                    <w:rPr>
                      <w:rFonts w:hint="eastAsia"/>
                      <w:sz w:val="18"/>
                      <w:szCs w:val="18"/>
                      <w:lang w:val="en-US" w:eastAsia="zh-CN"/>
                    </w:rPr>
                    <w:t>2</w:t>
                  </w:r>
                </w:p>
              </w:tc>
              <w:tc>
                <w:tcPr>
                  <w:tcW w:w="1459" w:type="dxa"/>
                  <w:vAlign w:val="center"/>
                </w:tcPr>
                <w:p w14:paraId="4D01832D">
                  <w:pPr>
                    <w:jc w:val="center"/>
                    <w:rPr>
                      <w:sz w:val="18"/>
                      <w:szCs w:val="18"/>
                    </w:rPr>
                  </w:pPr>
                  <w:r>
                    <w:rPr>
                      <w:rFonts w:hint="eastAsia"/>
                      <w:sz w:val="18"/>
                      <w:szCs w:val="18"/>
                      <w:lang w:eastAsia="zh-CN"/>
                    </w:rPr>
                    <w:t>废气处理装置</w:t>
                  </w:r>
                </w:p>
              </w:tc>
              <w:tc>
                <w:tcPr>
                  <w:tcW w:w="3735" w:type="dxa"/>
                  <w:vAlign w:val="center"/>
                </w:tcPr>
                <w:p w14:paraId="44FA23F2">
                  <w:pPr>
                    <w:jc w:val="center"/>
                    <w:rPr>
                      <w:sz w:val="18"/>
                      <w:szCs w:val="18"/>
                    </w:rPr>
                  </w:pPr>
                  <w:r>
                    <w:rPr>
                      <w:rFonts w:hint="eastAsia"/>
                      <w:sz w:val="18"/>
                      <w:szCs w:val="18"/>
                      <w:lang w:eastAsia="zh-CN"/>
                    </w:rPr>
                    <w:t>颗粒物、</w:t>
                  </w:r>
                  <w:r>
                    <w:rPr>
                      <w:rFonts w:hint="eastAsia"/>
                      <w:sz w:val="18"/>
                      <w:szCs w:val="18"/>
                    </w:rPr>
                    <w:t>非甲烷总烃</w:t>
                  </w:r>
                </w:p>
              </w:tc>
              <w:tc>
                <w:tcPr>
                  <w:tcW w:w="2097" w:type="dxa"/>
                  <w:vAlign w:val="center"/>
                </w:tcPr>
                <w:p w14:paraId="4E2A0233">
                  <w:pPr>
                    <w:jc w:val="center"/>
                    <w:rPr>
                      <w:sz w:val="18"/>
                      <w:szCs w:val="18"/>
                    </w:rPr>
                  </w:pPr>
                  <w:r>
                    <w:rPr>
                      <w:rFonts w:hint="eastAsia"/>
                      <w:sz w:val="18"/>
                      <w:szCs w:val="18"/>
                    </w:rPr>
                    <w:t>废气事故排放</w:t>
                  </w:r>
                </w:p>
              </w:tc>
            </w:tr>
          </w:tbl>
          <w:p w14:paraId="1993A2E2">
            <w:pPr>
              <w:widowControl/>
              <w:spacing w:line="500" w:lineRule="exact"/>
              <w:ind w:firstLine="420" w:firstLineChars="200"/>
              <w:jc w:val="left"/>
            </w:pPr>
            <w:r>
              <w:t xml:space="preserve">（3）环境风险分析 </w:t>
            </w:r>
          </w:p>
          <w:p w14:paraId="0E574C1E">
            <w:pPr>
              <w:widowControl/>
              <w:spacing w:line="500" w:lineRule="exact"/>
              <w:ind w:firstLine="420" w:firstLineChars="200"/>
              <w:jc w:val="left"/>
            </w:pPr>
            <w:r>
              <w:t>①废气处理设施故障影响分析</w:t>
            </w:r>
          </w:p>
          <w:p w14:paraId="20A35F75">
            <w:pPr>
              <w:spacing w:line="500" w:lineRule="exact"/>
              <w:ind w:firstLine="420" w:firstLineChars="200"/>
              <w:rPr>
                <w:color w:val="auto"/>
              </w:rPr>
            </w:pPr>
            <w:r>
              <w:t>项目采用市政电网供电系统，系统停电概率较小，一旦停电，生产设备及配套设置的废气处理设备（</w:t>
            </w:r>
            <w:r>
              <w:rPr>
                <w:rFonts w:hint="eastAsia"/>
                <w:lang w:eastAsia="zh-CN"/>
              </w:rPr>
              <w:t>布袋除尘、水喷淋</w:t>
            </w:r>
            <w:r>
              <w:rPr>
                <w:rFonts w:hint="eastAsia"/>
                <w:lang w:val="en-US" w:eastAsia="zh-CN"/>
              </w:rPr>
              <w:t>+除雾除湿设施+</w:t>
            </w:r>
            <w:r>
              <w:t>活性炭吸附装置等）将立即停止运转，造成工艺废气无法处理直接超标排放，部分废气无组织排放，但这种事故排放的影响时间较短，随着设备停止工作，无组织排放的现象将逐渐减少。次生、伴生影响：按照《建设项目环境风险评价技术导则》（HJ169-2018），本项目主要风险物质为</w:t>
            </w:r>
            <w:r>
              <w:rPr>
                <w:rFonts w:hint="eastAsia"/>
                <w:lang w:eastAsia="zh-CN"/>
              </w:rPr>
              <w:t>涂料</w:t>
            </w:r>
            <w:r>
              <w:t>发生泄漏时，产生的有机废气进入大气环境，导致周围大气环境中相应污染物浓度增高，造成环境空气质量污染；同时燃烧产</w:t>
            </w:r>
            <w:r>
              <w:rPr>
                <w:color w:val="auto"/>
              </w:rPr>
              <w:t>生烟尘</w:t>
            </w:r>
            <w:r>
              <w:rPr>
                <w:rFonts w:hint="eastAsia"/>
                <w:color w:val="auto"/>
                <w:lang w:eastAsia="zh-CN"/>
              </w:rPr>
              <w:t>、</w:t>
            </w:r>
            <w:r>
              <w:rPr>
                <w:rFonts w:hint="eastAsia"/>
                <w:color w:val="auto"/>
                <w:lang w:val="en-US" w:eastAsia="zh-CN"/>
              </w:rPr>
              <w:t>CO</w:t>
            </w:r>
            <w:r>
              <w:rPr>
                <w:color w:val="auto"/>
              </w:rPr>
              <w:t>等废气进入大气环境，导致周围大气环境中相应污染物浓度增高，造成环境空气质量污染。对大气环境产生不利影响。另厂区发生泄漏以及火灾也可能会导致有毒有害物质渗透入土壤中，造成土壤、地下水污染。</w:t>
            </w:r>
          </w:p>
          <w:p w14:paraId="58F12FC3">
            <w:pPr>
              <w:spacing w:line="500" w:lineRule="exact"/>
              <w:ind w:firstLine="420" w:firstLineChars="200"/>
              <w:rPr>
                <w:color w:val="auto"/>
              </w:rPr>
            </w:pPr>
            <w:r>
              <w:rPr>
                <w:color w:val="auto"/>
              </w:rPr>
              <w:t>②</w:t>
            </w:r>
            <w:r>
              <w:rPr>
                <w:rFonts w:hint="eastAsia"/>
                <w:color w:val="auto"/>
                <w:lang w:eastAsia="zh-CN"/>
              </w:rPr>
              <w:t>泄漏事故</w:t>
            </w:r>
            <w:r>
              <w:rPr>
                <w:color w:val="auto"/>
              </w:rPr>
              <w:t>环境风险影响分析</w:t>
            </w:r>
          </w:p>
          <w:p w14:paraId="72B9E6F6">
            <w:pPr>
              <w:spacing w:line="500" w:lineRule="exact"/>
              <w:ind w:firstLine="420" w:firstLineChars="200"/>
              <w:rPr>
                <w:color w:val="auto"/>
              </w:rPr>
            </w:pPr>
            <w:r>
              <w:rPr>
                <w:rFonts w:hint="eastAsia"/>
                <w:color w:val="auto"/>
                <w:lang w:eastAsia="zh-CN"/>
              </w:rPr>
              <w:t>当危险化学品装卸、存储、使用环节均采用专业人员进行，当出现少量泄漏时</w:t>
            </w:r>
            <w:r>
              <w:rPr>
                <w:rFonts w:hint="eastAsia"/>
                <w:color w:val="auto"/>
              </w:rPr>
              <w:t>，</w:t>
            </w:r>
            <w:r>
              <w:rPr>
                <w:rFonts w:hint="eastAsia"/>
                <w:color w:val="auto"/>
                <w:lang w:eastAsia="zh-CN"/>
              </w:rPr>
              <w:t>围堰能够有效将泄漏液体截流，若不行，立即用砂土或者其他惰性材料吸附泄漏废液，并及时将泄漏部分进行封堵，若为桶体破裂泄漏，及时将泄漏桶体的液体输送到事故池内，防止泄漏进一步扩大。当发生大量泄漏时，立即疏散附近人员至安全区，关闭最近的雨水阀门，泄漏液体引流至事故池内，进入事故池的化学品，尽快回收处理，避免在应急池中滞留过长时间引发二次事故（火灾、爆炸）。</w:t>
            </w:r>
          </w:p>
          <w:p w14:paraId="4ECC40FB">
            <w:pPr>
              <w:spacing w:line="360" w:lineRule="auto"/>
              <w:ind w:firstLine="420" w:firstLineChars="200"/>
            </w:pPr>
            <w:r>
              <w:rPr>
                <w:rFonts w:hint="eastAsia"/>
                <w:color w:val="auto"/>
              </w:rPr>
              <w:t>③</w:t>
            </w:r>
            <w:r>
              <w:rPr>
                <w:rFonts w:hint="eastAsia"/>
              </w:rPr>
              <w:t>火灾事故影响分析</w:t>
            </w:r>
          </w:p>
          <w:p w14:paraId="340527A1">
            <w:pPr>
              <w:spacing w:line="360" w:lineRule="auto"/>
              <w:ind w:firstLine="420" w:firstLineChars="200"/>
              <w:rPr>
                <w:rFonts w:hint="eastAsia"/>
              </w:rPr>
            </w:pPr>
            <w:r>
              <w:rPr>
                <w:rFonts w:hint="eastAsia"/>
                <w:lang w:val="en-US" w:eastAsia="zh-CN"/>
              </w:rPr>
              <w:t>A、</w:t>
            </w:r>
            <w:r>
              <w:rPr>
                <w:rFonts w:hint="eastAsia"/>
              </w:rPr>
              <w:t>发生火灾后对水体的影响分析</w:t>
            </w:r>
          </w:p>
          <w:p w14:paraId="7B7D8C49">
            <w:pPr>
              <w:spacing w:line="360" w:lineRule="auto"/>
              <w:ind w:firstLine="420" w:firstLineChars="200"/>
              <w:rPr>
                <w:rFonts w:hint="eastAsia" w:eastAsia="宋体"/>
                <w:lang w:eastAsia="zh-CN"/>
              </w:rPr>
            </w:pPr>
            <w:r>
              <w:rPr>
                <w:rFonts w:hint="eastAsia"/>
              </w:rPr>
              <w:t>当发生火灾时，应及时切断紧急切断阀，以控制火势。同时，事故池用来收集消防过程产生的废水，坚决杜绝消防废水直接进入雨水管网。本项目发生火灾时，使用消防水及其它消防设施（灭火器）灭火</w:t>
            </w:r>
            <w:r>
              <w:rPr>
                <w:rFonts w:hint="eastAsia"/>
                <w:lang w:eastAsia="zh-CN"/>
              </w:rPr>
              <w:t>。</w:t>
            </w:r>
          </w:p>
          <w:p w14:paraId="2BDF9B7E">
            <w:pPr>
              <w:spacing w:line="360" w:lineRule="auto"/>
              <w:ind w:firstLine="420" w:firstLineChars="200"/>
              <w:rPr>
                <w:rFonts w:hint="eastAsia"/>
              </w:rPr>
            </w:pPr>
            <w:r>
              <w:rPr>
                <w:rFonts w:hint="eastAsia"/>
                <w:lang w:val="en-US" w:eastAsia="zh-CN"/>
              </w:rPr>
              <w:t>B、</w:t>
            </w:r>
            <w:r>
              <w:rPr>
                <w:rFonts w:hint="eastAsia"/>
              </w:rPr>
              <w:t>火灾引发的连锁反应事故分析</w:t>
            </w:r>
          </w:p>
          <w:p w14:paraId="3EA58497">
            <w:pPr>
              <w:spacing w:line="360" w:lineRule="auto"/>
              <w:ind w:firstLine="420" w:firstLineChars="200"/>
              <w:rPr>
                <w:rFonts w:hint="eastAsia"/>
              </w:rPr>
            </w:pPr>
            <w:r>
              <w:rPr>
                <w:rFonts w:hint="eastAsia"/>
              </w:rPr>
              <w:t>本项目发生火灾时，如果救援不及时或救援措施不当或火势过大或气象条件发生变化等，都有可能会影响厂房，引起事故的连锁反应。根据国内由于火灾引发的连锁反应事故，其危害性均较大，环境污染情况也相对较为严重。为此，本项目应吸取事故教训，积极采取防范措施，避免事故的发生。同时，企业及其上级部门必须认真贯彻“安全第一，预防为主”的方针，各级领导在指导思想上、工作安排上和资金使用上要把防雷、防爆、防火工作放在头等重要位置，要建立健全针对性强、防范措施可行、确实解决问题的规章制度。强化职工安全意识，克服麻痹思想。对随时可能发生的重大爆炸火灾事故，增强应变能力，制定必要的消防、抢救、疏散、撤离的安全预案，提高事故应急能力。</w:t>
            </w:r>
          </w:p>
          <w:p w14:paraId="7B125DB5">
            <w:pPr>
              <w:spacing w:line="360" w:lineRule="auto"/>
              <w:ind w:firstLine="420" w:firstLineChars="200"/>
              <w:rPr>
                <w:rFonts w:hint="eastAsia"/>
              </w:rPr>
            </w:pPr>
            <w:r>
              <w:rPr>
                <w:rFonts w:hint="eastAsia"/>
                <w:lang w:val="en-US" w:eastAsia="zh-CN"/>
              </w:rPr>
              <w:t>C、</w:t>
            </w:r>
            <w:r>
              <w:rPr>
                <w:rFonts w:hint="eastAsia"/>
              </w:rPr>
              <w:t>伴生/次生污染分析</w:t>
            </w:r>
          </w:p>
          <w:p w14:paraId="0BF42031">
            <w:pPr>
              <w:spacing w:line="360" w:lineRule="auto"/>
              <w:ind w:firstLine="420" w:firstLineChars="200"/>
              <w:rPr>
                <w:rFonts w:hint="eastAsia" w:ascii="Times New Roman" w:hAnsi="Times New Roman" w:eastAsia="宋体" w:cs="Times New Roman"/>
                <w:color w:val="auto"/>
                <w:lang w:eastAsia="zh-CN"/>
              </w:rPr>
            </w:pPr>
            <w:r>
              <w:rPr>
                <w:rFonts w:hint="eastAsia"/>
                <w:color w:val="auto"/>
              </w:rPr>
              <w:t>本项目发生火灾时不完全燃烧会产生大量的CO</w:t>
            </w:r>
            <w:r>
              <w:rPr>
                <w:rFonts w:hint="eastAsia"/>
                <w:color w:val="auto"/>
                <w:lang w:eastAsia="zh-CN"/>
              </w:rPr>
              <w:t>，</w:t>
            </w:r>
            <w:r>
              <w:rPr>
                <w:rFonts w:hint="eastAsia"/>
                <w:color w:val="auto"/>
              </w:rPr>
              <w:t>由于发生火灾爆炸时，其不充分燃烧率随火势的大小发生变化，且与事故发生时的气象条件、物料储存量的多少等有关。为此，CO的产生源强难以进行确定。一旦发生火灾爆炸时，产生的伴生/次生污染影响范围均很大，一般都到了数公里以外，污染非常明显，尤其是有风的条件下，污染范围更广。</w:t>
            </w:r>
          </w:p>
          <w:p w14:paraId="0B93AD8C">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建立厂库火源管理制度。明火控制，其发生源为火柴、打火机等，接近装置区和储存区一定区域内不得有明火。严禁穿带铁钉的鞋进入，操作人员严禁穿化纤类、丝绸类衣服入内。现场放置警示标识、防撞锥、止退器、洗眼器，并备有防洪沙袋、消防栓、泄漏导流槽；仓库和车间安装有毒气体报警器及视频监控探头。严禁烟火，作业设备须采 用静电接地保护，杜绝一切点火源。建立突发环境事件信息通报机制，在突发环境事件发生后能及时通报可能受到污染危害的单位和居民。</w:t>
            </w:r>
          </w:p>
          <w:p w14:paraId="07B0BD57">
            <w:pPr>
              <w:spacing w:line="360" w:lineRule="auto"/>
              <w:ind w:firstLine="420" w:firstLineChars="200"/>
              <w:rPr>
                <w:rFonts w:hint="eastAsia" w:ascii="Times New Roman" w:hAnsi="Times New Roman" w:eastAsia="宋体" w:cs="Times New Roman"/>
                <w:color w:val="auto"/>
              </w:rPr>
            </w:pPr>
            <w:r>
              <w:rPr>
                <w:rFonts w:hint="eastAsia"/>
                <w:color w:val="auto"/>
              </w:rPr>
              <w:t>因此，在发生着火事故的事故情况下可能出现一定面积的污染，</w:t>
            </w:r>
            <w:r>
              <w:rPr>
                <w:rFonts w:hint="eastAsia"/>
                <w:color w:val="auto"/>
                <w:lang w:eastAsia="zh-CN"/>
              </w:rPr>
              <w:t>立即</w:t>
            </w:r>
            <w:r>
              <w:rPr>
                <w:rFonts w:hint="eastAsia"/>
                <w:color w:val="auto"/>
              </w:rPr>
              <w:t>采取严密的防范措施，严防事故的发生，</w:t>
            </w:r>
            <w:r>
              <w:rPr>
                <w:rFonts w:hint="eastAsia" w:ascii="Times New Roman" w:hAnsi="Times New Roman" w:eastAsia="宋体" w:cs="Times New Roman"/>
                <w:color w:val="auto"/>
              </w:rPr>
              <w:t>同时</w:t>
            </w:r>
            <w:r>
              <w:rPr>
                <w:rFonts w:hint="default" w:ascii="Times New Roman" w:hAnsi="Times New Roman" w:eastAsia="宋体" w:cs="Times New Roman"/>
                <w:color w:val="auto"/>
              </w:rPr>
              <w:t>火灾燃烧产生</w:t>
            </w:r>
            <w:r>
              <w:rPr>
                <w:rFonts w:hint="eastAsia" w:ascii="Times New Roman" w:hAnsi="Times New Roman" w:eastAsia="宋体" w:cs="Times New Roman"/>
                <w:color w:val="auto"/>
                <w:lang w:eastAsia="zh-CN"/>
              </w:rPr>
              <w:t>的</w:t>
            </w:r>
            <w:r>
              <w:rPr>
                <w:rFonts w:hint="default" w:ascii="Times New Roman" w:hAnsi="Times New Roman" w:eastAsia="宋体" w:cs="Times New Roman"/>
                <w:color w:val="auto"/>
              </w:rPr>
              <w:t>有毒物质</w:t>
            </w:r>
            <w:r>
              <w:rPr>
                <w:rFonts w:hint="eastAsia" w:cs="Times New Roman"/>
                <w:color w:val="auto"/>
                <w:lang w:eastAsia="zh-CN"/>
              </w:rPr>
              <w:t>烟尘</w:t>
            </w:r>
            <w:r>
              <w:rPr>
                <w:rFonts w:hint="default" w:ascii="Times New Roman" w:hAnsi="Times New Roman" w:eastAsia="宋体" w:cs="Times New Roman"/>
                <w:color w:val="auto"/>
              </w:rPr>
              <w:t>、CO等，迅速将受伤、中毒人员送往医院抢救；并根据需要配备医疗救护人员、治疗药物和器材</w:t>
            </w:r>
            <w:r>
              <w:rPr>
                <w:rFonts w:hint="eastAsia" w:ascii="Times New Roman" w:hAnsi="Times New Roman" w:eastAsia="宋体" w:cs="Times New Roman"/>
                <w:color w:val="auto"/>
              </w:rPr>
              <w:t>。</w:t>
            </w:r>
          </w:p>
          <w:p w14:paraId="28132E00">
            <w:pPr>
              <w:spacing w:line="360" w:lineRule="auto"/>
              <w:ind w:firstLine="420" w:firstLineChars="200"/>
              <w:rPr>
                <w:color w:val="auto"/>
              </w:rPr>
            </w:pPr>
            <w:r>
              <w:rPr>
                <w:color w:val="auto"/>
              </w:rPr>
              <w:t>④对环境敏感保护目标的影响：</w:t>
            </w:r>
          </w:p>
          <w:p w14:paraId="1B68BC76">
            <w:pPr>
              <w:spacing w:line="360" w:lineRule="auto"/>
              <w:ind w:firstLine="420" w:firstLineChars="200"/>
            </w:pPr>
            <w:r>
              <w:t>项目暂存的危险废物都按要求妥善保管，暂存场地地面按控制标准的要求做了防渗漏处理，一旦发生泄漏事故及时采取控制措施，</w:t>
            </w:r>
            <w:r>
              <w:rPr>
                <w:rFonts w:hint="eastAsia"/>
              </w:rPr>
              <w:t>项目加强火源管理，严禁烟火带入，定期进行安全</w:t>
            </w:r>
            <w:r>
              <w:rPr>
                <w:rFonts w:hint="eastAsia"/>
                <w:lang w:eastAsia="zh-CN"/>
              </w:rPr>
              <w:t>监测</w:t>
            </w:r>
            <w:r>
              <w:rPr>
                <w:rFonts w:hint="eastAsia"/>
              </w:rPr>
              <w:t>，制定完善的安全消防措施，设置足够的安全距离和道路，以便安全疏散和消防，重点区域设置水消防系统和干粉灭火器等，在必要的地方分别安装火灾探测器或感温探测器等，构成自动报警监测系统，</w:t>
            </w:r>
            <w:r>
              <w:t>环境风险水平在可控制范围内。</w:t>
            </w:r>
            <w:r>
              <w:rPr>
                <w:rFonts w:hint="eastAsia"/>
              </w:rPr>
              <w:t>一旦发生事故，立刻通知</w:t>
            </w:r>
            <w:r>
              <w:t>项目</w:t>
            </w:r>
            <w:r>
              <w:rPr>
                <w:rFonts w:hint="eastAsia"/>
              </w:rPr>
              <w:t>周边居民</w:t>
            </w:r>
            <w:r>
              <w:t>，</w:t>
            </w:r>
            <w:r>
              <w:rPr>
                <w:rFonts w:hint="eastAsia"/>
              </w:rPr>
              <w:t>进行疏散</w:t>
            </w:r>
            <w:r>
              <w:t>。</w:t>
            </w:r>
          </w:p>
          <w:p w14:paraId="0724ECF5">
            <w:pPr>
              <w:spacing w:line="360" w:lineRule="auto"/>
              <w:ind w:firstLine="420" w:firstLineChars="200"/>
            </w:pPr>
            <w:r>
              <w:t>综上，若发生事故时，影响不会扩散，能够控制厂区内，环境风险可</w:t>
            </w:r>
            <w:r>
              <w:rPr>
                <w:rFonts w:hint="eastAsia"/>
                <w:lang w:eastAsia="zh-CN"/>
              </w:rPr>
              <w:t>防控</w:t>
            </w:r>
            <w:r>
              <w:t>。</w:t>
            </w:r>
          </w:p>
          <w:p w14:paraId="3463BC4E">
            <w:pPr>
              <w:widowControl/>
              <w:spacing w:line="360" w:lineRule="auto"/>
              <w:ind w:firstLine="420" w:firstLineChars="200"/>
              <w:jc w:val="left"/>
              <w:rPr>
                <w:color w:val="auto"/>
              </w:rPr>
            </w:pPr>
            <w:r>
              <w:rPr>
                <w:color w:val="auto"/>
              </w:rPr>
              <w:t>（4）环境风险防范措施</w:t>
            </w:r>
          </w:p>
          <w:p w14:paraId="12E5D3C3">
            <w:pPr>
              <w:widowControl/>
              <w:spacing w:line="360" w:lineRule="auto"/>
              <w:ind w:firstLine="420" w:firstLineChars="200"/>
              <w:jc w:val="left"/>
              <w:rPr>
                <w:color w:val="auto"/>
              </w:rPr>
            </w:pPr>
            <w:r>
              <w:rPr>
                <w:color w:val="auto"/>
              </w:rPr>
              <w:t xml:space="preserve">为减少危险化学品可能造成的环境风险，建设单位拟采取以下风险防范及应急措施： </w:t>
            </w:r>
          </w:p>
          <w:p w14:paraId="67555D56">
            <w:pPr>
              <w:widowControl/>
              <w:spacing w:line="360" w:lineRule="auto"/>
              <w:ind w:firstLine="420" w:firstLineChars="200"/>
              <w:jc w:val="left"/>
              <w:rPr>
                <w:color w:val="auto"/>
              </w:rPr>
            </w:pPr>
            <w:r>
              <w:rPr>
                <w:color w:val="auto"/>
              </w:rPr>
              <w:t xml:space="preserve">①废水处理系统事故风险防范措施 </w:t>
            </w:r>
          </w:p>
          <w:p w14:paraId="3659A6F6">
            <w:pPr>
              <w:widowControl/>
              <w:spacing w:line="360" w:lineRule="auto"/>
              <w:ind w:firstLine="420" w:firstLineChars="200"/>
              <w:jc w:val="left"/>
              <w:rPr>
                <w:rFonts w:hint="eastAsia"/>
                <w:color w:val="auto"/>
              </w:rPr>
            </w:pPr>
            <w:r>
              <w:rPr>
                <w:rFonts w:hint="eastAsia"/>
                <w:color w:val="auto"/>
              </w:rPr>
              <w:t>一级拦截措施：在生产车间装置区和固废堆场地面进行</w:t>
            </w:r>
            <w:r>
              <w:rPr>
                <w:rFonts w:hint="eastAsia"/>
                <w:color w:val="auto"/>
                <w:lang w:eastAsia="zh-CN"/>
              </w:rPr>
              <w:t>防渗</w:t>
            </w:r>
            <w:r>
              <w:rPr>
                <w:rFonts w:hint="eastAsia"/>
                <w:color w:val="auto"/>
              </w:rPr>
              <w:t>处理</w:t>
            </w:r>
            <w:r>
              <w:rPr>
                <w:rFonts w:hint="eastAsia"/>
                <w:color w:val="auto"/>
                <w:lang w:eastAsia="zh-CN"/>
              </w:rPr>
              <w:t>，并且生产车间、危化品库、危废库均设置截流沟，危废库另外增设托盘</w:t>
            </w:r>
            <w:r>
              <w:rPr>
                <w:rFonts w:hint="eastAsia"/>
                <w:color w:val="auto"/>
              </w:rPr>
              <w:t>。</w:t>
            </w:r>
          </w:p>
          <w:p w14:paraId="0BC030C5">
            <w:pPr>
              <w:widowControl/>
              <w:spacing w:line="360" w:lineRule="auto"/>
              <w:ind w:firstLine="420" w:firstLineChars="200"/>
              <w:jc w:val="left"/>
              <w:rPr>
                <w:rFonts w:hint="eastAsia"/>
                <w:color w:val="auto"/>
              </w:rPr>
            </w:pPr>
            <w:r>
              <w:rPr>
                <w:rFonts w:hint="eastAsia"/>
                <w:color w:val="auto"/>
              </w:rPr>
              <w:t>二级拦截措施：建设项目设置足够容量的废水事故池用于贮存生产事故废水、事故消防废水等。</w:t>
            </w:r>
          </w:p>
          <w:p w14:paraId="7872FB3B">
            <w:pPr>
              <w:widowControl/>
              <w:spacing w:line="360" w:lineRule="auto"/>
              <w:ind w:firstLine="420" w:firstLineChars="200"/>
              <w:jc w:val="left"/>
              <w:rPr>
                <w:color w:val="auto"/>
              </w:rPr>
            </w:pPr>
            <w:r>
              <w:rPr>
                <w:rFonts w:hint="eastAsia"/>
                <w:color w:val="auto"/>
              </w:rPr>
              <w:t>三级拦截措施：在厂区内集、排水系统管网中设置排污闸板。在厂区排水系统总排放口设置排污闸板，防止事故废水未经处理排入污水处理厂而对其造成冲击负荷。在厂区雨水收集系统排放口前端设置雨、污双向阀门，雨水阀门可将排水排入雨水管网，污水阀门可将来水引入事故池。当发生原料泄漏或火灾事故产生消防废水后能及时关闭雨水阀门同时开启污水阀门，保证事故后废水能及时导入事故池，防止有毒物质或消防废水通过雨水管网排入外环境。</w:t>
            </w:r>
          </w:p>
          <w:p w14:paraId="0A834422">
            <w:pPr>
              <w:widowControl/>
              <w:spacing w:line="360" w:lineRule="auto"/>
              <w:ind w:firstLine="420" w:firstLineChars="200"/>
              <w:jc w:val="left"/>
            </w:pPr>
            <w:r>
              <w:t xml:space="preserve">②废气处理系统事故风险防范措施 </w:t>
            </w:r>
          </w:p>
          <w:p w14:paraId="0A8B42D2">
            <w:pPr>
              <w:widowControl/>
              <w:spacing w:line="360" w:lineRule="auto"/>
              <w:ind w:firstLine="420" w:firstLineChars="200"/>
              <w:jc w:val="left"/>
              <w:rPr>
                <w:rFonts w:hint="eastAsia"/>
              </w:rPr>
            </w:pPr>
            <w:r>
              <w:rPr>
                <w:rFonts w:hint="eastAsia"/>
              </w:rPr>
              <w:t>发生事故的原因主要有以下几个：</w:t>
            </w:r>
          </w:p>
          <w:p w14:paraId="1060B942">
            <w:pPr>
              <w:widowControl/>
              <w:spacing w:line="360" w:lineRule="auto"/>
              <w:ind w:firstLine="420" w:firstLineChars="200"/>
              <w:jc w:val="left"/>
              <w:rPr>
                <w:rFonts w:hint="eastAsia"/>
              </w:rPr>
            </w:pPr>
            <w:r>
              <w:rPr>
                <w:rFonts w:hint="eastAsia"/>
              </w:rPr>
              <w:t>1）废气处理系统在出现故障，未经处理的废气排入大气环境中；</w:t>
            </w:r>
          </w:p>
          <w:p w14:paraId="5C6AB60E">
            <w:pPr>
              <w:widowControl/>
              <w:spacing w:line="360" w:lineRule="auto"/>
              <w:ind w:firstLine="420" w:firstLineChars="200"/>
              <w:jc w:val="left"/>
              <w:rPr>
                <w:rFonts w:hint="eastAsia"/>
              </w:rPr>
            </w:pPr>
            <w:r>
              <w:rPr>
                <w:rFonts w:hint="eastAsia"/>
              </w:rPr>
              <w:t>2）生产过程中由于设备老化、腐蚀、失误操作等原因造成车间废气浓度超标；</w:t>
            </w:r>
          </w:p>
          <w:p w14:paraId="10D5A0FB">
            <w:pPr>
              <w:widowControl/>
              <w:spacing w:line="360" w:lineRule="auto"/>
              <w:ind w:firstLine="420" w:firstLineChars="200"/>
              <w:jc w:val="left"/>
              <w:rPr>
                <w:rFonts w:hint="eastAsia"/>
              </w:rPr>
            </w:pPr>
            <w:r>
              <w:rPr>
                <w:rFonts w:hint="eastAsia"/>
              </w:rPr>
              <w:t>3）厂内突然停电，废气处理系统停止工作，致使废气不能得到及时处理而造成事故排放；</w:t>
            </w:r>
          </w:p>
          <w:p w14:paraId="6ECC1E5B">
            <w:pPr>
              <w:widowControl/>
              <w:spacing w:line="360" w:lineRule="auto"/>
              <w:ind w:firstLine="420" w:firstLineChars="200"/>
              <w:jc w:val="left"/>
              <w:rPr>
                <w:rFonts w:hint="eastAsia"/>
              </w:rPr>
            </w:pPr>
            <w:r>
              <w:rPr>
                <w:rFonts w:hint="eastAsia"/>
              </w:rPr>
              <w:t>4）对废气治理措施疏于管理，未及时更换吸附介质，使废气治理措施处理效率降低造成废气浓度超标；</w:t>
            </w:r>
          </w:p>
          <w:p w14:paraId="4EEB317B">
            <w:pPr>
              <w:widowControl/>
              <w:spacing w:line="360" w:lineRule="auto"/>
              <w:ind w:firstLine="420" w:firstLineChars="200"/>
              <w:jc w:val="left"/>
              <w:rPr>
                <w:rFonts w:hint="eastAsia"/>
              </w:rPr>
            </w:pPr>
            <w:r>
              <w:rPr>
                <w:rFonts w:hint="eastAsia"/>
              </w:rPr>
              <w:t>5）管理人员的疏忽和失职。</w:t>
            </w:r>
          </w:p>
          <w:p w14:paraId="762C506C">
            <w:pPr>
              <w:widowControl/>
              <w:spacing w:line="360" w:lineRule="auto"/>
              <w:ind w:firstLine="420" w:firstLineChars="200"/>
              <w:jc w:val="left"/>
              <w:rPr>
                <w:rFonts w:hint="eastAsia"/>
              </w:rPr>
            </w:pPr>
            <w:r>
              <w:rPr>
                <w:rFonts w:hint="eastAsia"/>
              </w:rPr>
              <w:t>为杜绝事故性废气排放，建议采用以下措施来确保废气达标排放：</w:t>
            </w:r>
          </w:p>
          <w:p w14:paraId="264C887E">
            <w:pPr>
              <w:widowControl/>
              <w:spacing w:line="360" w:lineRule="auto"/>
              <w:ind w:firstLine="420" w:firstLineChars="200"/>
              <w:jc w:val="left"/>
              <w:rPr>
                <w:rFonts w:hint="eastAsia"/>
              </w:rPr>
            </w:pPr>
            <w:r>
              <w:rPr>
                <w:rFonts w:hint="eastAsia"/>
              </w:rPr>
              <w:t>1）建设项目排气筒定期开展监测，</w:t>
            </w:r>
            <w:r>
              <w:rPr>
                <w:rFonts w:hint="eastAsia"/>
                <w:lang w:eastAsia="zh-CN"/>
              </w:rPr>
              <w:t>保证废气达标排放</w:t>
            </w:r>
            <w:r>
              <w:rPr>
                <w:rFonts w:hint="eastAsia"/>
              </w:rPr>
              <w:t>；</w:t>
            </w:r>
          </w:p>
          <w:p w14:paraId="094BB7EC">
            <w:pPr>
              <w:widowControl/>
              <w:spacing w:line="360" w:lineRule="auto"/>
              <w:ind w:firstLine="420" w:firstLineChars="200"/>
              <w:jc w:val="left"/>
              <w:rPr>
                <w:rFonts w:hint="eastAsia"/>
              </w:rPr>
            </w:pPr>
            <w:r>
              <w:rPr>
                <w:rFonts w:hint="eastAsia"/>
              </w:rPr>
              <w:t>2）平时加强废气处理设施的维护保养，及时发现处理设备的隐患，并及时进行维修，确保废气处理系统正常运行；</w:t>
            </w:r>
          </w:p>
          <w:p w14:paraId="0D903B75">
            <w:pPr>
              <w:widowControl/>
              <w:spacing w:line="360" w:lineRule="auto"/>
              <w:ind w:firstLine="420" w:firstLineChars="200"/>
              <w:jc w:val="left"/>
              <w:rPr>
                <w:rFonts w:hint="eastAsia"/>
              </w:rPr>
            </w:pPr>
            <w:r>
              <w:rPr>
                <w:rFonts w:hint="eastAsia"/>
              </w:rPr>
              <w:t>3）建立健全的环保机构，</w:t>
            </w:r>
            <w:r>
              <w:rPr>
                <w:rFonts w:hint="eastAsia"/>
                <w:lang w:eastAsia="zh-CN"/>
              </w:rPr>
              <w:t>对</w:t>
            </w:r>
            <w:r>
              <w:rPr>
                <w:rFonts w:hint="eastAsia"/>
              </w:rPr>
              <w:t>管理人员和技术人员进行岗位培训，对废气处理实行全过程跟踪控制；</w:t>
            </w:r>
          </w:p>
          <w:p w14:paraId="05BD2C6A">
            <w:pPr>
              <w:widowControl/>
              <w:spacing w:line="360" w:lineRule="auto"/>
              <w:ind w:firstLine="420" w:firstLineChars="200"/>
              <w:jc w:val="left"/>
              <w:rPr>
                <w:rFonts w:hint="eastAsia"/>
              </w:rPr>
            </w:pPr>
            <w:r>
              <w:rPr>
                <w:rFonts w:hint="eastAsia"/>
              </w:rPr>
              <w:t>4）项目应设有备用电源和备用处理设备，以备停电或设备出现故障时保障废气全部抽入净化系统进行处理以达标排放。</w:t>
            </w:r>
          </w:p>
          <w:p w14:paraId="470DEDF6">
            <w:pPr>
              <w:widowControl/>
              <w:spacing w:line="360" w:lineRule="auto"/>
              <w:ind w:firstLine="420" w:firstLineChars="200"/>
              <w:jc w:val="left"/>
            </w:pPr>
            <w:r>
              <w:t>③</w:t>
            </w:r>
            <w:r>
              <w:rPr>
                <w:rFonts w:hint="eastAsia"/>
              </w:rPr>
              <w:t>火灾事故防范措施</w:t>
            </w:r>
          </w:p>
          <w:p w14:paraId="6B223707">
            <w:pPr>
              <w:widowControl/>
              <w:spacing w:line="360" w:lineRule="auto"/>
              <w:ind w:firstLine="420" w:firstLineChars="200"/>
              <w:jc w:val="left"/>
            </w:pPr>
            <w:r>
              <w:rPr>
                <w:rFonts w:hint="eastAsia"/>
              </w:rPr>
              <w:t>严格按照《建筑设计防火规范》合理布置总图，各生产和辅助装置按功能分别布置，并充分考虑消防和疏散通道等问题，消防隔离带及消防通道要求参照消防有关要求建设、布置，消防通道和建筑物耐火等级应满足消防要求，在危险物品存放区设立警告牌（严禁烟火）。</w:t>
            </w:r>
          </w:p>
          <w:p w14:paraId="04A1FCA1">
            <w:pPr>
              <w:widowControl/>
              <w:spacing w:line="360" w:lineRule="auto"/>
              <w:ind w:firstLine="420" w:firstLineChars="200"/>
              <w:jc w:val="left"/>
            </w:pPr>
            <w:r>
              <w:rPr>
                <w:rFonts w:hint="eastAsia"/>
              </w:rPr>
              <w:t>本项目生产车间等火灾危险场所设置火灾自动报警系统和火灾电话报警。火灾自动报警系统设计符合现行国家标准《火灾自动报警系统设计规范》（GB50116）的规定。生产设备、原料仓库远离火种、热源。工作场所严禁吸烟。各区域按规范设置灭火器、消防设施并定期检查维护。根据企业实际情况购置相应的应急物资。发生火灾事故险情时，第一发现人应立即报告主管负责人，根据事故险情和扑救具体情况采取适当措施，如需外援应立即拨打火警119告知火灾危险严重程度。</w:t>
            </w:r>
            <w:r>
              <w:t xml:space="preserve"> </w:t>
            </w:r>
          </w:p>
          <w:p w14:paraId="756FEFC9">
            <w:pPr>
              <w:widowControl/>
              <w:spacing w:line="360" w:lineRule="auto"/>
              <w:ind w:firstLine="420" w:firstLineChars="200"/>
              <w:jc w:val="left"/>
            </w:pPr>
            <w:r>
              <w:t xml:space="preserve">④厂区留有足够的消防通道。生产车间、仓库设置消防给水管道和消防栓。厂部要组织义务消防员，并进行定期的培训和训练。对有火灾危险的场所设置自动报警系统，一旦发生火灾，立即做出应急反应。 </w:t>
            </w:r>
          </w:p>
          <w:p w14:paraId="043206D5">
            <w:pPr>
              <w:widowControl/>
              <w:spacing w:line="360" w:lineRule="auto"/>
              <w:ind w:firstLine="420" w:firstLineChars="200"/>
              <w:jc w:val="left"/>
            </w:pPr>
            <w:r>
              <w:t xml:space="preserve">⑤对于危废仓库，建设单位拟设置监控系统，主要在仓库出入口、仓库内、厂门口等关键位置安装视频监控设施，进行实时监控，并与中控室联网。厂区门口拟设置危废信息公开栏，危废仓库外墙及各类危废贮存处墙面设置贮存设施警示标志牌。贮存过程拟在危废暂存场所设置地沟等，发生少量泄漏立即将容器内剩余溶液转移，并收集托盘、地沟内泄漏液体，防止泄漏物料挥发到大气中。 </w:t>
            </w:r>
          </w:p>
          <w:p w14:paraId="58F45845">
            <w:pPr>
              <w:widowControl/>
              <w:spacing w:line="360" w:lineRule="auto"/>
              <w:ind w:firstLine="420" w:firstLineChars="200"/>
              <w:jc w:val="left"/>
            </w:pPr>
            <w:r>
              <w:rPr>
                <w:rFonts w:hint="eastAsia" w:ascii="宋体" w:hAnsi="宋体" w:cs="宋体"/>
              </w:rPr>
              <w:t>⑥</w:t>
            </w:r>
            <w:r>
              <w:t xml:space="preserve">厂区内的雨水管道、事故沟收集系统要严格分开，设置切换阀。 </w:t>
            </w:r>
          </w:p>
          <w:p w14:paraId="6FBDC218">
            <w:pPr>
              <w:widowControl/>
              <w:spacing w:line="360" w:lineRule="auto"/>
              <w:ind w:firstLine="420" w:firstLineChars="200"/>
              <w:jc w:val="left"/>
              <w:rPr>
                <w:rFonts w:hint="eastAsia"/>
              </w:rPr>
            </w:pPr>
            <w:r>
              <w:rPr>
                <w:rFonts w:hint="eastAsia"/>
              </w:rPr>
              <w:t xml:space="preserve">5）建立从污染源头、过程处理和最终排放的三级防控体系： </w:t>
            </w:r>
          </w:p>
          <w:p w14:paraId="5BB437D5">
            <w:pPr>
              <w:widowControl/>
              <w:spacing w:line="360" w:lineRule="auto"/>
              <w:ind w:firstLine="420" w:firstLineChars="200"/>
              <w:jc w:val="left"/>
              <w:rPr>
                <w:rFonts w:hint="eastAsia"/>
                <w:color w:val="auto"/>
              </w:rPr>
            </w:pPr>
            <w:r>
              <w:rPr>
                <w:rFonts w:hint="eastAsia"/>
                <w:color w:val="auto"/>
              </w:rPr>
              <w:t>①一级防控措施：仓库、车间内设置</w:t>
            </w:r>
            <w:r>
              <w:rPr>
                <w:rFonts w:hint="eastAsia"/>
                <w:color w:val="auto"/>
                <w:lang w:eastAsia="zh-CN"/>
              </w:rPr>
              <w:t>截流沟</w:t>
            </w:r>
            <w:r>
              <w:rPr>
                <w:rFonts w:hint="eastAsia"/>
                <w:color w:val="auto"/>
              </w:rPr>
              <w:t>，发生事故时</w:t>
            </w:r>
            <w:r>
              <w:rPr>
                <w:rFonts w:hint="eastAsia"/>
                <w:color w:val="auto"/>
                <w:lang w:eastAsia="zh-CN"/>
              </w:rPr>
              <w:t>通过截流措施将</w:t>
            </w:r>
            <w:r>
              <w:rPr>
                <w:rFonts w:hint="eastAsia"/>
                <w:color w:val="auto"/>
              </w:rPr>
              <w:t>事故废水控制在车间内。</w:t>
            </w:r>
            <w:r>
              <w:rPr>
                <w:rFonts w:hint="eastAsia"/>
                <w:color w:val="auto"/>
                <w:lang w:eastAsia="zh-CN"/>
              </w:rPr>
              <w:t>可采用砂土或其他惰性材料吸附，</w:t>
            </w:r>
            <w:r>
              <w:rPr>
                <w:rFonts w:hint="eastAsia"/>
                <w:color w:val="auto"/>
              </w:rPr>
              <w:t xml:space="preserve">车间地面以及围墙采用防腐、防渗涂层。车间管网能连接至事故应急池，消防废水和事故废水能够通过事故沟排入事故应急池，不会流出园区外。 </w:t>
            </w:r>
          </w:p>
          <w:p w14:paraId="08C7C839">
            <w:pPr>
              <w:widowControl/>
              <w:spacing w:line="360" w:lineRule="auto"/>
              <w:ind w:firstLine="420" w:firstLineChars="200"/>
              <w:jc w:val="left"/>
              <w:rPr>
                <w:rFonts w:hint="eastAsia"/>
                <w:color w:val="auto"/>
              </w:rPr>
            </w:pPr>
            <w:r>
              <w:rPr>
                <w:rFonts w:hint="eastAsia"/>
                <w:color w:val="auto"/>
              </w:rPr>
              <w:t xml:space="preserve">②二级防控体系：必须建设事故应急池及其配套设施（如事故导排系统），防止单套生产装置较大事故泄漏物料和消防废水造成的环境污染；本项目拟设置事故应急池，确保事故情况下危险物质不污染水体，可满足一次性事故废水量。总排污口及雨水排污口处已设置应急阀门，一旦发生事故，紧急关闭，避免事故废水外排，污染环境。 </w:t>
            </w:r>
          </w:p>
          <w:p w14:paraId="2E649767">
            <w:pPr>
              <w:widowControl/>
              <w:spacing w:line="360" w:lineRule="auto"/>
              <w:ind w:firstLine="420" w:firstLineChars="200"/>
              <w:jc w:val="left"/>
              <w:rPr>
                <w:color w:val="auto"/>
              </w:rPr>
            </w:pPr>
            <w:r>
              <w:rPr>
                <w:rFonts w:hint="eastAsia"/>
                <w:color w:val="auto"/>
              </w:rPr>
              <w:t>③三级防控体系：必须与其他企业形成联动，当本项目出现重特大事故时，厂区内设置的事故应急池容量已无法容纳消防废水和事故废水，可考虑使用附近其他企业应急系统收集消防废水和事故废水，杜绝消防废水和事故废水直接排放的情况，避免对纳污水体造成污染，同时应注意加强与</w:t>
            </w:r>
            <w:r>
              <w:rPr>
                <w:rFonts w:hint="eastAsia"/>
                <w:color w:val="auto"/>
                <w:lang w:eastAsia="zh-CN"/>
              </w:rPr>
              <w:t>通州区</w:t>
            </w:r>
            <w:r>
              <w:rPr>
                <w:rFonts w:hint="eastAsia"/>
                <w:color w:val="auto"/>
              </w:rPr>
              <w:t>及河道水利部门联系。</w:t>
            </w:r>
          </w:p>
          <w:p w14:paraId="5537BC5D">
            <w:pPr>
              <w:widowControl/>
              <w:spacing w:line="360" w:lineRule="auto"/>
              <w:ind w:firstLine="420" w:firstLineChars="200"/>
              <w:jc w:val="left"/>
            </w:pPr>
            <w:r>
              <w:t>事故池设计：事故储存设施总有效容积的核算考虑以下几个方面：</w:t>
            </w:r>
          </w:p>
          <w:p w14:paraId="3EC72098">
            <w:pPr>
              <w:jc w:val="center"/>
            </w:pPr>
            <w:r>
              <w:object>
                <v:shape id="_x0000_i1026" o:spt="75" type="#_x0000_t75" style="height:18pt;width:153.75pt;" o:ole="t" filled="f" o:preferrelative="t" stroked="f" coordsize="21600,21600">
                  <v:path/>
                  <v:fill on="f" focussize="0,0"/>
                  <v:stroke on="f" joinstyle="miter"/>
                  <v:imagedata r:id="rId17" o:title=""/>
                  <o:lock v:ext="edit" aspectratio="t"/>
                  <w10:wrap type="none"/>
                  <w10:anchorlock/>
                </v:shape>
                <o:OLEObject Type="Embed" ProgID="Equation.KSEE3" ShapeID="_x0000_i1026" DrawAspect="Content" ObjectID="_1468075726" r:id="rId16">
                  <o:LockedField>false</o:LockedField>
                </o:OLEObject>
              </w:object>
            </w:r>
          </w:p>
          <w:p w14:paraId="38F8230A">
            <w:pPr>
              <w:widowControl/>
              <w:spacing w:line="500" w:lineRule="exact"/>
              <w:ind w:firstLine="420" w:firstLineChars="200"/>
              <w:jc w:val="left"/>
            </w:pPr>
            <w:r>
              <w:t xml:space="preserve">注：（V1+ V2- V3）max是指对收集系统范围内不同罐组或装置分别计算 V1+ V2- </w:t>
            </w:r>
          </w:p>
          <w:p w14:paraId="74931A4A">
            <w:pPr>
              <w:widowControl/>
              <w:spacing w:line="500" w:lineRule="exact"/>
              <w:ind w:firstLine="420" w:firstLineChars="200"/>
              <w:jc w:val="left"/>
            </w:pPr>
            <w:r>
              <w:t xml:space="preserve">V3，取其中最大值。 </w:t>
            </w:r>
          </w:p>
          <w:p w14:paraId="263646E2">
            <w:pPr>
              <w:widowControl/>
              <w:spacing w:line="500" w:lineRule="exact"/>
              <w:ind w:firstLine="420" w:firstLineChars="200"/>
              <w:jc w:val="left"/>
            </w:pPr>
            <w:r>
              <w:t xml:space="preserve">V1—收集系统范围内发生事故的储罐或装置的物料量； </w:t>
            </w:r>
          </w:p>
          <w:p w14:paraId="70EA7A4B">
            <w:pPr>
              <w:widowControl/>
              <w:spacing w:line="500" w:lineRule="exact"/>
              <w:ind w:firstLine="420" w:firstLineChars="200"/>
              <w:jc w:val="left"/>
            </w:pPr>
            <w:r>
              <w:t>V2—发生事故的储罐或装置的消防水量，m</w:t>
            </w:r>
            <w:r>
              <w:rPr>
                <w:vertAlign w:val="superscript"/>
              </w:rPr>
              <w:t>3</w:t>
            </w:r>
            <w:r>
              <w:t>；</w:t>
            </w:r>
          </w:p>
          <w:p w14:paraId="4F30A7F1">
            <w:pPr>
              <w:widowControl/>
              <w:spacing w:line="500" w:lineRule="exact"/>
              <w:ind w:firstLine="420" w:firstLineChars="200"/>
              <w:jc w:val="left"/>
            </w:pPr>
            <w:r>
              <w:t>V3—发生事故时可以转输到其他储存或处理设施的物料量，m</w:t>
            </w:r>
            <w:r>
              <w:rPr>
                <w:vertAlign w:val="superscript"/>
              </w:rPr>
              <w:t>3</w:t>
            </w:r>
            <w:r>
              <w:t xml:space="preserve">； </w:t>
            </w:r>
          </w:p>
          <w:p w14:paraId="3B701B98">
            <w:pPr>
              <w:widowControl/>
              <w:spacing w:line="500" w:lineRule="exact"/>
              <w:ind w:firstLine="420" w:firstLineChars="200"/>
              <w:jc w:val="left"/>
            </w:pPr>
            <w:r>
              <w:t>V4—发生事故时仍必须进入该收集系统的生产废水量，m</w:t>
            </w:r>
            <w:r>
              <w:rPr>
                <w:vertAlign w:val="superscript"/>
              </w:rPr>
              <w:t>3</w:t>
            </w:r>
            <w:r>
              <w:t xml:space="preserve">； </w:t>
            </w:r>
          </w:p>
          <w:p w14:paraId="3F989380">
            <w:pPr>
              <w:widowControl/>
              <w:spacing w:line="500" w:lineRule="exact"/>
              <w:ind w:firstLine="420" w:firstLineChars="200"/>
              <w:jc w:val="left"/>
            </w:pPr>
            <w:r>
              <w:t>V5—发生事故时可能进入该收集系统的降雨量，m</w:t>
            </w:r>
            <w:r>
              <w:rPr>
                <w:vertAlign w:val="superscript"/>
              </w:rPr>
              <w:t>3</w:t>
            </w:r>
            <w:r>
              <w:t xml:space="preserve">。 </w:t>
            </w:r>
          </w:p>
          <w:p w14:paraId="1B2315CF">
            <w:pPr>
              <w:widowControl/>
              <w:spacing w:line="500" w:lineRule="exact"/>
              <w:ind w:firstLine="420" w:firstLineChars="200"/>
              <w:jc w:val="left"/>
            </w:pPr>
            <w:r>
              <w:t>①物料量（V</w:t>
            </w:r>
            <w:r>
              <w:rPr>
                <w:vertAlign w:val="subscript"/>
              </w:rPr>
              <w:t>1</w:t>
            </w:r>
            <w:r>
              <w:t>）：按照液体原料最大存储量泄漏计算，</w:t>
            </w:r>
            <w:r>
              <w:rPr>
                <w:rFonts w:hint="eastAsia"/>
                <w:lang w:eastAsia="zh-CN"/>
              </w:rPr>
              <w:t>最大包装容器为</w:t>
            </w:r>
            <w:r>
              <w:rPr>
                <w:rFonts w:hint="eastAsia"/>
                <w:lang w:val="en-US" w:eastAsia="zh-CN"/>
              </w:rPr>
              <w:t>25kg</w:t>
            </w:r>
            <w:r>
              <w:rPr>
                <w:rFonts w:hint="eastAsia"/>
              </w:rPr>
              <w:t>，</w:t>
            </w:r>
            <w:r>
              <w:t>V</w:t>
            </w:r>
            <w:r>
              <w:rPr>
                <w:vertAlign w:val="subscript"/>
              </w:rPr>
              <w:t>1</w:t>
            </w:r>
            <w:r>
              <w:t>为</w:t>
            </w:r>
            <w:r>
              <w:rPr>
                <w:rFonts w:hint="eastAsia"/>
                <w:lang w:val="en-US" w:eastAsia="zh-CN"/>
              </w:rPr>
              <w:t>0.025</w:t>
            </w:r>
            <w:r>
              <w:t>m</w:t>
            </w:r>
            <w:r>
              <w:rPr>
                <w:vertAlign w:val="superscript"/>
              </w:rPr>
              <w:t>3</w:t>
            </w:r>
            <w:r>
              <w:t>。</w:t>
            </w:r>
          </w:p>
          <w:p w14:paraId="4A8413A9">
            <w:pPr>
              <w:widowControl/>
              <w:spacing w:line="500" w:lineRule="exact"/>
              <w:ind w:firstLine="420" w:firstLineChars="200"/>
              <w:jc w:val="left"/>
            </w:pPr>
            <w:r>
              <w:t>②发生事故车间设备的消防水量（V</w:t>
            </w:r>
            <w:r>
              <w:rPr>
                <w:vertAlign w:val="subscript"/>
              </w:rPr>
              <w:t>2</w:t>
            </w:r>
            <w:r>
              <w:t>）</w:t>
            </w:r>
          </w:p>
          <w:p w14:paraId="6CBD09BC">
            <w:pPr>
              <w:jc w:val="center"/>
            </w:pPr>
            <w:r>
              <w:object>
                <v:shape id="_x0000_i1027" o:spt="75" type="#_x0000_t75" style="height:20.25pt;width:68.25pt;" o:ole="t" filled="f" o:preferrelative="t" stroked="f" coordsize="21600,21600">
                  <v:path/>
                  <v:fill on="f" focussize="0,0"/>
                  <v:stroke on="f" joinstyle="miter"/>
                  <v:imagedata r:id="rId19" o:title=""/>
                  <o:lock v:ext="edit" aspectratio="t"/>
                  <w10:wrap type="none"/>
                  <w10:anchorlock/>
                </v:shape>
                <o:OLEObject Type="Embed" ProgID="Equation.KSEE3" ShapeID="_x0000_i1027" DrawAspect="Content" ObjectID="_1468075727" r:id="rId18">
                  <o:LockedField>false</o:LockedField>
                </o:OLEObject>
              </w:object>
            </w:r>
          </w:p>
          <w:p w14:paraId="39C4B622">
            <w:pPr>
              <w:widowControl/>
              <w:spacing w:line="500" w:lineRule="exact"/>
              <w:ind w:firstLine="420" w:firstLineChars="200"/>
              <w:jc w:val="left"/>
              <w:rPr>
                <w:szCs w:val="21"/>
              </w:rPr>
            </w:pPr>
            <w:r>
              <w:rPr>
                <w:color w:val="000000"/>
                <w:kern w:val="0"/>
                <w:szCs w:val="21"/>
                <w:lang w:bidi="ar"/>
              </w:rPr>
              <w:t>Q</w:t>
            </w:r>
            <w:r>
              <w:rPr>
                <w:color w:val="000000"/>
                <w:kern w:val="0"/>
                <w:szCs w:val="21"/>
                <w:vertAlign w:val="subscript"/>
                <w:lang w:bidi="ar"/>
              </w:rPr>
              <w:t>消</w:t>
            </w:r>
            <w:r>
              <w:rPr>
                <w:color w:val="000000"/>
                <w:kern w:val="0"/>
                <w:szCs w:val="21"/>
                <w:lang w:bidi="ar"/>
              </w:rPr>
              <w:t>——发生事故的储罐或装置的同时使用的消防设施给水流量，m</w:t>
            </w:r>
            <w:r>
              <w:rPr>
                <w:color w:val="000000"/>
                <w:kern w:val="0"/>
                <w:szCs w:val="21"/>
                <w:vertAlign w:val="superscript"/>
                <w:lang w:bidi="ar"/>
              </w:rPr>
              <w:t xml:space="preserve">3 </w:t>
            </w:r>
            <w:r>
              <w:rPr>
                <w:color w:val="000000"/>
                <w:kern w:val="0"/>
                <w:szCs w:val="21"/>
                <w:lang w:bidi="ar"/>
              </w:rPr>
              <w:t xml:space="preserve">/h； </w:t>
            </w:r>
          </w:p>
          <w:p w14:paraId="372D80A7">
            <w:pPr>
              <w:widowControl/>
              <w:spacing w:line="500" w:lineRule="exact"/>
              <w:ind w:firstLine="420" w:firstLineChars="200"/>
              <w:jc w:val="left"/>
              <w:rPr>
                <w:szCs w:val="21"/>
              </w:rPr>
            </w:pPr>
            <w:r>
              <w:rPr>
                <w:color w:val="000000"/>
                <w:kern w:val="0"/>
                <w:szCs w:val="21"/>
                <w:lang w:bidi="ar"/>
              </w:rPr>
              <w:t>t</w:t>
            </w:r>
            <w:r>
              <w:rPr>
                <w:color w:val="000000"/>
                <w:kern w:val="0"/>
                <w:szCs w:val="21"/>
                <w:vertAlign w:val="subscript"/>
                <w:lang w:bidi="ar"/>
              </w:rPr>
              <w:t>消</w:t>
            </w:r>
            <w:r>
              <w:rPr>
                <w:color w:val="000000"/>
                <w:kern w:val="0"/>
                <w:szCs w:val="21"/>
                <w:lang w:bidi="ar"/>
              </w:rPr>
              <w:t xml:space="preserve">——消防设施对应的设计消防历时，h； </w:t>
            </w:r>
          </w:p>
          <w:p w14:paraId="125DC89F">
            <w:pPr>
              <w:spacing w:line="5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企业火灾危险性类别按照丙类，根据《消防给水及消火栓系统技术规范》（GB50974-2014）表3.3.2中耐火等级一、二级工业建筑（厂房丙类）室外消火栓用水量，企业室外消火栓用水量取20L/s；根据《建筑防火通用规范》（GB55037-2022）表10.1.5建筑物室内消火栓设计流量，消防栓设计流量以10L/s计</w:t>
            </w:r>
            <w:r>
              <w:rPr>
                <w:rFonts w:hint="eastAsia" w:ascii="Times New Roman" w:hAnsi="Times New Roman" w:eastAsia="宋体" w:cs="Times New Roman"/>
                <w:color w:val="auto"/>
                <w:lang w:eastAsia="zh-CN"/>
              </w:rPr>
              <w:t>。根据《建筑防火通用规范》（GB55037-2022）表10.1.5不同建筑的设计火灾延续时间甲、乙、丙类厂房火灾延续时间按3h计算，</w:t>
            </w:r>
            <w:r>
              <w:rPr>
                <w:rFonts w:hint="default" w:ascii="Times New Roman" w:hAnsi="Times New Roman" w:eastAsia="宋体" w:cs="Times New Roman"/>
                <w:color w:val="auto"/>
              </w:rPr>
              <w:t>则消防水量V＝30×</w:t>
            </w:r>
            <w:r>
              <w:rPr>
                <w:rFonts w:hint="eastAsia" w:ascii="Times New Roman" w:hAnsi="Times New Roman" w:eastAsia="宋体" w:cs="Times New Roman"/>
                <w:color w:val="auto"/>
                <w:lang w:val="en-US" w:eastAsia="zh-CN"/>
              </w:rPr>
              <w:t>3</w:t>
            </w:r>
            <w:r>
              <w:rPr>
                <w:rFonts w:hint="default" w:ascii="Times New Roman" w:hAnsi="Times New Roman" w:eastAsia="宋体" w:cs="Times New Roman"/>
                <w:color w:val="auto"/>
              </w:rPr>
              <w:t>×3600×0.001＝</w:t>
            </w:r>
            <w:r>
              <w:rPr>
                <w:rFonts w:hint="eastAsia" w:ascii="Times New Roman" w:hAnsi="Times New Roman" w:eastAsia="宋体" w:cs="Times New Roman"/>
                <w:color w:val="auto"/>
                <w:lang w:val="en-US" w:eastAsia="zh-CN"/>
              </w:rPr>
              <w:t>324</w:t>
            </w:r>
            <w:r>
              <w:rPr>
                <w:rFonts w:hint="default" w:ascii="Times New Roman" w:hAnsi="Times New Roman" w:eastAsia="宋体" w:cs="Times New Roman"/>
                <w:color w:val="auto"/>
              </w:rPr>
              <w:t>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w:t>
            </w:r>
          </w:p>
          <w:p w14:paraId="2E5F6CF4">
            <w:pPr>
              <w:wordWrap w:val="0"/>
              <w:snapToGrid w:val="0"/>
              <w:spacing w:line="580" w:lineRule="exact"/>
              <w:ind w:firstLine="560"/>
              <w:rPr>
                <w:szCs w:val="21"/>
              </w:rPr>
            </w:pPr>
            <w:r>
              <w:rPr>
                <w:color w:val="000000"/>
                <w:kern w:val="0"/>
                <w:szCs w:val="21"/>
                <w:lang w:bidi="ar"/>
              </w:rPr>
              <w:t>③发生事故时可以</w:t>
            </w:r>
            <w:r>
              <w:rPr>
                <w:rFonts w:hint="eastAsia"/>
                <w:color w:val="000000"/>
                <w:kern w:val="0"/>
                <w:szCs w:val="21"/>
                <w:lang w:eastAsia="zh-CN" w:bidi="ar"/>
              </w:rPr>
              <w:t>传</w:t>
            </w:r>
            <w:r>
              <w:rPr>
                <w:color w:val="000000"/>
                <w:kern w:val="0"/>
                <w:szCs w:val="21"/>
                <w:lang w:bidi="ar"/>
              </w:rPr>
              <w:t>输到其他储存或处理设施的物料量（V3）：</w:t>
            </w:r>
            <w:r>
              <w:rPr>
                <w:rFonts w:hint="default" w:ascii="Times New Roman" w:hAnsi="Times New Roman" w:eastAsia="宋体" w:cs="Times New Roman"/>
                <w:color w:val="auto"/>
              </w:rPr>
              <w:t>厂区内设有雨水管网约Φ</w:t>
            </w:r>
            <w:r>
              <w:rPr>
                <w:rFonts w:hint="eastAsia" w:eastAsia="宋体" w:cs="Times New Roman"/>
                <w:color w:val="auto"/>
                <w:lang w:val="en-US" w:eastAsia="zh-CN"/>
              </w:rPr>
              <w:t>4</w:t>
            </w:r>
            <w:r>
              <w:rPr>
                <w:rFonts w:hint="default" w:ascii="Times New Roman" w:hAnsi="Times New Roman" w:eastAsia="宋体" w:cs="Times New Roman"/>
                <w:color w:val="auto"/>
              </w:rPr>
              <w:t>00</w:t>
            </w:r>
            <w:r>
              <w:rPr>
                <w:rFonts w:hint="eastAsia" w:eastAsia="宋体" w:cs="Times New Roman"/>
                <w:color w:val="auto"/>
                <w:lang w:val="en-US" w:eastAsia="zh-CN"/>
              </w:rPr>
              <w:t>m</w:t>
            </w:r>
            <w:r>
              <w:rPr>
                <w:rFonts w:hint="default" w:ascii="Times New Roman" w:hAnsi="Times New Roman" w:eastAsia="宋体" w:cs="Times New Roman"/>
                <w:color w:val="auto"/>
              </w:rPr>
              <w:t>m，总长约</w:t>
            </w:r>
            <w:r>
              <w:rPr>
                <w:rFonts w:hint="eastAsia" w:ascii="Times New Roman" w:hAnsi="Times New Roman" w:eastAsia="宋体" w:cs="Times New Roman"/>
                <w:color w:val="auto"/>
                <w:lang w:val="en-US" w:eastAsia="zh-CN"/>
              </w:rPr>
              <w:t>400m</w:t>
            </w:r>
            <w:r>
              <w:rPr>
                <w:rFonts w:hint="default" w:ascii="Times New Roman" w:hAnsi="Times New Roman" w:eastAsia="宋体" w:cs="Times New Roman"/>
                <w:color w:val="auto"/>
              </w:rPr>
              <w:t>，则雨水管网可容纳废水</w:t>
            </w:r>
            <w:r>
              <w:rPr>
                <w:rFonts w:hint="eastAsia" w:eastAsia="宋体" w:cs="Times New Roman"/>
                <w:color w:val="auto"/>
                <w:lang w:val="en-US" w:eastAsia="zh-CN"/>
              </w:rPr>
              <w:t>:400</w:t>
            </w:r>
            <w:r>
              <w:rPr>
                <w:rFonts w:hint="default" w:ascii="Arial" w:hAnsi="Arial" w:eastAsia="宋体" w:cs="Arial"/>
                <w:color w:val="auto"/>
                <w:lang w:val="en-US" w:eastAsia="zh-CN"/>
              </w:rPr>
              <w:t>×</w:t>
            </w:r>
            <w:r>
              <w:rPr>
                <w:rFonts w:hint="eastAsia" w:eastAsia="宋体" w:cs="Times New Roman"/>
                <w:color w:val="auto"/>
                <w:lang w:val="en-US" w:eastAsia="zh-CN"/>
              </w:rPr>
              <w:t>（200</w:t>
            </w:r>
            <w:r>
              <w:rPr>
                <w:rFonts w:hint="default" w:ascii="Arial" w:hAnsi="Arial" w:eastAsia="宋体" w:cs="Arial"/>
                <w:color w:val="auto"/>
                <w:lang w:val="en-US" w:eastAsia="zh-CN"/>
              </w:rPr>
              <w:t>×</w:t>
            </w:r>
            <w:r>
              <w:rPr>
                <w:rFonts w:hint="eastAsia" w:eastAsia="宋体" w:cs="Times New Roman"/>
                <w:color w:val="auto"/>
                <w:lang w:val="en-US" w:eastAsia="zh-CN"/>
              </w:rPr>
              <w:t>10</w:t>
            </w:r>
            <w:r>
              <w:rPr>
                <w:rFonts w:hint="eastAsia" w:eastAsia="宋体" w:cs="Times New Roman"/>
                <w:color w:val="auto"/>
                <w:vertAlign w:val="superscript"/>
                <w:lang w:val="en-US" w:eastAsia="zh-CN"/>
              </w:rPr>
              <w:t>-3</w:t>
            </w:r>
            <w:r>
              <w:rPr>
                <w:rFonts w:hint="eastAsia" w:eastAsia="宋体" w:cs="Times New Roman"/>
                <w:color w:val="auto"/>
                <w:lang w:val="en-US" w:eastAsia="zh-CN"/>
              </w:rPr>
              <w:t>）</w:t>
            </w:r>
            <w:r>
              <w:rPr>
                <w:rFonts w:hint="default" w:ascii="Arial" w:hAnsi="Arial" w:eastAsia="宋体" w:cs="Arial"/>
                <w:color w:val="auto"/>
                <w:lang w:val="en-US" w:eastAsia="zh-CN"/>
              </w:rPr>
              <w:t>×</w:t>
            </w:r>
            <w:r>
              <w:rPr>
                <w:rFonts w:hint="eastAsia" w:ascii="Arial" w:hAnsi="Arial" w:eastAsia="宋体" w:cs="Arial"/>
                <w:color w:val="auto"/>
                <w:lang w:val="en-US" w:eastAsia="zh-CN"/>
              </w:rPr>
              <w:t>（</w:t>
            </w:r>
            <w:r>
              <w:rPr>
                <w:rFonts w:hint="eastAsia" w:eastAsia="宋体" w:cs="Times New Roman"/>
                <w:color w:val="auto"/>
                <w:lang w:val="en-US" w:eastAsia="zh-CN"/>
              </w:rPr>
              <w:t>200</w:t>
            </w:r>
            <w:r>
              <w:rPr>
                <w:rFonts w:hint="default" w:ascii="Arial" w:hAnsi="Arial" w:eastAsia="宋体" w:cs="Arial"/>
                <w:color w:val="auto"/>
                <w:lang w:val="en-US" w:eastAsia="zh-CN"/>
              </w:rPr>
              <w:t>×</w:t>
            </w:r>
            <w:r>
              <w:rPr>
                <w:rFonts w:hint="eastAsia" w:eastAsia="宋体" w:cs="Times New Roman"/>
                <w:color w:val="auto"/>
                <w:lang w:val="en-US" w:eastAsia="zh-CN"/>
              </w:rPr>
              <w:t>10</w:t>
            </w:r>
            <w:r>
              <w:rPr>
                <w:rFonts w:hint="eastAsia" w:eastAsia="宋体" w:cs="Times New Roman"/>
                <w:color w:val="auto"/>
                <w:vertAlign w:val="superscript"/>
                <w:lang w:val="en-US" w:eastAsia="zh-CN"/>
              </w:rPr>
              <w:t>-3</w:t>
            </w:r>
            <w:r>
              <w:rPr>
                <w:rFonts w:hint="eastAsia" w:ascii="Arial" w:hAnsi="Arial" w:eastAsia="宋体" w:cs="Arial"/>
                <w:color w:val="auto"/>
                <w:lang w:val="en-US" w:eastAsia="zh-CN"/>
              </w:rPr>
              <w:t>）</w:t>
            </w:r>
            <w:r>
              <w:rPr>
                <w:rFonts w:hint="default" w:ascii="Arial" w:hAnsi="Arial" w:eastAsia="宋体" w:cs="Arial"/>
                <w:color w:val="auto"/>
                <w:lang w:val="en-US" w:eastAsia="zh-CN"/>
              </w:rPr>
              <w:t>×</w:t>
            </w:r>
            <w:r>
              <w:rPr>
                <w:rFonts w:hint="eastAsia" w:eastAsia="宋体" w:cs="Times New Roman"/>
                <w:color w:val="auto"/>
                <w:lang w:val="en-US" w:eastAsia="zh-CN"/>
              </w:rPr>
              <w:t>3.14=50.24</w:t>
            </w:r>
            <w:r>
              <w:rPr>
                <w:rFonts w:hint="default" w:ascii="Times New Roman" w:hAnsi="Times New Roman" w:eastAsia="宋体" w:cs="Times New Roman"/>
                <w:color w:val="auto"/>
              </w:rPr>
              <w:t>m</w:t>
            </w:r>
            <w:r>
              <w:rPr>
                <w:rFonts w:hint="default" w:ascii="Times New Roman" w:hAnsi="Times New Roman" w:eastAsia="宋体" w:cs="Times New Roman"/>
                <w:color w:val="auto"/>
                <w:vertAlign w:val="superscript"/>
              </w:rPr>
              <w:t>3</w:t>
            </w:r>
            <w:r>
              <w:rPr>
                <w:rFonts w:hint="eastAsia" w:ascii="Times New Roman" w:hAnsi="Times New Roman" w:eastAsia="宋体" w:cs="Times New Roman"/>
                <w:color w:val="auto"/>
                <w:lang w:eastAsia="zh-CN"/>
              </w:rPr>
              <w:t>，</w:t>
            </w:r>
            <w:r>
              <w:rPr>
                <w:color w:val="000000"/>
                <w:kern w:val="0"/>
                <w:szCs w:val="21"/>
                <w:lang w:bidi="ar"/>
              </w:rPr>
              <w:t>V3为</w:t>
            </w:r>
            <w:r>
              <w:rPr>
                <w:rFonts w:hint="eastAsia"/>
                <w:color w:val="000000"/>
                <w:kern w:val="0"/>
                <w:szCs w:val="21"/>
                <w:lang w:val="en-US" w:eastAsia="zh-CN" w:bidi="ar"/>
              </w:rPr>
              <w:t>50.24</w:t>
            </w:r>
            <w:r>
              <w:rPr>
                <w:color w:val="000000"/>
                <w:kern w:val="0"/>
                <w:szCs w:val="21"/>
                <w:lang w:bidi="ar"/>
              </w:rPr>
              <w:t>m</w:t>
            </w:r>
            <w:r>
              <w:rPr>
                <w:color w:val="000000"/>
                <w:kern w:val="0"/>
                <w:szCs w:val="21"/>
                <w:vertAlign w:val="superscript"/>
                <w:lang w:bidi="ar"/>
              </w:rPr>
              <w:t>3</w:t>
            </w:r>
            <w:r>
              <w:rPr>
                <w:color w:val="000000"/>
                <w:kern w:val="0"/>
                <w:szCs w:val="21"/>
                <w:lang w:bidi="ar"/>
              </w:rPr>
              <w:t xml:space="preserve">。 </w:t>
            </w:r>
          </w:p>
          <w:p w14:paraId="37FA0B80">
            <w:pPr>
              <w:widowControl/>
              <w:spacing w:line="500" w:lineRule="exact"/>
              <w:ind w:firstLine="420" w:firstLineChars="200"/>
              <w:jc w:val="left"/>
              <w:rPr>
                <w:szCs w:val="21"/>
              </w:rPr>
            </w:pPr>
            <w:r>
              <w:rPr>
                <w:color w:val="000000"/>
                <w:kern w:val="0"/>
                <w:szCs w:val="21"/>
                <w:lang w:bidi="ar"/>
              </w:rPr>
              <w:t>④发生事故时仍必须进入该收集系统的生产废水量（V4）：</w:t>
            </w:r>
            <w:r>
              <w:rPr>
                <w:rFonts w:hint="eastAsia"/>
                <w:color w:val="000000"/>
                <w:kern w:val="0"/>
                <w:szCs w:val="21"/>
                <w:lang w:bidi="ar"/>
              </w:rPr>
              <w:t>项目</w:t>
            </w:r>
            <w:r>
              <w:rPr>
                <w:rFonts w:hint="eastAsia"/>
                <w:color w:val="000000"/>
                <w:kern w:val="0"/>
                <w:szCs w:val="21"/>
                <w:lang w:eastAsia="zh-CN" w:bidi="ar"/>
              </w:rPr>
              <w:t>产生的冷却水产生量为</w:t>
            </w:r>
            <w:r>
              <w:rPr>
                <w:rFonts w:hint="eastAsia"/>
                <w:color w:val="000000"/>
                <w:kern w:val="0"/>
                <w:szCs w:val="21"/>
                <w:lang w:val="en-US" w:eastAsia="zh-CN" w:bidi="ar"/>
              </w:rPr>
              <w:t>0.1t/a</w:t>
            </w:r>
            <w:r>
              <w:rPr>
                <w:rFonts w:hint="eastAsia"/>
                <w:color w:val="000000"/>
                <w:kern w:val="0"/>
                <w:szCs w:val="21"/>
                <w:lang w:bidi="ar"/>
              </w:rPr>
              <w:t>，</w:t>
            </w:r>
            <w:r>
              <w:rPr>
                <w:color w:val="000000"/>
                <w:kern w:val="0"/>
                <w:szCs w:val="21"/>
                <w:lang w:bidi="ar"/>
              </w:rPr>
              <w:t>V4取</w:t>
            </w:r>
            <w:r>
              <w:rPr>
                <w:rFonts w:hint="eastAsia"/>
                <w:color w:val="000000"/>
                <w:kern w:val="0"/>
                <w:szCs w:val="21"/>
                <w:lang w:bidi="ar"/>
              </w:rPr>
              <w:t>0</w:t>
            </w:r>
            <w:r>
              <w:rPr>
                <w:rFonts w:hint="eastAsia"/>
                <w:color w:val="000000"/>
                <w:kern w:val="0"/>
                <w:szCs w:val="21"/>
                <w:lang w:val="en-US" w:eastAsia="zh-CN" w:bidi="ar"/>
              </w:rPr>
              <w:t>.1</w:t>
            </w:r>
            <w:r>
              <w:rPr>
                <w:color w:val="000000"/>
                <w:kern w:val="0"/>
                <w:szCs w:val="21"/>
                <w:lang w:bidi="ar"/>
              </w:rPr>
              <w:t>m</w:t>
            </w:r>
            <w:r>
              <w:rPr>
                <w:color w:val="000000"/>
                <w:kern w:val="0"/>
                <w:szCs w:val="21"/>
                <w:vertAlign w:val="superscript"/>
                <w:lang w:bidi="ar"/>
              </w:rPr>
              <w:t>3</w:t>
            </w:r>
            <w:r>
              <w:rPr>
                <w:color w:val="000000"/>
                <w:kern w:val="0"/>
                <w:szCs w:val="21"/>
                <w:lang w:bidi="ar"/>
              </w:rPr>
              <w:t xml:space="preserve">。 </w:t>
            </w:r>
          </w:p>
          <w:p w14:paraId="2EA84BBC">
            <w:pPr>
              <w:widowControl/>
              <w:spacing w:line="500" w:lineRule="exact"/>
              <w:ind w:firstLine="420" w:firstLineChars="200"/>
              <w:jc w:val="left"/>
              <w:rPr>
                <w:color w:val="000000"/>
                <w:kern w:val="0"/>
                <w:szCs w:val="21"/>
                <w:lang w:bidi="ar"/>
              </w:rPr>
            </w:pPr>
            <w:r>
              <w:rPr>
                <w:color w:val="000000"/>
                <w:kern w:val="0"/>
                <w:szCs w:val="21"/>
                <w:lang w:bidi="ar"/>
              </w:rPr>
              <w:t>⑤发生事故时可能进入该收集系统的降雨量（V5）：</w:t>
            </w:r>
          </w:p>
          <w:p w14:paraId="54F2BB55">
            <w:pPr>
              <w:adjustRightInd w:val="0"/>
              <w:snapToGrid w:val="0"/>
              <w:spacing w:line="500" w:lineRule="exact"/>
              <w:jc w:val="center"/>
              <w:rPr>
                <w:bCs/>
                <w:szCs w:val="21"/>
              </w:rPr>
            </w:pPr>
            <w:r>
              <w:rPr>
                <w:rFonts w:hint="eastAsia"/>
                <w:bCs/>
                <w:szCs w:val="21"/>
              </w:rPr>
              <w:t>V5=10qFt</w:t>
            </w:r>
          </w:p>
          <w:p w14:paraId="3B031B5A">
            <w:pPr>
              <w:adjustRightInd w:val="0"/>
              <w:snapToGrid w:val="0"/>
              <w:spacing w:line="500" w:lineRule="exact"/>
              <w:ind w:firstLine="420" w:firstLineChars="200"/>
              <w:rPr>
                <w:bCs/>
                <w:szCs w:val="21"/>
              </w:rPr>
            </w:pPr>
            <w:r>
              <w:rPr>
                <w:rFonts w:hint="eastAsia"/>
                <w:bCs/>
                <w:szCs w:val="21"/>
              </w:rPr>
              <w:t>q——降雨强度，mm。南通市平均降雨量为1215.6mm，年平均降雨天数按120天计算，则日平均降雨强度为10.13mm；</w:t>
            </w:r>
          </w:p>
          <w:p w14:paraId="0326F965">
            <w:pPr>
              <w:adjustRightInd w:val="0"/>
              <w:snapToGrid w:val="0"/>
              <w:spacing w:line="500" w:lineRule="exact"/>
              <w:ind w:firstLine="420" w:firstLineChars="200"/>
              <w:rPr>
                <w:bCs/>
                <w:szCs w:val="21"/>
              </w:rPr>
            </w:pPr>
            <w:r>
              <w:rPr>
                <w:rFonts w:hint="eastAsia"/>
                <w:bCs/>
                <w:szCs w:val="21"/>
              </w:rPr>
              <w:t>F——汇水面积，F=</w:t>
            </w:r>
            <w:r>
              <w:rPr>
                <w:rFonts w:hint="eastAsia"/>
                <w:bCs/>
                <w:szCs w:val="21"/>
                <w:lang w:val="en-US" w:eastAsia="zh-CN"/>
              </w:rPr>
              <w:t>0.27h</w:t>
            </w:r>
            <w:r>
              <w:rPr>
                <w:bCs/>
                <w:szCs w:val="21"/>
              </w:rPr>
              <w:t>m</w:t>
            </w:r>
            <w:r>
              <w:rPr>
                <w:bCs/>
                <w:szCs w:val="21"/>
                <w:vertAlign w:val="superscript"/>
              </w:rPr>
              <w:t>2</w:t>
            </w:r>
            <w:r>
              <w:rPr>
                <w:bCs/>
                <w:szCs w:val="21"/>
              </w:rPr>
              <w:t>。</w:t>
            </w:r>
          </w:p>
          <w:p w14:paraId="25B192D6">
            <w:pPr>
              <w:adjustRightInd w:val="0"/>
              <w:snapToGrid w:val="0"/>
              <w:spacing w:line="500" w:lineRule="exact"/>
              <w:ind w:firstLine="420" w:firstLineChars="200"/>
              <w:rPr>
                <w:bCs/>
                <w:szCs w:val="21"/>
              </w:rPr>
            </w:pPr>
            <w:r>
              <w:rPr>
                <w:rFonts w:hint="eastAsia"/>
                <w:bCs/>
                <w:szCs w:val="21"/>
              </w:rPr>
              <w:t>t——降雨时间，按2小时计算。</w:t>
            </w:r>
          </w:p>
          <w:p w14:paraId="177C6775">
            <w:pPr>
              <w:adjustRightInd w:val="0"/>
              <w:snapToGrid w:val="0"/>
              <w:spacing w:line="500" w:lineRule="exact"/>
              <w:ind w:firstLine="420" w:firstLineChars="200"/>
              <w:rPr>
                <w:szCs w:val="21"/>
              </w:rPr>
            </w:pPr>
            <w:r>
              <w:rPr>
                <w:rFonts w:hint="eastAsia"/>
                <w:bCs/>
                <w:szCs w:val="21"/>
              </w:rPr>
              <w:t>V5=10·10.13·</w:t>
            </w:r>
            <w:r>
              <w:rPr>
                <w:rFonts w:hint="eastAsia"/>
                <w:bCs/>
                <w:szCs w:val="21"/>
                <w:lang w:val="en-US" w:eastAsia="zh-CN"/>
              </w:rPr>
              <w:t>0.27</w:t>
            </w:r>
            <w:r>
              <w:rPr>
                <w:rFonts w:hint="eastAsia"/>
                <w:bCs/>
                <w:szCs w:val="21"/>
              </w:rPr>
              <w:t>·2/24=</w:t>
            </w:r>
            <w:r>
              <w:rPr>
                <w:rFonts w:hint="eastAsia"/>
                <w:bCs/>
                <w:szCs w:val="21"/>
                <w:lang w:val="en-US" w:eastAsia="zh-CN"/>
              </w:rPr>
              <w:t>2.28</w:t>
            </w:r>
            <w:r>
              <w:rPr>
                <w:rFonts w:hint="eastAsia"/>
                <w:bCs/>
                <w:szCs w:val="21"/>
              </w:rPr>
              <w:t>m</w:t>
            </w:r>
            <w:r>
              <w:rPr>
                <w:rFonts w:hint="eastAsia"/>
                <w:bCs/>
                <w:szCs w:val="21"/>
                <w:vertAlign w:val="superscript"/>
              </w:rPr>
              <w:t>3</w:t>
            </w:r>
          </w:p>
          <w:p w14:paraId="06AB112A">
            <w:pPr>
              <w:widowControl/>
              <w:spacing w:line="500" w:lineRule="exact"/>
              <w:ind w:firstLine="420" w:firstLineChars="200"/>
              <w:jc w:val="left"/>
              <w:rPr>
                <w:szCs w:val="21"/>
              </w:rPr>
            </w:pPr>
            <w:r>
              <w:rPr>
                <w:color w:val="000000"/>
                <w:kern w:val="0"/>
                <w:szCs w:val="21"/>
                <w:lang w:bidi="ar"/>
              </w:rPr>
              <w:t>V总=（V1+ V2- V3）max+V4+V5=（</w:t>
            </w:r>
            <w:r>
              <w:rPr>
                <w:rFonts w:hint="eastAsia"/>
                <w:color w:val="000000"/>
                <w:kern w:val="0"/>
                <w:szCs w:val="21"/>
                <w:lang w:val="en-US" w:eastAsia="zh-CN" w:bidi="ar"/>
              </w:rPr>
              <w:t>0.025</w:t>
            </w:r>
            <w:r>
              <w:rPr>
                <w:color w:val="000000"/>
                <w:kern w:val="0"/>
                <w:szCs w:val="21"/>
                <w:lang w:bidi="ar"/>
              </w:rPr>
              <w:t>+</w:t>
            </w:r>
            <w:r>
              <w:rPr>
                <w:rFonts w:hint="eastAsia"/>
                <w:color w:val="000000"/>
                <w:kern w:val="0"/>
                <w:szCs w:val="21"/>
                <w:lang w:val="en-US" w:eastAsia="zh-CN" w:bidi="ar"/>
              </w:rPr>
              <w:t>324</w:t>
            </w:r>
            <w:r>
              <w:rPr>
                <w:color w:val="000000"/>
                <w:kern w:val="0"/>
                <w:szCs w:val="21"/>
                <w:lang w:bidi="ar"/>
              </w:rPr>
              <w:t>–</w:t>
            </w:r>
            <w:r>
              <w:rPr>
                <w:rFonts w:hint="eastAsia"/>
                <w:color w:val="000000"/>
                <w:kern w:val="0"/>
                <w:szCs w:val="21"/>
                <w:lang w:val="en-US" w:eastAsia="zh-CN" w:bidi="ar"/>
              </w:rPr>
              <w:t>50.24</w:t>
            </w:r>
            <w:r>
              <w:rPr>
                <w:color w:val="000000"/>
                <w:kern w:val="0"/>
                <w:szCs w:val="21"/>
                <w:lang w:bidi="ar"/>
              </w:rPr>
              <w:t>）+</w:t>
            </w:r>
            <w:r>
              <w:rPr>
                <w:rFonts w:hint="eastAsia"/>
                <w:color w:val="000000"/>
                <w:kern w:val="0"/>
                <w:szCs w:val="21"/>
                <w:lang w:bidi="ar"/>
              </w:rPr>
              <w:t>0</w:t>
            </w:r>
            <w:r>
              <w:rPr>
                <w:rFonts w:hint="eastAsia"/>
                <w:color w:val="000000"/>
                <w:kern w:val="0"/>
                <w:szCs w:val="21"/>
                <w:lang w:val="en-US" w:eastAsia="zh-CN" w:bidi="ar"/>
              </w:rPr>
              <w:t>.1</w:t>
            </w:r>
            <w:r>
              <w:rPr>
                <w:color w:val="000000"/>
                <w:kern w:val="0"/>
                <w:szCs w:val="21"/>
                <w:lang w:bidi="ar"/>
              </w:rPr>
              <w:t>+</w:t>
            </w:r>
            <w:r>
              <w:rPr>
                <w:rFonts w:hint="eastAsia"/>
                <w:color w:val="000000"/>
                <w:kern w:val="0"/>
                <w:szCs w:val="21"/>
                <w:lang w:val="en-US" w:eastAsia="zh-CN" w:bidi="ar"/>
              </w:rPr>
              <w:t>2.28</w:t>
            </w:r>
            <w:r>
              <w:rPr>
                <w:color w:val="000000"/>
                <w:kern w:val="0"/>
                <w:szCs w:val="21"/>
                <w:lang w:bidi="ar"/>
              </w:rPr>
              <w:t>=</w:t>
            </w:r>
            <w:r>
              <w:rPr>
                <w:rFonts w:hint="eastAsia"/>
                <w:color w:val="000000"/>
                <w:kern w:val="0"/>
                <w:szCs w:val="21"/>
                <w:lang w:val="en-US" w:eastAsia="zh-CN" w:bidi="ar"/>
              </w:rPr>
              <w:t>276.17</w:t>
            </w:r>
            <w:r>
              <w:rPr>
                <w:color w:val="000000"/>
                <w:kern w:val="0"/>
                <w:szCs w:val="21"/>
                <w:lang w:bidi="ar"/>
              </w:rPr>
              <w:t>m</w:t>
            </w:r>
            <w:r>
              <w:rPr>
                <w:color w:val="000000"/>
                <w:kern w:val="0"/>
                <w:szCs w:val="21"/>
                <w:vertAlign w:val="superscript"/>
                <w:lang w:bidi="ar"/>
              </w:rPr>
              <w:t>3</w:t>
            </w:r>
            <w:r>
              <w:rPr>
                <w:color w:val="000000"/>
                <w:kern w:val="0"/>
                <w:szCs w:val="21"/>
                <w:lang w:bidi="ar"/>
              </w:rPr>
              <w:t xml:space="preserve">。 </w:t>
            </w:r>
          </w:p>
          <w:p w14:paraId="4A0B8ACD">
            <w:pPr>
              <w:widowControl/>
              <w:spacing w:line="500" w:lineRule="exact"/>
              <w:ind w:firstLine="420" w:firstLineChars="200"/>
              <w:jc w:val="left"/>
              <w:rPr>
                <w:szCs w:val="21"/>
              </w:rPr>
            </w:pPr>
            <w:r>
              <w:rPr>
                <w:color w:val="000000"/>
                <w:kern w:val="0"/>
                <w:szCs w:val="21"/>
                <w:lang w:bidi="ar"/>
              </w:rPr>
              <w:t>经计算，厂区所需事故池总容积为</w:t>
            </w:r>
            <w:r>
              <w:rPr>
                <w:rFonts w:hint="eastAsia"/>
                <w:color w:val="000000"/>
                <w:kern w:val="0"/>
                <w:szCs w:val="21"/>
                <w:lang w:val="en-US" w:eastAsia="zh-CN" w:bidi="ar"/>
              </w:rPr>
              <w:t>276.17</w:t>
            </w:r>
            <w:r>
              <w:rPr>
                <w:color w:val="000000"/>
                <w:kern w:val="0"/>
                <w:szCs w:val="21"/>
                <w:lang w:bidi="ar"/>
              </w:rPr>
              <w:t>m</w:t>
            </w:r>
            <w:r>
              <w:rPr>
                <w:color w:val="000000"/>
                <w:kern w:val="0"/>
                <w:szCs w:val="21"/>
                <w:vertAlign w:val="superscript"/>
                <w:lang w:bidi="ar"/>
              </w:rPr>
              <w:t>3</w:t>
            </w:r>
            <w:r>
              <w:rPr>
                <w:color w:val="000000"/>
                <w:kern w:val="0"/>
                <w:szCs w:val="21"/>
                <w:lang w:bidi="ar"/>
              </w:rPr>
              <w:t>，因此，本项目</w:t>
            </w:r>
            <w:r>
              <w:rPr>
                <w:rFonts w:hint="eastAsia"/>
                <w:color w:val="000000"/>
                <w:kern w:val="0"/>
                <w:szCs w:val="21"/>
                <w:lang w:eastAsia="zh-CN" w:bidi="ar"/>
              </w:rPr>
              <w:t>拟建</w:t>
            </w:r>
            <w:r>
              <w:rPr>
                <w:color w:val="000000"/>
                <w:kern w:val="0"/>
                <w:szCs w:val="21"/>
                <w:lang w:bidi="ar"/>
              </w:rPr>
              <w:t>一座</w:t>
            </w:r>
            <w:r>
              <w:rPr>
                <w:rFonts w:hint="eastAsia"/>
                <w:color w:val="000000"/>
                <w:kern w:val="0"/>
                <w:szCs w:val="21"/>
                <w:lang w:val="en-US" w:eastAsia="zh-CN" w:bidi="ar"/>
              </w:rPr>
              <w:t>280</w:t>
            </w:r>
            <w:r>
              <w:rPr>
                <w:color w:val="000000"/>
                <w:kern w:val="0"/>
                <w:szCs w:val="21"/>
                <w:lang w:bidi="ar"/>
              </w:rPr>
              <w:t>m</w:t>
            </w:r>
            <w:r>
              <w:rPr>
                <w:color w:val="000000"/>
                <w:kern w:val="0"/>
                <w:szCs w:val="21"/>
                <w:vertAlign w:val="superscript"/>
                <w:lang w:bidi="ar"/>
              </w:rPr>
              <w:t>3</w:t>
            </w:r>
            <w:r>
              <w:rPr>
                <w:color w:val="000000"/>
                <w:kern w:val="0"/>
                <w:szCs w:val="21"/>
                <w:lang w:bidi="ar"/>
              </w:rPr>
              <w:t>的事故应急池，完全能满足事故废水收集的要求。</w:t>
            </w:r>
            <w:r>
              <w:rPr>
                <w:rFonts w:hint="eastAsia"/>
                <w:color w:val="000000"/>
                <w:kern w:val="0"/>
                <w:szCs w:val="21"/>
                <w:lang w:bidi="ar"/>
              </w:rPr>
              <w:t>事故池设计采取钢筋混凝土结构，采用相应的防渗措施，为地下式，事故池标高要求小于其他设施标高，发生事故时，废水经收集系统进入事故池，完全可满足全厂事故废水的收集。</w:t>
            </w:r>
          </w:p>
          <w:p w14:paraId="020E2513">
            <w:pPr>
              <w:widowControl/>
              <w:spacing w:line="500" w:lineRule="exact"/>
              <w:ind w:firstLine="420" w:firstLineChars="200"/>
              <w:jc w:val="left"/>
              <w:rPr>
                <w:rFonts w:hint="eastAsia"/>
                <w:color w:val="000000"/>
                <w:kern w:val="0"/>
                <w:szCs w:val="21"/>
                <w:lang w:bidi="ar"/>
              </w:rPr>
            </w:pPr>
            <w:r>
              <w:rPr>
                <w:rFonts w:hint="eastAsia"/>
                <w:color w:val="000000"/>
                <w:kern w:val="0"/>
                <w:szCs w:val="21"/>
                <w:lang w:bidi="ar"/>
              </w:rPr>
              <w:t>厂区雨污分流，本项目无生产废水外排。正常生产情况下，阀门1开启，阀门2关闭，对于初期雨水的收集可通过关闭阀门1，开启阀门2进行收集。事故状况下，阀门1关闭，阀门2开启，对消防废水和事故废水进行收集，收集后的事故废水委托有资质单位处置。具有雨水系统总排口监视及关闭设施，在紧急情况下有专人负责关闭雨水系统总排口，防止雨水、消防水和泄漏物进入外环境。</w:t>
            </w:r>
          </w:p>
          <w:p w14:paraId="22B7E9A7">
            <w:pPr>
              <w:widowControl/>
              <w:spacing w:line="500" w:lineRule="exact"/>
              <w:ind w:firstLine="420" w:firstLineChars="200"/>
              <w:jc w:val="left"/>
              <w:rPr>
                <w:rFonts w:hint="eastAsia"/>
                <w:color w:val="000000"/>
                <w:kern w:val="0"/>
                <w:szCs w:val="21"/>
                <w:lang w:bidi="ar"/>
              </w:rPr>
            </w:pPr>
            <w:r>
              <w:rPr>
                <w:rFonts w:hint="eastAsia"/>
                <w:color w:val="000000"/>
                <w:kern w:val="0"/>
                <w:szCs w:val="21"/>
                <w:lang w:bidi="ar"/>
              </w:rPr>
              <w:t>事故情况下，各废水走向情况见下图。</w:t>
            </w:r>
          </w:p>
          <w:p w14:paraId="41784CDB">
            <w:pPr>
              <w:widowControl/>
              <w:spacing w:line="500" w:lineRule="exact"/>
              <w:ind w:firstLine="420" w:firstLineChars="200"/>
              <w:jc w:val="left"/>
              <w:rPr>
                <w:color w:val="000000"/>
                <w:kern w:val="0"/>
                <w:szCs w:val="21"/>
                <w:lang w:bidi="ar"/>
              </w:rPr>
            </w:pPr>
          </w:p>
          <w:p w14:paraId="38AEDD12">
            <w:pPr>
              <w:widowControl/>
              <w:spacing w:line="500" w:lineRule="exact"/>
              <w:ind w:firstLine="420" w:firstLineChars="200"/>
              <w:jc w:val="left"/>
              <w:rPr>
                <w:color w:val="000000"/>
                <w:kern w:val="0"/>
                <w:szCs w:val="21"/>
                <w:lang w:bidi="ar"/>
              </w:rPr>
            </w:pPr>
          </w:p>
          <w:p w14:paraId="3D97C524">
            <w:pPr>
              <w:widowControl/>
              <w:spacing w:line="500" w:lineRule="exact"/>
              <w:ind w:firstLine="420" w:firstLineChars="200"/>
              <w:jc w:val="left"/>
              <w:rPr>
                <w:color w:val="000000"/>
                <w:kern w:val="0"/>
                <w:szCs w:val="21"/>
                <w:lang w:bidi="ar"/>
              </w:rPr>
            </w:pPr>
          </w:p>
          <w:p w14:paraId="2D97D2E8">
            <w:pPr>
              <w:widowControl/>
              <w:spacing w:line="500" w:lineRule="exact"/>
              <w:ind w:firstLine="420" w:firstLineChars="200"/>
              <w:jc w:val="left"/>
              <w:rPr>
                <w:color w:val="000000"/>
                <w:kern w:val="0"/>
                <w:szCs w:val="21"/>
                <w:lang w:bidi="ar"/>
              </w:rPr>
            </w:pPr>
          </w:p>
          <w:p w14:paraId="1E0F4E82">
            <w:pPr>
              <w:widowControl/>
              <w:spacing w:line="500" w:lineRule="exact"/>
              <w:ind w:firstLine="420" w:firstLineChars="200"/>
              <w:jc w:val="left"/>
              <w:rPr>
                <w:color w:val="000000"/>
                <w:kern w:val="0"/>
                <w:szCs w:val="21"/>
                <w:lang w:bidi="ar"/>
              </w:rPr>
            </w:pPr>
          </w:p>
          <w:p w14:paraId="62097658">
            <w:pPr>
              <w:widowControl/>
              <w:spacing w:line="500" w:lineRule="exact"/>
              <w:ind w:firstLine="420" w:firstLineChars="200"/>
              <w:jc w:val="left"/>
              <w:rPr>
                <w:color w:val="000000"/>
                <w:kern w:val="0"/>
                <w:szCs w:val="21"/>
                <w:lang w:bidi="ar"/>
              </w:rPr>
            </w:pPr>
          </w:p>
          <w:p w14:paraId="099FAC77">
            <w:pPr>
              <w:widowControl/>
              <w:spacing w:line="500" w:lineRule="exact"/>
              <w:ind w:firstLine="420" w:firstLineChars="200"/>
              <w:jc w:val="left"/>
              <w:rPr>
                <w:color w:val="000000"/>
                <w:kern w:val="0"/>
                <w:szCs w:val="21"/>
                <w:lang w:bidi="ar"/>
              </w:rPr>
            </w:pPr>
            <w:r>
              <w:rPr>
                <w:color w:val="auto"/>
                <w:highlight w:val="none"/>
              </w:rPr>
              <mc:AlternateContent>
                <mc:Choice Requires="wpg">
                  <w:drawing>
                    <wp:anchor distT="0" distB="0" distL="114300" distR="114300" simplePos="0" relativeHeight="251660288" behindDoc="0" locked="0" layoutInCell="1" allowOverlap="1">
                      <wp:simplePos x="0" y="0"/>
                      <wp:positionH relativeFrom="column">
                        <wp:posOffset>705485</wp:posOffset>
                      </wp:positionH>
                      <wp:positionV relativeFrom="paragraph">
                        <wp:posOffset>93345</wp:posOffset>
                      </wp:positionV>
                      <wp:extent cx="3808095" cy="2440305"/>
                      <wp:effectExtent l="0" t="0" r="1905" b="17145"/>
                      <wp:wrapNone/>
                      <wp:docPr id="19" name="组合 19"/>
                      <wp:cNvGraphicFramePr/>
                      <a:graphic xmlns:a="http://schemas.openxmlformats.org/drawingml/2006/main">
                        <a:graphicData uri="http://schemas.microsoft.com/office/word/2010/wordprocessingGroup">
                          <wpg:wgp>
                            <wpg:cNvGrpSpPr/>
                            <wpg:grpSpPr>
                              <a:xfrm>
                                <a:off x="1633220" y="3981450"/>
                                <a:ext cx="3808065" cy="2440231"/>
                                <a:chOff x="2855" y="596392"/>
                                <a:chExt cx="6297" cy="4353"/>
                              </a:xfrm>
                              <a:effectLst/>
                            </wpg:grpSpPr>
                            <pic:pic xmlns:pic="http://schemas.openxmlformats.org/drawingml/2006/picture">
                              <pic:nvPicPr>
                                <pic:cNvPr id="14" name="图片 26" descr="1f40f3a46a79f8e3f1fea2a4139686e"/>
                                <pic:cNvPicPr>
                                  <a:picLocks noChangeAspect="1"/>
                                </pic:cNvPicPr>
                              </pic:nvPicPr>
                              <pic:blipFill>
                                <a:blip r:embed="rId20"/>
                                <a:stretch>
                                  <a:fillRect/>
                                </a:stretch>
                              </pic:blipFill>
                              <pic:spPr>
                                <a:xfrm>
                                  <a:off x="2855" y="596392"/>
                                  <a:ext cx="6297" cy="4353"/>
                                </a:xfrm>
                                <a:prstGeom prst="rect">
                                  <a:avLst/>
                                </a:prstGeom>
                                <a:noFill/>
                                <a:ln>
                                  <a:noFill/>
                                </a:ln>
                                <a:effectLst/>
                              </pic:spPr>
                            </pic:pic>
                            <wps:wsp>
                              <wps:cNvPr id="15" name="文本框 7"/>
                              <wps:cNvSpPr txBox="1"/>
                              <wps:spPr>
                                <a:xfrm>
                                  <a:off x="4173" y="597100"/>
                                  <a:ext cx="1289" cy="450"/>
                                </a:xfrm>
                                <a:prstGeom prst="rect">
                                  <a:avLst/>
                                </a:prstGeom>
                                <a:solidFill>
                                  <a:srgbClr val="FFFFFF"/>
                                </a:solidFill>
                                <a:ln w="6350">
                                  <a:solidFill>
                                    <a:prstClr val="black"/>
                                  </a:solidFill>
                                </a:ln>
                                <a:effectLst/>
                              </wps:spPr>
                              <wps:txbx>
                                <w:txbxContent>
                                  <w:p w14:paraId="19E18882">
                                    <w:pPr>
                                      <w:rPr>
                                        <w:rFonts w:ascii="宋体" w:hAnsi="宋体" w:cs="宋体"/>
                                      </w:rPr>
                                    </w:pPr>
                                    <w:r>
                                      <w:rPr>
                                        <w:rFonts w:hint="eastAsia" w:ascii="宋体" w:hAnsi="宋体" w:cs="宋体"/>
                                      </w:rPr>
                                      <w:t>雨水系统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8"/>
                              <wps:cNvSpPr txBox="1"/>
                              <wps:spPr>
                                <a:xfrm>
                                  <a:off x="5658" y="597490"/>
                                  <a:ext cx="1289" cy="575"/>
                                </a:xfrm>
                                <a:prstGeom prst="rect">
                                  <a:avLst/>
                                </a:prstGeom>
                                <a:solidFill>
                                  <a:srgbClr val="FFFFFF"/>
                                </a:solidFill>
                                <a:ln w="6350">
                                  <a:solidFill>
                                    <a:prstClr val="black"/>
                                  </a:solidFill>
                                  <a:prstDash val="dash"/>
                                </a:ln>
                                <a:effectLst/>
                              </wps:spPr>
                              <wps:txbx>
                                <w:txbxContent>
                                  <w:p w14:paraId="44E6AB63">
                                    <w:pPr>
                                      <w:rPr>
                                        <w:rFonts w:ascii="宋体" w:hAnsi="宋体" w:cs="宋体"/>
                                      </w:rPr>
                                    </w:pPr>
                                    <w:r>
                                      <w:rPr>
                                        <w:rFonts w:hint="eastAsia" w:ascii="宋体" w:hAnsi="宋体" w:cs="宋体"/>
                                      </w:rPr>
                                      <w:t>雨水排口</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5.55pt;margin-top:7.35pt;height:192.15pt;width:299.85pt;z-index:251660288;mso-width-relative:page;mso-height-relative:page;" coordorigin="2855,596392" coordsize="6297,4353" o:gfxdata="UEsDBAoAAAAAAIdO4kAAAAAAAAAAAAAAAAAEAAAAZHJzL1BLAwQUAAAACACHTuJAl4175dkAAAAK&#10;AQAADwAAAGRycy9kb3ducmV2LnhtbE2PQU/DMAyF70j8h8hI3FgSBmwrTSc0AacJiQ0J7ZY1Xlut&#10;caoma7d/jzmBT37y0/P38uXZt2LAPjaBDOiJAoFUBtdQZeBr+3Y3BxGTJWfbQGjgghGWxfVVbjMX&#10;RvrEYZMqwSEUM2ugTqnLpIxljd7GSeiQ+HYIvbeJZV9J19uRw30r75V6kt42xB9q2+GqxvK4OXkD&#10;76MdX6b6dVgfD6vLbvv48b3WaMztjVbPIBKe058ZfvEZHQpm2ocTuSha1jxs5eVhBoINM624y97A&#10;dLFQIItc/q9Q/ABQSwMEFAAAAAgAh07iQEL292L0AwAAewsAAA4AAABkcnMvZTJvRG9jLnhtbO1W&#10;zW4jRRC+I/EOrbkTe35tj+KsTEKilSLWIiDO7Z4ez2hnuofuduzsGbFw48QFLtx5AyTeZrOvwdc9&#10;M47teCELCAmJSLG7q9rVVV99VdWnzzZ1RW650qUUU88/GXqECyazUiyn3hefX3409og2VGS0koJP&#10;vTuuvWdnH35wum5SHshCVhlXBEaETtfN1CuMadLBQLOC11SfyIYLKHOpamqwVctBpuga1utqEAyH&#10;yWAtVdYoybjWkF60Sq+zqJ5iUOZ5yfiFZKuaC9NaVbyiBiHpomy0d+a8zXPOzIs819yQauohUuM+&#10;cQnWC/s5ODul6VLRpihZ5wJ9igsHMdW0FLh0a+qCGkpWqnxkqi6Zklrm5oTJetAG4hBBFP7wAJsr&#10;JVeNi2WZrpfNFnQk6gD1v2yWfXo7V6TMwISJRwStkfG3v3795vtvCQRAZ90sUxy6Us1NM1edYNnu&#10;bMCbXNX2G6GQDawkYRgEQPdu6oWTsR/FHcZ8YwjDgXA8HA+T2CMMJ4IoGgah32aBFUiVtRGMY+ih&#10;jidJOAl67SedhSSYjNqfR2EcWu3gwQ3ucn6tjRVb37euNiVL8d+BiNUjEP+cuviVWSmOlFhr4nZe&#10;srlqNztARj2Qb3787e13r0mQeCTjmoF2fh4N85BGCR1N8jEPcz/nNKCRH06SccJtMNayNdaaptbn&#10;a8leaiLkeUHFks90A1rDlgt9//jAbvf8WlRlc1lWlc2RXf+zdUZUyusFB33U86zLozaKG1bYC3Nc&#10;/BmcbXO0VTgvHxyzPmuQ6widjlKhp9IfEqFR2lxxWRO7gHvwAmmjKb3tyAFkuyNWLKQFCX7StBJ7&#10;ApCrlexR68FnFwy2tlTQEXWPMHaPGPZeZXpT0MZSzZrdYRdKoy3T+x9e3//0y/3P35CRZUJ3zFYp&#10;MZuPpS3GXv4OdCN/FHaFNvKHB4XqB2N0BFulXQ3vVFmP3BPB1bIqs56EWi0X55UitxQt+dL9OSLT&#10;dO9YJch66iUh+odNx57OXr81sagoe/nYwvG0WZBaMOzKbBabDrmFzO4AnJLgCrqXbthliVuuqTZz&#10;qjASIMTQNC/wkVcSrslu5ZFCqlfH5PY8KACtR9YYMVNPf7WiaB+kei5AjomP9oeZ5DZRPLJtU+1q&#10;FrsasarPJSDznXduac+bql/mStZfYrbO7K1QUcFw99Qz/fLctIMPs5nx2cwdwhRqqLkWNw36oe+g&#10;FnK2MjIvuxaq0xYb108dwf8tpqNtHjJ93DMaBfE+TI+TGM8aN1JG0eSdTI9Hccekfqz9B5jeNrIL&#10;qou2pjKsuiiONK7/KwCl8fcrwL0t8CZzj4/u/Wgffbt7VzEPb+az3wFQSwMECgAAAAAAh07iQAAA&#10;AAAAAAAAAAAAAAoAAABkcnMvbWVkaWEvUEsDBBQAAAAIAIdO4kBp0Zv5QSIAADwiAAAUAAAAZHJz&#10;L21lZGlhL2ltYWdlMS5wbmcBPCLD3YlQTkcNChoKAAAADUlIRFIAAAH0AAABewgGAAAAJDB5hwAA&#10;AAFzUkdCAK7OHOkAAAAEZ0FNQQAAsY8L/GEFAAAACXBIWXMAAA7DAAAOwwHHb6hkAAAh0UlEQVR4&#10;Xu3de6wdRQHH8UZNSPQfoVQEQ+0fDYGKGgyJWhKMEKq2BAkqokiqgsWooWowRBslhKDYkrZBjKjB&#10;dyMhlZAWQdFIiCE+kKiAqFSklaYI5Wlpb9tLO9457HCmc2d2Z3dn5uzOfj/J5OzO65y7d2d+va/T&#10;OQIAAPQegQ4AQAYIdAAAMkCgAwCQAQIdAIAMEOgAAGSAQAcAIAMEOgAAGSDQAQDIAIEOAEAGCHQA&#10;ADJAoAMAkAECHQCADBDoAABkgEAHACADBDoAABkg0AEAyACBDgBABgh0AAAyQKADGZgzZ86o6FTd&#10;UNrMdmBoWAFABggzrgHACgCQBQIdQ8cKAAAgAwQ6AAAZINCBDPDtZgDsAkAGCHSuAcAKADJAmHEN&#10;AFYAkIE2YdZ0bNcClEDH0LECALwUhvKxrJhUndnPLCmkeh6gq1gBALzYAtMnRAlaIA1WGjBgZtiq&#10;c/NRch1XqdMXQHOsNCADTUPTHKfO9fqyOh9lfbesXzxqX7x+S1EDoCn/VQmgs+oErM4V0upYPurH&#10;in5cxd53i1i/+MUgv21FmECv85qAHLECgAw0DTM1Tj6ax+pc0c/NtjJVfQl0IAxWAJCBpmEmx6mx&#10;+hxldZJ+XKWqL4EOhMEKAAasKrCr2n1U9SXQgTBYAcCAlYW0OjcfJbNvmaq+oQIdGDr/VQkgO2Uh&#10;rc7NR8nsW6aqL4EOhOG/KgF0Vp2A1blCWh3LR/1Y0Y+rVPUl0IEw/FclgM6qE7A6W0ibc9nqzT5l&#10;7H1f/LM12aaXFbcVzQ3YnwcYDlYAkIGmYeY7TgWu4jNOjfHpG0Kq5wG6ihUAZIAw4xoArAAAWSDQ&#10;MXSsAAAAMkCgAwCQAQIdyADfbgbALgBkgEDnGgCsACADhBnXAGAFABkgzLgGACsAQBYIdAwdKwDI&#10;iAw1vehybwOGjhVhYJMA6mPdAJPX+1Wo/2vdt5SpagcwG+sGmLxsV2HTDYaNCaiPdQNMHoFusI1j&#10;swLKsUaAyctiFcrNxLfobG36saQfA7BjnQCTl8UqtG0mvnWKapOP+jGAaqwVYPKyWIW2AC6rszH7&#10;l/UFcCjWCzB5WaxCfTOxBbKtTlenL4DZWC/A5GWxCm2biW+dpNe7jgG4sVaAyctiFarNxBbGtjqd&#10;WVd1DmA21gkweVmsQn0zUcdVdZJ5LvnWARhjjQCTl8UqbBLMrg2obv0kyNdCmUyBHdcGmLwsVqFt&#10;M/GtM/VhY2LznAyuuxvXBpi8LFZh1WYi21Vx8enTFX14jTniurtxbYDJYxX2EJvnZHDd3bg2wOSx&#10;CnuIzXMyuO5uXBtg8liFPcTmORlcdzeuDTB5rMIeYvOcjL5e99WrV4vt27cXZ3HEvjbPPfecWLdu&#10;nXj66aeLGgAmkqGHCPTJ6Ot1l69blg9/+MPinnvuKWrDinVt/v3vf4vPfe5z4ogjjhg9x2OPPVa0&#10;ADCRDD3U12Dpu75e96OOOkr8/e9/F2vWrBHz588Xp5xyiti4caN44YUXih7thbw2Bw8eFL/97W/F&#10;OeecI+bOnSu+8IUviG3bto0+DgIdcCMZeijU5pkqoNo8jxyrFxtbvatvGzHmTEEPwunpaXHTTTeJ&#10;t7/97WLBggVi7dq14tlnnx21tRHi2uzbt0/85Cc/ESeffLJYuHCh+MY3viF27dpVtB76cQCYrZ87&#10;1MDV2TzNvvLcVRRbW1UpU9UumfOp4sPVz3e8r9DzpeIKwt///vfivPPOE4cffrhYuXKl+Ne//lW0&#10;1Nfm2jz55JPiqquuEsccc4w47bTTxKZNm8SBAweK1jECffLMz3PVuUm2q1LFp49i61tnfC6G9xFn&#10;oO6N6urfdsH4ajLWd0yb11VXyucKqSoI//Of/4jLLrts9O3ts88+W9x1112jb3vX0eTaPPjgg2LF&#10;ihXi1a9+tfjoRz8q/vKXvxQtdgR6OvLzqRfF/Dyb55LZXy911Olv61v3+XIwvI84A01uVDVGPrpK&#10;mar2MraxZfP59tfr1LF8LCtttB0/Kb5B+Pzzz4tvfvOb4rjjjhMnnXSS+NGPfjT6NrgP32sj/6Hw&#10;i1/8Qrz73e8eva7LL7/cO6QJ9HT0z6c6tn2Oq+ps7b7qjPV9bbkb3kecgVA3atsFYyP76UWvU/Rj&#10;k63N1V/Nq4rONaaNGHOmUDcI5be7b731VnH66aeLo48+Wlx55ZVi586dRatd1bXZs2eP+M53viMW&#10;LVok3vjGN4rvfe97Ympqqmj1Q6Cno38+1bHtc1z1ea9qL+P7fHqdPC4rucv/I8yQ741p9tNvbFdx&#10;0dvK+ulUP33usrGqn1mq2ProdT5z+Ag1T2ptgvC+++4TH//4x0ffFr/ooovEAw88ULQcynVtduzY&#10;IVatWiXmzZsnzjzzTPHrX/+69rfzFQI9HfX51B/NY724lLXpbPPpx5J+rKtbn7PhfcQZqHOjhrqp&#10;zXl85lV9zEcfvs9nq/etqyvEHJMQIggff/xxccUVV4jXvva1YsmSJeL2228/5BfXzGtz7733io98&#10;5COjfwh8+tOfFv/85z+LluYI9NnkdznOOusscffddxc1YajPp3zUj016nerrqrMVG1Wv9ynra2tT&#10;9a5xuRrWR5uJJjepGqPf6GYpY2svG6O3qeOq55BkH1c/s97WT423lbZCzDEJIYNw79694gc/+IF4&#10;85vfLI4//nhx/fXXi927d4+ujfy79ptvvlmceuqp4thjjxVf//rXg76zm/5xyK/yZZhRpsQNN9ww&#10;+oVG+Xf78u/1Q9DvdXVsu/+r6nzH6FS7+Wgqa5d1qgzJsD7ajtu6detoUd5///1FjV2Tm1SNcY2t&#10;mtPWXjZGb3Md62S9b1Fc9ZI6Nx/bCDFHbDLo3vve946+ta3E+MpWPs9vfvOb0VeHhx122OjayMe3&#10;vvWt4sYbbxT79+8veoajfxzyOwDy+SgvFnn9VQnxudbvdXVsPkr6sVKn3WQbW9ZfMtvNcVXjczKx&#10;j1R+u872r80hF/lbxl/96lfFq171qtGf88i/z7Wpe4Pq/eWxq5SpateZfavOXWz96o717e9DztWH&#10;rwxloMpfZnvPe94jtmzZEu1b1eptWeV1USXm28vG+jj67rrrrhv9joL80Uao74jo60YdV9Uptn46&#10;W53iGus7RlLn5uMQTOwj/dOf/mT9lybl0H9ty5A31b1B9f6usVVz+j6nrZ9vnaTXu46rNB1XRc7V&#10;l68M5WtV5cgjjwwWhPIfNLa3ZZWeeeaZqG8vS6DPJv8Bt3z58tEvL4akrxt1XFWn2PrpbHWSWV91&#10;ruj1Psc5G8ZH2RPyb36/8pWvjN65S/59rvzZpE2dm9PsK89dpUxVu+Tq41tf91yR9Xqbz3ETbcen&#10;In/GLX95Tf52uvxlthBBWPW2rLpYby9LoKcj73VVFNv9X1XXZIxSt05/NIuqz13+H2GPPProo+LC&#10;Cy8UjzzySFFjV+fGNPu6xlbN2WYx+Iy19amqk8dmn7Jzs62utuNTkF9By3dd++Mf/1jUtAtC37dl&#10;dQn59rIEejq2e71unWu9mPW+/ZS243M2vI84A21uVNtiUKVMk+f0ndvUZpxN0/lMbcdPSpMgrPu2&#10;rFVCvL0sgZ6O7V73qVPnIdaK7xyufiFeQ98M7yPOwBBv1C7o63X3DUIZsE3fltVXm7eXJdDTsd3r&#10;ep08VkUxx+h9XMWmqt1UNs/QDO8jzsAQb9Qu6Ot1rwrCEG/LWleTt5cl0IFyJEMPEeiTkVugh3xb&#10;1jZ8316WQAfKkQw9RKBPRi6BHuNtWUOoentZAh0oRzL0EIE+GX0O9O3bt0d9W9aQXG8vS6AD5UiG&#10;HiLQJ6Ov112+7le+8pVR35Y1Bvntf/X2svLNceTHQaADbiRDDxHok9HX6y5/Lh36f+NK7aGHHhp9&#10;HFW/OAcMGcnQQwT6ZHDdAXQZO1QPESyTwXUH0GXsUD1EsEwG1x1Al7FD9RDBMhlcdwBdxg7VQwTL&#10;ZHDdAXQZO1QPESyTEeO6yzn1oqOtG21AX3Dn9pC5+VDSFeSPzzP6ijsXSXz/+98f/ZecGCM4AITE&#10;joIkli1bJjZv3lycQSLQAYTEjoIkCPTZCHQAIbGjIAkCfTYCvZv4vKCvuHORBIGOviDQ0VfcuUiC&#10;QEdfEOjoK+5cJEGgp5cqmHyfx9ZPr+tKkHbldQB1ceciCQJ9thDBYc4hz11FsbVVlTJV7Yqtn17n&#10;Ow8AO1YQkiDQZwsVYK556szf5rX4jrX10+tc7b4FGDpWAZIg0GcLGUJqLj3gzFKmqr2Mbaxep55f&#10;FbNOcdX58O0H5IxVgCQI9Nlih1Cd+esEp170OkU/1tnqq8a55jL59vMRci4gJe5cJEGgh2cGjzyv&#10;Ki56W1k/neqnz1021tam11W1l/Ht5yPkXEBK3LlIgkCPI1T4mPP4zKv6mI8uers8VkVx1fnw7ecj&#10;5FxASty5SIJAj0uFkHx0lTK29rIxeps69nkOs49tHl3VnIpvPx8h5wJS4s5FEgT6bDFCyDVn1XPZ&#10;2svG6G2uY0XWqWLyGevDtx+QM1YBkiDQZwsVQmYoukqZqnad2bfqXNHr5bEqiqvOh28/IGesAiRB&#10;oM8WKoTMULSpei7f12LrF6rOd4yNbz8gZ6wCJEGgzxYihMw55LmrlKlql1x9fOtt/fQ6V7tvCSXk&#10;XEBK3LlIgkCPwwwfVxhVhVSbEPMda+un11W1l/Ht5yPkXEBK3LlIgkBPwwwjea5KmSYhVmduVz+9&#10;rmqeVLryOoC6uHORBIGOviDQ0VfcuUiCQJ+N4AAQEjsKkiDQZyPQAYTEjoIkCPTZCHQAIbGjIAkC&#10;fTYCvZv4vKCvuHORBIGOviDQ0VfcuUiCQEdfEOjoK+5cJEGgoy8IdPQVdy6SINBnIzgAhMSOgiQI&#10;9NlkoKui0+tpG0vdBvQNdzCSINABIC4CHUkQ6AAQF4GOJAh0AIiLQEcSBDoAxEWgIwkCHQDiItCR&#10;BIEOAHER6EiCQAeAuAh0JEGgA0BcBDqSINABIC4CHUkQ6AAQF4GOJAh0AIiLQEcSBDoAxEWgIwkC&#10;HQDiItCRBIEOAHER6EiCQAeAuAh0JEGgA0BcBDqimpqaErt27Xop0Hfu3Fm0AABCItAR1YYNG8SS&#10;JUvE0qVLxdq1a8W8efPE9PR00QoACIVAR1T79+8XixYtEnPmzBmVNWvWFC0AgJAIdER3xx13vBTo&#10;+/btK2oBACER6Ghl9+7dYvXq1eKaa64R69atc5aXvexl4gMf+IC1TS9XX321eOSRR4rZAQC+CHS0&#10;9opXvGL0s/GVK1c6yyc/+UlrvV5OP/300Vfxe/bsKWYGAPgi0NHa7bffLk488URx4MCBoqaZ888/&#10;X3zta18rzgAAdRDoaO3gwYPipJNOEps2bSpq6nv44YfF3LlzxbPPPlvUAADqINARxE033STe9ra3&#10;jcK9Cfkt+VWrVhVnAIC6CHQE8cILL4jjjjtO3HnnnUWNvx07dojDDz9cPPHEE0UNAKAuAn2G+pMq&#10;naobSpvZ3sQNN9wgzjjjjOLM36WXXiouueSS4gwA0ET7XTwDIcKs70JcA/k35scee6y45557ippq&#10;Tz311Oir823bthU1AIAmSDKMhPpHzfr168U555xTnFW74oorxMc+9rHiDADQFIGOoJ5//nnxmte8&#10;Rjz44INFjZv8T1vk36//4x//KGoAAE0R6AjuyiuvFMuXLy/O3OR/1vL+97+/OAMAtEGgz+Bn6GE9&#10;/fTT4ogjjhBbt24tambbu3eveN3rXifuvffeogYA0AZJNoNAD38NLrvsMvGZz3ymOJvtu9/9rnjX&#10;u95VnAEA2iLJZhDo4a/BY489Nvrt9f/+979FzZj8m/WFCxeKu+66q6gBALRFks1oE2ZNx3btHxEx&#10;Xs+nPvUp8cUvfrE4G7vxxhvFKaec0vhd5QAAsxHoAagwlI9lxaTqzH5mSSHG88j/BlX+LP2ZZ54p&#10;al583/c3velN4tZbby1qAAAhpEkLWAPTJ0RTBXosF1xwgbjqqquKMzEKchnofHUOAGER6C2YYavO&#10;zUfJdVylTt8u+tvf/iaOOuoosXv37lGIL168WPz0pz8tWgEAofQ7LQJpGprmOHWu15fV+XD2vW3F&#10;qO3Fslis31LUd9DZZ58trr322tEvwclfhpO/FAcACMs/WTJWJ2B1+jjb8YthOz5W9OMq9r63iRWL&#10;1wuV4VvWLxZztPMm6rymuv7whz+I+fPni9NOO23052oAgPDi7eI90jTM1Dj5aB6rc0U/N9vKePXd&#10;sl4snrNiJuabM19fyCLJP2GTx/INZQAA4fknS8ZU6NSlB5Y+R1mdpB9X8eorv/3e4a/QJfnb7vI5&#10;+HY7AMQRdxfPnCuk1XFVu4/qvlvE+sVzxIo2X57PqPOa6pL/+Yr8T1hOPPFEsXHjxqIWABBSvF18&#10;AMpCWp2bj5LZt0xV39tWzBFz2qZ5ZPK/R5X/Teott9wi3vKWt/AnawAQgX+yYJaykFbn5qNk9i1T&#10;1ncU5i2/1R7btm3bRt9uf+qpp8SBAwfEG97wBvHLX/6yaAUAhOKfLBmrE7A6V0irY/moHyv6cRVX&#10;3z6EuXTJJZeISy+9tDgT4sc//rF4xzveUZwBAELxT5aM1QlYnS2kzbls9WafMta+o99qf/EfC3pp&#10;85136/O09MQTT4x+u33Hjh1FjRDT09NiwYIF4u677y5qAAAhhN/Fe6hpmPmOU4Gr+IxTY3z6hhDj&#10;eVatWiUuvvji4mzsW9/6ljjzzDOLMwBACGnSouNShWaXhb4Gzz33nJg7d654+OGHi5qxqakpcfTR&#10;R4u//vWvRQ0AoC2SDCOhA/3qq68W559/fnE22+rVq8WHPvSh4gwA0BaBjuD27Nkz+g9Z7r///qJm&#10;tv/973+jr+C3bOn6r/UBQD8Q6AjuuuuuE2eddVZx5vblL39ZfOITnyjOAABtEOgz+Bl6OPv37xev&#10;f/3rxe9+97uixm3nzp2j34Lfvn17UQMAaIokm0Ggh7sGP/zhD8U73/nO4qzaZz/7WfH5z3++OAMA&#10;NEWSzSDQw1wD+U5wJ5xwgvjVr35V1FR79NFHR1+lP/nkk0UNAKAJkmwGgR7mGtx8883i5JNPrv1e&#10;7RdeeKG4/PLLizMAQBMkGUbaBroMcRnmMtTreuihh8SRRx45+s13AEAzBLpGhppedLm3tSW/zS6/&#10;3S6/7d7EBz/4QXHNNdcUZwCAusLu6hgs+Ytw8hfimvrzn/8sjjnmGLF3796iBgBQB4GO1uSfqMk/&#10;VZN/stbG0qVLxbe//e3iDABQB4GO1uT/nrZw4UKxbt26VuV973vf6EcB8n9kAwDUQ6Cjld27d4vl&#10;y5eLFStWiJUrV5aWM844Q1xwwQXWNlXOPffc0S/JAQDqIdCRzLJly8TmzZuLMwBASAQ6kiHQASAe&#10;Ah3JEOgAEA+BjmQIdACIh0BHMgQ6AMRDoCMZAh0A4iHQkQyBDgDxEOhIhkAHgHgIdCRDoANAPAQ6&#10;kiHQASAeAh3JEOgAEA+BjmQIdACIh0BHMgQ6AMRDoCMZAh0A4iHQkQyBDgDxEOhIhkAHgHgIdCRD&#10;oANAPAQ6kiHQASAeAh3JEOgAEA+BjmQIdACIh0BHMgQ6AMRDoCMZAh0A4iHQkQyBDgDxEOhIhkAH&#10;gHgIdCRDoANAPAQ6kiHQASAeAh3JEOgAEA+BjmQIdACIh0BHMgQ6AMRDoCMZAh0A4iHQkQyBDgDx&#10;EOhIhkAHgHgIdCRDoANAPAQ6kiHQASAeAh3JEOgAEA+BjmQIdACIh0BHMgQ6AMRDoCMZAh0A4iHQ&#10;kQyBDgDxEOhIhkAHgHgIdCRDoANAPAQ6kiHQASAeAh3JEOgAEA+BjmQIdACIh0BHMgQ6AMRDoCO6&#10;qakpsWvXrpcCfefOnUULACAUAh3RbdiwQSxZskQsXbpUrF27VsybN09MT08XrQCAEAh0RLd//36x&#10;aNEiMWfOnFFZs2ZN0QIACIVARxJ33HHHS4G+b9++ohYAEAqBjmRe/vKXi+uvv744AwCERKAPhPrq&#10;mPJiAYDcsLMNBCE2xrUAkCN2toEgxMa4FgByxM42EITYGNcCQI7Y2QaCEBvjWgDIETvbQBBiY1wL&#10;ADliZxsIQmyMawEgR+xsA0GIjXEtAOSInW0gCLExrgWAHLGzDUTbEKs7PlRoxghfAh1AjtjZBiJE&#10;iNWZQ/a1FRtXvVTW1lSMOQFg0tjZBqJOiMm+dYrJt06nt/sctxFqHgDoEna2gagTYm0CzzbWdz7V&#10;T++v1/nOUyXUPADQJexsA1EnxGx9fcbLPj6liupjjvEZ6yPUPADQJexsA1EnxFx9zfomwVg1hzxX&#10;RZ0rZt+mQs0DAF3CzjYQdUKsrG9VwMq6qmIy6/Rz13EboeYBgC5hZxuIOiGm+trG6HVNgrFsjO15&#10;2z6fTah5AKBL2NkGok6I+Yao2SbPfYqLatP7uI7bCDUPAHQJO9tA1Akxs69trO98TfrZjuWj71xV&#10;Qs0DAF3CzjYQdULM7GsbWzZf1fiq+VzHocSYEwAmjZ1tIOqEWFVfV7uqN9tt/fU6n/5KWZuvEHMA&#10;QNewsw1EnRBrGqiqzdVHr3cdS67xUlmbrxBzAEDXsLMNhG+I6f3ksU9RfXVmH1V82caq0laIOQCg&#10;a9jZBoIQG+NaAMgRO9tAEGJjXAsAOWJnGwhCbIxrASBH7GwDQYiNcS0A5IidbSAIsTGuBYAcsbMN&#10;BCE2xrUAkCN2toEgxMa4FgByxM42EITYGNcCQI7Y2QaCEBvjWgDIETvbQBBiY1wLADliZxsIQmws&#10;9bWQz6cXXQ5tALqBlTkQbMJjXIt2uH5AN7EyB4JNeCzlteC6A0iF3WYgZLBQxiWVlM8FYNjYbTBR&#10;11577Ush+/jjjxe1+SDQAaTCboOJ2blzp5g3b55YsGCBOP7448VFF11UtOQjx0DnHylAN7Eye8Lc&#10;ROW5XnRdbtPbf/azn4kvfelLYtmyZWLDhg1i8eLFYnp6umhFV+mfQwDdwcrsiZw3URnomzdvLs7Q&#10;dQQ60E2szJ4g0IfH/Jz73ANVfULcRznfi0CfsTIxcTkHepvwM8f6zGXro9e1eT0Auo3VjaRsgUKg&#10;H0qNMcfKc1tRbbZHxVUPIB+sbiRlCxQC/VC28DXrXH1UMdn6A8gLq7snctmIbR8HgX4oOcYsijo2&#10;H5W6502EmANAeKzMnshlE7V9HPxS3KHUNbJdK7NNfzSL4jpuKsQcAMJjZfZEzpsogT5WFr62trI+&#10;im1cGyHmABAeK7MnQm2icp66JTYC3c68/rZjs04/t1F9qvqVaTMWQDyszIHrwubMz9BnM0PX91gV&#10;Ra8z2wDkhdU9YLbNXi8x2OYl0Mf0a28+Kvq5q685RnHVA+g/VvdAyY29bHOPtfHb5iXQ7WxjzTp1&#10;bj66VLUD6C9Wd0+E3Ih9Nv9YG79tXgLdzhxrm8unj67N61FCzAEgPFZmT4TaRPV55HFZicE2L78U&#10;Z6dfK9fnw6yv+rxVtfsIMQeA8FiZPZHzJkqg25V9zmWbrb3qPglxH4WYA0B4rMyeiL2JNgmHUAj0&#10;fiHQgW5iZQ6Q3JD1oteZxynwM3QAaI/dZuD0ENcfY7HNT6ADQHvsNgOmh43rODQCHQDiYLfpidDB&#10;YM5XdR6KbV4CvV9y/JiAHLAyeyLUJirn0edS57b5XfVt2Objl+L6JfQ9gfpc69VFtvmWkFzz+T5P&#10;ndfT9LW3fY1d0r9XPFB9vLl8Eej9kvO92GX6dbd9Dso+L2Vjq+ZtQ85nm9P3Oeu8HnNOVzG52s16&#10;va2ruv8KMdKHm6kpAr1fcr4Xu05de/2xrCiuY6msrS01n/kcqqhz9Vi36OqeS6qurK9tXFf155Ui&#10;W/wMHajHdl+V3WuyzbeEos9lzqvOy57P97XIfnrRqXOzXmrTt6v68SqRDdvCyD3QVdHp9X1tw2S4&#10;Phd1Pz+xP5+u12grJltdFX2MPretlKlq77L+vnL0km2x8C13oJoeRvo6UvVm0dnaXSUEfS7bvFXP&#10;o7er8WYx6XWuY8l2XlX6oj+vdOD6dFOVsX0ctkC/8847xcUXX1ycAdCpddRmX4i1p9hem3msF5Or&#10;Xikbo9r0PmZ/89xU1d5l/X3lA9Pnm0xn+zj0QN+2bZs499xzxfz588XGjRtHdQDcfPcG2a+qhKTP&#10;p47N5zGfU+9nU1avj60qvv3M0nXdf4UY6cPN1JQK9AceeOCQxXPYYYdRKNmXE044oVgJ5fS14Vt0&#10;5rmpqr0ufT799Zj1iutYZ6tXdb5z2eaw8e3XJf17xQPVx5vL189//nOxdevW0fF9990nTj31VLFg&#10;wQKxadMmMTU1RaFkXfbu3Tu69+tSe4JvYFXtIU3HuejjzGO92Kh6s69ZdPq561gy23xLH/TjVeIQ&#10;ZTdaX9rKHDx4UNxyyy3ivPPOK2oA6Mw1pY7L1pnZVnWuK2tz0cf4HOvq1kvmvGXFh2+/LunfKwaA&#10;AVNBYwZOVQBV9S8bL9uq5jfp/fXxZr1N3XrJNa85xjaHb13X9e8VAxMmF7pedLTVb4Mf89qpY7NO&#10;P9eZ9VXnpqp2k97fPNaLTd16SW9zHUu+c7v6dVn/XjEwIX1c4F3EdQxDXkfXtdTb1HGdEoJrHr3e&#10;p48kz1Vx0dts/XzmkHz7dVH/XjEwIX1c4F3EdQTiYGUBngiiMLiOQBysLMATQQSgy9ihAADIAIEO&#10;AEAGCHQASfGjCyAOVhbgKWQQ1ZnL1rfua2n62kN+zEqMOQHMrK3iEUCFJkEkx9QtJt+6KqnGVIkx&#10;J4CZtVU8AqgQMojqzGXrWzZettUpZaram4gxJ4CZtVU8AqjQJohUeJYVna1dFqWqzcanj8nWz3cs&#10;gLRYmUACZghWnevqjtXPXceS7Vwvep2iHwPoFlYnkIAKxrLiorepY1ud4moz+5VRfeWjfgygu1ih&#10;wAQ0CVedXme2q3P56FNsVL35GELIuQCMsbIAT22CSI6tKqayPq5jyTyXbHUutrnrjK8Sci4AY6ws&#10;wFPMULPNXdZHHfuMk2Sdrdjo9a7jNkLNA+BQrCzAU5MgkmPqFkU/lmxtZh/JNc5Vr6vqYxtTV4g5&#10;AMzGygI8hQwin6Cs6uN6PWX91LFtbJs6AJPHygQSkCFYVUxlfdSxXqfY+ul866S69QAmh1UJTIBP&#10;IPqGqevcVu9qc/HtB2DyWK1AQipUmwala5yqNx8leWwb56qXVJurvY0YcwKYWVvFI4AKBFEYXEcg&#10;DlYW4IkgCoPrCMTBygI8EURhcB2BOFhZgCeCCECXsUMBAJABAh0AgAwQ6ACS4kcXQBysLMATQRQG&#10;1xGIg5UFeCKIwuA6AnGwsgBPMojMMFJ1tNVrAxAeKwsAgAwQ6AAAZIBABwAgAwQ6AAAZINABAMgA&#10;gQ4AQAYIdAAAMkCgAwCQAQIdAIAMEOgAAGSAQAcAIAMEOgAAGSDQAQDIAIEOAEAGCHQAADJAoAMA&#10;kAECHQCADBDoAABkgEAHACADBDoAABkg0AEAyACBDgBABgh0AAAyQKADAJABAh0AgAwQ6AAAZIBA&#10;BwAgAwQ6AAAZINABAMgAgQ4AQAYIdAAAMkCgAwCQAQIdAIAMEOgAAPSeEP8HR350g26OmRw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BYqAABbQ29udGVudF9UeXBlc10ueG1sUEsBAhQACgAAAAAAh07iQAAAAAAAAAAA&#10;AAAAAAYAAAAAAAAAAAAQAAAA4ycAAF9yZWxzL1BLAQIUABQAAAAIAIdO4kCKFGY80QAAAJQBAAAL&#10;AAAAAAAAAAEAIAAAAAcoAABfcmVscy8ucmVsc1BLAQIUAAoAAAAAAIdO4kAAAAAAAAAAAAAAAAAE&#10;AAAAAAAAAAAAEAAAAAAAAABkcnMvUEsBAhQACgAAAAAAh07iQAAAAAAAAAAAAAAAAAoAAAAAAAAA&#10;AAAQAAAAASkAAGRycy9fcmVscy9QSwECFAAUAAAACACHTuJAqiYOvrYAAAAhAQAAGQAAAAAAAAAB&#10;ACAAAAApKQAAZHJzL19yZWxzL2Uyb0RvYy54bWwucmVsc1BLAQIUABQAAAAIAIdO4kCXjXvl2QAA&#10;AAoBAAAPAAAAAAAAAAEAIAAAACIAAABkcnMvZG93bnJldi54bWxQSwECFAAUAAAACACHTuJAQvb3&#10;YvQDAAB7CwAADgAAAAAAAAABACAAAAAoAQAAZHJzL2Uyb0RvYy54bWxQSwECFAAKAAAAAACHTuJA&#10;AAAAAAAAAAAAAAAACgAAAAAAAAAAABAAAABIBQAAZHJzL21lZGlhL1BLAQIUABQAAAAIAIdO4kBp&#10;0Zv5QSIAADwiAAAUAAAAAAAAAAEAIAAAAHAFAABkcnMvbWVkaWEvaW1hZ2UxLnBuZ1BLBQYAAAAA&#10;CgAKAFICAABLKwAAAAA=&#10;">
                      <o:lock v:ext="edit" aspectratio="f"/>
                      <v:shape id="图片 26" o:spid="_x0000_s1026" o:spt="75" alt="1f40f3a46a79f8e3f1fea2a4139686e" type="#_x0000_t75" style="position:absolute;left:2855;top:596392;height:4353;width:6297;" filled="f" o:preferrelative="t" stroked="f" coordsize="21600,21600" o:gfxdata="UEsDBAoAAAAAAIdO4kAAAAAAAAAAAAAAAAAEAAAAZHJzL1BLAwQUAAAACACHTuJAWuEFfLcAAADb&#10;AAAADwAAAGRycy9kb3ducmV2LnhtbEVPS2sCMRC+F/wPYYTeamKRIqvRgyBaEKE+7sNm3EQ3k3UT&#10;H/33RhC8zcf3nPH07mtxpTa6wBr6PQWCuAzGcaVht51/DUHEhGywDkwa/inCdNL5GGNhwo3/6LpJ&#10;lcghHAvUYFNqCiljaclj7IWGOHOH0HpMGbaVNC3ecriv5bdSP9Kj49xgsaGZpfK0uXgNztJ68Xs8&#10;RHt2qz0qf75sA2r92e2rEYhE9/QWv9xLk+cP4PlLPkBOH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a4QV8twAAANsAAAAP&#10;AAAAAAAAAAEAIAAAACIAAABkcnMvZG93bnJldi54bWxQSwECFAAUAAAACACHTuJAMy8FnjsAAAA5&#10;AAAAEAAAAAAAAAABACAAAAAGAQAAZHJzL3NoYXBleG1sLnhtbFBLBQYAAAAABgAGAFsBAACwAwAA&#10;AAA=&#10;">
                        <v:fill on="f" focussize="0,0"/>
                        <v:stroke on="f"/>
                        <v:imagedata r:id="rId20" o:title=""/>
                        <o:lock v:ext="edit" aspectratio="t"/>
                      </v:shape>
                      <v:shape id="文本框 7" o:spid="_x0000_s1026" o:spt="202" type="#_x0000_t202" style="position:absolute;left:4173;top:597100;height:450;width:1289;" fillcolor="#FFFFFF"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19E18882">
                              <w:pPr>
                                <w:rPr>
                                  <w:rFonts w:ascii="宋体" w:hAnsi="宋体" w:cs="宋体"/>
                                </w:rPr>
                              </w:pPr>
                              <w:r>
                                <w:rPr>
                                  <w:rFonts w:hint="eastAsia" w:ascii="宋体" w:hAnsi="宋体" w:cs="宋体"/>
                                </w:rPr>
                                <w:t>雨水系统</w:t>
                              </w:r>
                            </w:p>
                          </w:txbxContent>
                        </v:textbox>
                      </v:shape>
                      <v:shape id="文本框 8" o:spid="_x0000_s1026" o:spt="202" type="#_x0000_t202" style="position:absolute;left:5658;top:597490;height:575;width:1289;" fillcolor="#FFFFFF" filled="t" stroked="t" coordsize="21600,21600" o:gfxdata="UEsDBAoAAAAAAIdO4kAAAAAAAAAAAAAAAAAEAAAAZHJzL1BLAwQUAAAACACHTuJAKYuF2LsAAADb&#10;AAAADwAAAGRycy9kb3ducmV2LnhtbEVPS2vCQBC+C/0PyxR6040e0pK6ehCEHipBLUhv0+w0CWZn&#10;Q3byqL++Wyh4m4/vOevt5Bo1UBdqzwaWiwQUceFtzaWBj/N+/gIqCLLFxjMZ+KEA283DbI2Z9SMf&#10;aThJqWIIhwwNVCJtpnUoKnIYFr4ljty37xxKhF2pbYdjDHeNXiVJqh3WHBsqbGlXUXE99c7A5St1&#10;vd3nn/yc5u+HHuVGvRjz9LhMXkEJTXIX/7vfbJyfwt8v8QC9+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YuF2LsAAADb&#10;AAAADwAAAAAAAAABACAAAAAiAAAAZHJzL2Rvd25yZXYueG1sUEsBAhQAFAAAAAgAh07iQDMvBZ47&#10;AAAAOQAAABAAAAAAAAAAAQAgAAAACgEAAGRycy9zaGFwZXhtbC54bWxQSwUGAAAAAAYABgBbAQAA&#10;tAMAAAAA&#10;">
                        <v:fill on="t" focussize="0,0"/>
                        <v:stroke weight="0.5pt" color="#000000" joinstyle="round" dashstyle="dash"/>
                        <v:imagedata o:title=""/>
                        <o:lock v:ext="edit" aspectratio="f"/>
                        <v:textbox>
                          <w:txbxContent>
                            <w:p w14:paraId="44E6AB63">
                              <w:pPr>
                                <w:rPr>
                                  <w:rFonts w:ascii="宋体" w:hAnsi="宋体" w:cs="宋体"/>
                                </w:rPr>
                              </w:pPr>
                              <w:r>
                                <w:rPr>
                                  <w:rFonts w:hint="eastAsia" w:ascii="宋体" w:hAnsi="宋体" w:cs="宋体"/>
                                </w:rPr>
                                <w:t>雨水排口</w:t>
                              </w:r>
                            </w:p>
                          </w:txbxContent>
                        </v:textbox>
                      </v:shape>
                    </v:group>
                  </w:pict>
                </mc:Fallback>
              </mc:AlternateContent>
            </w:r>
          </w:p>
          <w:p w14:paraId="7B285E24">
            <w:pPr>
              <w:widowControl/>
              <w:spacing w:line="500" w:lineRule="exact"/>
              <w:ind w:firstLine="420" w:firstLineChars="200"/>
              <w:jc w:val="left"/>
              <w:rPr>
                <w:color w:val="000000"/>
                <w:kern w:val="0"/>
                <w:szCs w:val="21"/>
                <w:lang w:bidi="ar"/>
              </w:rPr>
            </w:pPr>
          </w:p>
          <w:p w14:paraId="737B33FC">
            <w:pPr>
              <w:widowControl w:val="0"/>
              <w:adjustRightInd w:val="0"/>
              <w:snapToGrid w:val="0"/>
              <w:spacing w:line="500" w:lineRule="exact"/>
              <w:jc w:val="center"/>
              <w:rPr>
                <w:b/>
                <w:color w:val="auto"/>
                <w:szCs w:val="21"/>
                <w:highlight w:val="none"/>
              </w:rPr>
            </w:pPr>
          </w:p>
          <w:p w14:paraId="0764D987">
            <w:pPr>
              <w:widowControl w:val="0"/>
              <w:adjustRightInd w:val="0"/>
              <w:snapToGrid w:val="0"/>
              <w:spacing w:line="500" w:lineRule="exact"/>
              <w:jc w:val="center"/>
              <w:rPr>
                <w:b/>
                <w:color w:val="auto"/>
                <w:szCs w:val="21"/>
                <w:highlight w:val="none"/>
              </w:rPr>
            </w:pPr>
          </w:p>
          <w:p w14:paraId="51E1866E">
            <w:pPr>
              <w:widowControl w:val="0"/>
              <w:adjustRightInd w:val="0"/>
              <w:snapToGrid w:val="0"/>
              <w:spacing w:line="500" w:lineRule="exact"/>
              <w:jc w:val="center"/>
              <w:rPr>
                <w:b/>
                <w:color w:val="auto"/>
                <w:szCs w:val="21"/>
                <w:highlight w:val="none"/>
              </w:rPr>
            </w:pPr>
          </w:p>
          <w:p w14:paraId="26B0C8FB">
            <w:pPr>
              <w:widowControl w:val="0"/>
              <w:adjustRightInd w:val="0"/>
              <w:snapToGrid w:val="0"/>
              <w:spacing w:line="500" w:lineRule="exact"/>
              <w:jc w:val="center"/>
              <w:rPr>
                <w:b/>
                <w:color w:val="auto"/>
                <w:szCs w:val="21"/>
                <w:highlight w:val="none"/>
              </w:rPr>
            </w:pPr>
          </w:p>
          <w:p w14:paraId="761AC0F3">
            <w:pPr>
              <w:widowControl w:val="0"/>
              <w:adjustRightInd w:val="0"/>
              <w:snapToGrid w:val="0"/>
              <w:spacing w:line="500" w:lineRule="exact"/>
              <w:jc w:val="center"/>
              <w:rPr>
                <w:b/>
                <w:color w:val="auto"/>
                <w:szCs w:val="21"/>
                <w:highlight w:val="none"/>
              </w:rPr>
            </w:pPr>
          </w:p>
          <w:p w14:paraId="3BA26889">
            <w:pPr>
              <w:widowControl w:val="0"/>
              <w:adjustRightInd w:val="0"/>
              <w:snapToGrid w:val="0"/>
              <w:spacing w:line="500" w:lineRule="exact"/>
              <w:jc w:val="center"/>
              <w:rPr>
                <w:b/>
                <w:color w:val="auto"/>
                <w:szCs w:val="21"/>
                <w:highlight w:val="none"/>
              </w:rPr>
            </w:pPr>
          </w:p>
          <w:p w14:paraId="0BC49AB0">
            <w:pPr>
              <w:widowControl w:val="0"/>
              <w:adjustRightInd w:val="0"/>
              <w:snapToGrid w:val="0"/>
              <w:spacing w:line="500" w:lineRule="exact"/>
              <w:jc w:val="center"/>
              <w:rPr>
                <w:b/>
                <w:color w:val="auto"/>
                <w:szCs w:val="21"/>
                <w:highlight w:val="none"/>
              </w:rPr>
            </w:pPr>
            <w:r>
              <w:rPr>
                <w:b/>
                <w:color w:val="auto"/>
                <w:szCs w:val="21"/>
                <w:highlight w:val="none"/>
              </w:rPr>
              <w:t>图</w:t>
            </w:r>
            <w:r>
              <w:rPr>
                <w:rFonts w:hint="eastAsia"/>
                <w:b/>
                <w:color w:val="auto"/>
                <w:szCs w:val="21"/>
                <w:highlight w:val="none"/>
                <w:lang w:val="en-US" w:eastAsia="zh-CN"/>
              </w:rPr>
              <w:t>4-2</w:t>
            </w:r>
            <w:r>
              <w:rPr>
                <w:b/>
                <w:color w:val="auto"/>
                <w:szCs w:val="21"/>
                <w:highlight w:val="none"/>
              </w:rPr>
              <w:t xml:space="preserve">    事故情况各废水截流走向图</w:t>
            </w:r>
          </w:p>
          <w:p w14:paraId="39CBE187">
            <w:pPr>
              <w:widowControl/>
              <w:spacing w:line="500" w:lineRule="exact"/>
              <w:ind w:firstLine="420" w:firstLineChars="200"/>
              <w:jc w:val="left"/>
              <w:rPr>
                <w:szCs w:val="21"/>
              </w:rPr>
            </w:pPr>
            <w:r>
              <w:rPr>
                <w:color w:val="000000"/>
                <w:kern w:val="0"/>
                <w:szCs w:val="21"/>
                <w:lang w:bidi="ar"/>
              </w:rPr>
              <w:t>综上分析，在各项环境风险防范措施落实到位的情况下，可降低本项目的环境风险，最大程度减少对环境可能造成的危害，项目对环境的风险影响可接受。</w:t>
            </w:r>
          </w:p>
          <w:p w14:paraId="7D51028B">
            <w:pPr>
              <w:spacing w:line="500" w:lineRule="exact"/>
              <w:ind w:firstLine="420"/>
              <w:rPr>
                <w:rFonts w:hint="eastAsia" w:ascii="Times New Roman" w:hAnsi="Times New Roman" w:eastAsia="宋体" w:cs="Times New Roman"/>
                <w:lang w:eastAsia="zh-CN"/>
              </w:rPr>
            </w:pPr>
            <w:r>
              <w:rPr>
                <w:rFonts w:hint="default" w:ascii="Times New Roman" w:hAnsi="Times New Roman" w:eastAsia="宋体" w:cs="Times New Roman"/>
              </w:rPr>
              <w:t>（</w:t>
            </w:r>
            <w:r>
              <w:rPr>
                <w:rFonts w:hint="eastAsia" w:ascii="Times New Roman" w:hAnsi="Times New Roman" w:eastAsia="宋体" w:cs="Times New Roman"/>
                <w:lang w:val="en-US" w:eastAsia="zh-CN"/>
              </w:rPr>
              <w:t>6</w:t>
            </w:r>
            <w:r>
              <w:rPr>
                <w:rFonts w:hint="default" w:ascii="Times New Roman" w:hAnsi="Times New Roman" w:eastAsia="宋体" w:cs="Times New Roman"/>
              </w:rPr>
              <w:t>）风险处理应急</w:t>
            </w:r>
            <w:r>
              <w:rPr>
                <w:rFonts w:hint="eastAsia" w:ascii="Times New Roman" w:hAnsi="Times New Roman" w:eastAsia="宋体" w:cs="Times New Roman"/>
                <w:lang w:eastAsia="zh-CN"/>
              </w:rPr>
              <w:t>管理制度</w:t>
            </w:r>
          </w:p>
          <w:p w14:paraId="001C60A0">
            <w:pPr>
              <w:spacing w:line="500" w:lineRule="exact"/>
              <w:ind w:firstLine="420"/>
              <w:rPr>
                <w:rFonts w:hint="default" w:ascii="Times New Roman" w:hAnsi="Times New Roman" w:eastAsia="宋体" w:cs="Times New Roman"/>
              </w:rPr>
            </w:pPr>
            <w:r>
              <w:rPr>
                <w:rFonts w:hint="eastAsia"/>
                <w:lang w:val="en-US" w:eastAsia="zh-CN"/>
              </w:rPr>
              <w:t>根据江苏省突发环境事件应急预案管理办法，实施“一图两单两卡”管理，即绘制预案管理“一张图”，编制环境风险辨识、环境风险防范措施“两个清单”，实行环境安全职责承诺、应急处置措施“两张卡”。按规定对应急预案和风险评估报告进行回顾性评估和修订，开展验证演练，其中较大以上风险企业每年至少开展一次。</w:t>
            </w:r>
          </w:p>
          <w:p w14:paraId="49DFDE38">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为预防事故风险和风险应急处理后对环境造成的污染影响，必须采取积极主动的防范措施。</w:t>
            </w:r>
          </w:p>
          <w:p w14:paraId="4A018F36">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消防系统：</w:t>
            </w:r>
          </w:p>
          <w:p w14:paraId="2D23F5E9">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a、根据火灾危险性等级和防火、防爆要求，建筑物的防火等级均应采用国家现行规范要求按一、二级耐火等级设计，满足建筑防火要求。凡禁火区均设置明显标志牌。各种易燃易爆物料均储存在阴凉、通风处，远离火源，避免与强氧化剂接触。安全出口及安全疏散距离应符合《建筑设计防火规范》（GB50016-2014）的要求。</w:t>
            </w:r>
          </w:p>
          <w:p w14:paraId="2E5A68BA">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b、消防水是独立的稳高压消防水管网，消防水管道沿装置及辅助生产设施周围布置，在管道上按照规范要求配置消火栓及消防水炮。一旦发生火灾，需使用泡沫或干粉灭火器材，消防用水仅对燃烧区附近的容器作表面降温处理。车间地面为水泥地面，不易渗水，消防水经生产装置周边的地沟进入事故池而不设排放口。</w:t>
            </w:r>
          </w:p>
          <w:p w14:paraId="77E85795">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c、火灾报警系统：全厂采用电话报警，报警至消防站。消防泵房与消防站设置直通电话。根据需要设置火灾自动报警装置。</w:t>
            </w:r>
          </w:p>
          <w:p w14:paraId="7275A119">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个体防护设备：根据保障现场职工安全及卫生的需要，厂区应按照《工业企业设计卫生标准》的要求配备了相应的劳动防护用品，存放位置根据其工作活动范围合理布置。</w:t>
            </w:r>
          </w:p>
          <w:p w14:paraId="621A6735">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w:t>
            </w:r>
            <w:r>
              <w:rPr>
                <w:rFonts w:hint="eastAsia" w:ascii="Times New Roman" w:hAnsi="Times New Roman" w:eastAsia="宋体" w:cs="Times New Roman"/>
                <w:lang w:val="en-US" w:eastAsia="zh-CN"/>
              </w:rPr>
              <w:t>7</w:t>
            </w:r>
            <w:r>
              <w:rPr>
                <w:rFonts w:hint="default" w:ascii="Times New Roman" w:hAnsi="Times New Roman" w:eastAsia="宋体" w:cs="Times New Roman"/>
              </w:rPr>
              <w:t>）风险应急预案</w:t>
            </w:r>
          </w:p>
          <w:p w14:paraId="6F9622B3">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通过类比事故调查，结合该厂生产工艺、管理水平和自然灾害等因素，事故风险主要来自于物料危险性和生产装置、储存装置的危险性，危害其安全的潜在危险因素主要有违反操作规程、设备缺陷、防护装置缺陷、保险装置缺陷、自然灾害、腐蚀环境、设计及施工问题等。</w:t>
            </w:r>
          </w:p>
          <w:p w14:paraId="2A4BE696">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针对上述风险事故，本项目制定了一系列事故应急预案和响应计划，并定期演练，以减少对生命、财产、公众和环境的危害。</w:t>
            </w:r>
          </w:p>
          <w:p w14:paraId="0E9AC3BF">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①应急计划区</w:t>
            </w:r>
          </w:p>
          <w:p w14:paraId="5E6B4B41">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建设单位将根据所发生的事故类型，对应相应级别的预案，并开启同级别的相应程序，应急计划区也将随之有所变化。根据本项目的实际情况和区位特点，应急计划区由小到大依次为：事故现场区、工厂及其周边区域。</w:t>
            </w:r>
          </w:p>
          <w:p w14:paraId="08C937A1">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②应急组织机构、人员</w:t>
            </w:r>
          </w:p>
          <w:p w14:paraId="3DC72472">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厂区紧急事故的组织系统机构指由关键人员组成的采取规范化行动处理紧急事故的人员和活动系统。由于建设单位人员较少，因此由生产负责人统一组织应急小组，主要职责为负责现场抢险工作的指挥。同时兼任抢险救援、通讯联络、物资调度等工作。</w:t>
            </w:r>
          </w:p>
          <w:p w14:paraId="35F709E8">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③预案分级响应条件</w:t>
            </w:r>
          </w:p>
          <w:p w14:paraId="108B13E6">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根据项目可能发生的风险事故严重性作出分级预案：日常应急救援预案、严重事故应急预案、特大事故应急预案。对日常操作事故，现场人员应当机立断，迅速的在车间内直接处理或由日常应急救援办公室负责处理，防止事故扩大，并向总指挥部汇报；对于厂内严重事故，应向总指挥部和现场指挥部及时汇报，由总指挥部协调处理，严防事故扩大，迅速遏制泄漏源扩散、流失；在发生特大事故，应立即启动应急预案，迅速准确的报警、报告地方政府和环保机构和相关主管部门，并根据实际情况，请求应急救援，统一现场指挥。</w:t>
            </w:r>
          </w:p>
          <w:p w14:paraId="1CA9B725">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④应急状态分类及应急响应程序</w:t>
            </w:r>
          </w:p>
          <w:p w14:paraId="29FF85DC">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a、三级风险防控体系</w:t>
            </w:r>
          </w:p>
          <w:p w14:paraId="31C72A9F">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本项目根据可能发生的事故具体情形分为三级防控体系，详细分类见下表：</w:t>
            </w:r>
          </w:p>
          <w:p w14:paraId="4332F9C7">
            <w:pPr>
              <w:spacing w:line="500" w:lineRule="exact"/>
              <w:ind w:firstLine="420"/>
              <w:jc w:val="center"/>
              <w:rPr>
                <w:rFonts w:hint="default" w:ascii="Times New Roman" w:hAnsi="Times New Roman" w:eastAsia="宋体" w:cs="Times New Roman"/>
                <w:b/>
                <w:bCs/>
              </w:rPr>
            </w:pPr>
            <w:r>
              <w:rPr>
                <w:rFonts w:hint="default" w:ascii="Times New Roman" w:hAnsi="Times New Roman" w:eastAsia="宋体" w:cs="Times New Roman"/>
                <w:b/>
                <w:bCs/>
              </w:rPr>
              <w:t>表4-2</w:t>
            </w:r>
            <w:r>
              <w:rPr>
                <w:rFonts w:hint="eastAsia" w:cs="Times New Roman"/>
                <w:b/>
                <w:bCs/>
                <w:lang w:val="en-US" w:eastAsia="zh-CN"/>
              </w:rPr>
              <w:t>7</w:t>
            </w:r>
            <w:r>
              <w:rPr>
                <w:rFonts w:hint="default" w:ascii="Times New Roman" w:hAnsi="Times New Roman" w:eastAsia="宋体" w:cs="Times New Roman"/>
                <w:b/>
                <w:bCs/>
              </w:rPr>
              <w:t xml:space="preserve"> 事故风险应急三级防控体系一览表</w:t>
            </w:r>
          </w:p>
          <w:tbl>
            <w:tblPr>
              <w:tblStyle w:val="16"/>
              <w:tblW w:w="79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2226"/>
              <w:gridCol w:w="2264"/>
              <w:gridCol w:w="1504"/>
              <w:gridCol w:w="782"/>
            </w:tblGrid>
            <w:tr w14:paraId="5A52AA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21" w:type="dxa"/>
                  <w:noWrap w:val="0"/>
                  <w:vAlign w:val="center"/>
                </w:tcPr>
                <w:p w14:paraId="233CA455">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等级</w:t>
                  </w:r>
                </w:p>
              </w:tc>
              <w:tc>
                <w:tcPr>
                  <w:tcW w:w="2226" w:type="dxa"/>
                  <w:noWrap w:val="0"/>
                  <w:vAlign w:val="center"/>
                </w:tcPr>
                <w:p w14:paraId="5B70AC3E">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一级防控体系</w:t>
                  </w:r>
                </w:p>
              </w:tc>
              <w:tc>
                <w:tcPr>
                  <w:tcW w:w="2264" w:type="dxa"/>
                  <w:noWrap w:val="0"/>
                  <w:vAlign w:val="center"/>
                </w:tcPr>
                <w:p w14:paraId="56AF4EE5">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一级防控体系</w:t>
                  </w:r>
                </w:p>
              </w:tc>
              <w:tc>
                <w:tcPr>
                  <w:tcW w:w="1504" w:type="dxa"/>
                  <w:noWrap w:val="0"/>
                  <w:vAlign w:val="center"/>
                </w:tcPr>
                <w:p w14:paraId="18E03DB6">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一级防控体系</w:t>
                  </w:r>
                </w:p>
              </w:tc>
              <w:tc>
                <w:tcPr>
                  <w:tcW w:w="782" w:type="dxa"/>
                  <w:noWrap w:val="0"/>
                  <w:vAlign w:val="center"/>
                </w:tcPr>
                <w:p w14:paraId="750A85C2">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其他</w:t>
                  </w:r>
                </w:p>
              </w:tc>
            </w:tr>
            <w:tr w14:paraId="57F779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21" w:type="dxa"/>
                  <w:noWrap w:val="0"/>
                  <w:vAlign w:val="center"/>
                </w:tcPr>
                <w:p w14:paraId="350D54D7">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负责人</w:t>
                  </w:r>
                </w:p>
              </w:tc>
              <w:tc>
                <w:tcPr>
                  <w:tcW w:w="2226" w:type="dxa"/>
                  <w:noWrap w:val="0"/>
                  <w:vAlign w:val="center"/>
                </w:tcPr>
                <w:p w14:paraId="24C02CA4">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总经理 </w:t>
                  </w:r>
                </w:p>
              </w:tc>
              <w:tc>
                <w:tcPr>
                  <w:tcW w:w="2264" w:type="dxa"/>
                  <w:noWrap w:val="0"/>
                  <w:vAlign w:val="center"/>
                </w:tcPr>
                <w:p w14:paraId="226F9894">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车间主任</w:t>
                  </w:r>
                </w:p>
              </w:tc>
              <w:tc>
                <w:tcPr>
                  <w:tcW w:w="1504" w:type="dxa"/>
                  <w:noWrap w:val="0"/>
                  <w:vAlign w:val="center"/>
                </w:tcPr>
                <w:p w14:paraId="59031491">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担当人</w:t>
                  </w:r>
                </w:p>
              </w:tc>
              <w:tc>
                <w:tcPr>
                  <w:tcW w:w="782" w:type="dxa"/>
                  <w:vMerge w:val="restart"/>
                  <w:noWrap w:val="0"/>
                  <w:vAlign w:val="center"/>
                </w:tcPr>
                <w:p w14:paraId="04FF030B">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其他细分/由现场管理者</w:t>
                  </w:r>
                  <w:r>
                    <w:rPr>
                      <w:rFonts w:hint="eastAsia" w:cs="Times New Roman"/>
                      <w:sz w:val="18"/>
                      <w:szCs w:val="18"/>
                      <w:lang w:eastAsia="zh-CN"/>
                    </w:rPr>
                    <w:t>自</w:t>
                  </w:r>
                  <w:r>
                    <w:rPr>
                      <w:rFonts w:hint="default" w:ascii="Times New Roman" w:hAnsi="Times New Roman" w:eastAsia="宋体" w:cs="Times New Roman"/>
                      <w:sz w:val="18"/>
                      <w:szCs w:val="18"/>
                    </w:rPr>
                    <w:t>行判断解决</w:t>
                  </w:r>
                </w:p>
              </w:tc>
            </w:tr>
            <w:tr w14:paraId="760940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21" w:type="dxa"/>
                  <w:noWrap w:val="0"/>
                  <w:vAlign w:val="center"/>
                </w:tcPr>
                <w:p w14:paraId="66A58BBE">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应急范围</w:t>
                  </w:r>
                </w:p>
              </w:tc>
              <w:tc>
                <w:tcPr>
                  <w:tcW w:w="2226" w:type="dxa"/>
                  <w:noWrap w:val="0"/>
                  <w:vAlign w:val="center"/>
                </w:tcPr>
                <w:p w14:paraId="04213ABB">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全公司</w:t>
                  </w:r>
                </w:p>
              </w:tc>
              <w:tc>
                <w:tcPr>
                  <w:tcW w:w="2264" w:type="dxa"/>
                  <w:noWrap w:val="0"/>
                  <w:vAlign w:val="center"/>
                </w:tcPr>
                <w:p w14:paraId="1F3DE5C0">
                  <w:pPr>
                    <w:jc w:val="center"/>
                    <w:rPr>
                      <w:rFonts w:hint="default" w:ascii="Times New Roman" w:hAnsi="Times New Roman" w:eastAsia="宋体" w:cs="Times New Roman"/>
                      <w:kern w:val="0"/>
                      <w:sz w:val="18"/>
                      <w:szCs w:val="18"/>
                    </w:rPr>
                  </w:pPr>
                  <w:r>
                    <w:rPr>
                      <w:rFonts w:hint="default" w:ascii="Times New Roman" w:hAnsi="Times New Roman" w:eastAsia="宋体" w:cs="Times New Roman"/>
                      <w:sz w:val="18"/>
                      <w:szCs w:val="18"/>
                    </w:rPr>
                    <w:t>车间</w:t>
                  </w:r>
                </w:p>
              </w:tc>
              <w:tc>
                <w:tcPr>
                  <w:tcW w:w="1504" w:type="dxa"/>
                  <w:noWrap w:val="0"/>
                  <w:vAlign w:val="center"/>
                </w:tcPr>
                <w:p w14:paraId="2D19EB0D">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相关部门</w:t>
                  </w:r>
                </w:p>
              </w:tc>
              <w:tc>
                <w:tcPr>
                  <w:tcW w:w="782" w:type="dxa"/>
                  <w:vMerge w:val="continue"/>
                  <w:noWrap w:val="0"/>
                  <w:vAlign w:val="center"/>
                </w:tcPr>
                <w:p w14:paraId="4CDD5AE2">
                  <w:pPr>
                    <w:jc w:val="center"/>
                    <w:rPr>
                      <w:rFonts w:hint="default" w:ascii="Times New Roman" w:hAnsi="Times New Roman" w:eastAsia="宋体" w:cs="Times New Roman"/>
                      <w:sz w:val="18"/>
                      <w:szCs w:val="18"/>
                    </w:rPr>
                  </w:pPr>
                </w:p>
              </w:tc>
            </w:tr>
            <w:tr w14:paraId="0B8E7C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21" w:type="dxa"/>
                  <w:noWrap w:val="0"/>
                  <w:vAlign w:val="center"/>
                </w:tcPr>
                <w:p w14:paraId="5610A143">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火灾、爆炸</w:t>
                  </w:r>
                </w:p>
                <w:p w14:paraId="139E0BEB">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情形</w:t>
                  </w:r>
                </w:p>
              </w:tc>
              <w:tc>
                <w:tcPr>
                  <w:tcW w:w="2226" w:type="dxa"/>
                  <w:noWrap w:val="0"/>
                  <w:vAlign w:val="center"/>
                </w:tcPr>
                <w:p w14:paraId="3CA305A5">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需要消防队支援，有向厂外扩散可能，火灾发生后5分钟灾情继续扩大</w:t>
                  </w:r>
                </w:p>
              </w:tc>
              <w:tc>
                <w:tcPr>
                  <w:tcW w:w="2264" w:type="dxa"/>
                  <w:noWrap w:val="0"/>
                  <w:vAlign w:val="center"/>
                </w:tcPr>
                <w:p w14:paraId="4C6EF15F">
                  <w:pPr>
                    <w:jc w:val="center"/>
                    <w:rPr>
                      <w:rFonts w:hint="default" w:ascii="Times New Roman" w:hAnsi="Times New Roman" w:eastAsia="宋体" w:cs="Times New Roman"/>
                      <w:kern w:val="0"/>
                      <w:sz w:val="18"/>
                      <w:szCs w:val="18"/>
                    </w:rPr>
                  </w:pPr>
                  <w:r>
                    <w:rPr>
                      <w:rFonts w:hint="default" w:ascii="Times New Roman" w:hAnsi="Times New Roman" w:eastAsia="宋体" w:cs="Times New Roman"/>
                      <w:sz w:val="18"/>
                      <w:szCs w:val="18"/>
                    </w:rPr>
                    <w:t>车间救援组启动，可在5分钟内灭火，无车间污染及扩散的可能</w:t>
                  </w:r>
                </w:p>
              </w:tc>
              <w:tc>
                <w:tcPr>
                  <w:tcW w:w="1504" w:type="dxa"/>
                  <w:noWrap w:val="0"/>
                  <w:vAlign w:val="center"/>
                </w:tcPr>
                <w:p w14:paraId="4ECBCE3B">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可用灭火器灭火</w:t>
                  </w:r>
                </w:p>
              </w:tc>
              <w:tc>
                <w:tcPr>
                  <w:tcW w:w="782" w:type="dxa"/>
                  <w:vMerge w:val="continue"/>
                  <w:noWrap w:val="0"/>
                  <w:vAlign w:val="center"/>
                </w:tcPr>
                <w:p w14:paraId="74AEA63B">
                  <w:pPr>
                    <w:jc w:val="center"/>
                    <w:rPr>
                      <w:rFonts w:hint="default" w:ascii="Times New Roman" w:hAnsi="Times New Roman" w:eastAsia="宋体" w:cs="Times New Roman"/>
                      <w:sz w:val="18"/>
                      <w:szCs w:val="18"/>
                    </w:rPr>
                  </w:pPr>
                </w:p>
              </w:tc>
            </w:tr>
            <w:tr w14:paraId="336646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21" w:type="dxa"/>
                  <w:noWrap w:val="0"/>
                  <w:vAlign w:val="center"/>
                </w:tcPr>
                <w:p w14:paraId="7354DD4F">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伤亡</w:t>
                  </w:r>
                </w:p>
              </w:tc>
              <w:tc>
                <w:tcPr>
                  <w:tcW w:w="2226" w:type="dxa"/>
                  <w:noWrap w:val="0"/>
                  <w:vAlign w:val="center"/>
                </w:tcPr>
                <w:p w14:paraId="185FEBED">
                  <w:pPr>
                    <w:pStyle w:val="24"/>
                    <w:rPr>
                      <w:rFonts w:hint="default" w:ascii="Times New Roman" w:hAnsi="Times New Roman" w:eastAsia="宋体" w:cs="Times New Roman"/>
                      <w:sz w:val="18"/>
                      <w:szCs w:val="18"/>
                    </w:rPr>
                  </w:pPr>
                  <w:r>
                    <w:rPr>
                      <w:rFonts w:hint="default" w:ascii="Times New Roman" w:hAnsi="Times New Roman" w:eastAsia="宋体" w:cs="Times New Roman"/>
                      <w:snapToGrid w:val="0"/>
                      <w:sz w:val="18"/>
                      <w:szCs w:val="18"/>
                    </w:rPr>
                    <w:t>死亡事故/重大伤亡人</w:t>
                  </w:r>
                </w:p>
              </w:tc>
              <w:tc>
                <w:tcPr>
                  <w:tcW w:w="2264" w:type="dxa"/>
                  <w:noWrap w:val="0"/>
                  <w:vAlign w:val="center"/>
                </w:tcPr>
                <w:p w14:paraId="46088651">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工伤</w:t>
                  </w:r>
                </w:p>
              </w:tc>
              <w:tc>
                <w:tcPr>
                  <w:tcW w:w="1504" w:type="dxa"/>
                  <w:noWrap w:val="0"/>
                  <w:vAlign w:val="center"/>
                </w:tcPr>
                <w:p w14:paraId="4B8AF95E">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轻伤</w:t>
                  </w:r>
                </w:p>
              </w:tc>
              <w:tc>
                <w:tcPr>
                  <w:tcW w:w="782" w:type="dxa"/>
                  <w:vMerge w:val="continue"/>
                  <w:noWrap w:val="0"/>
                  <w:vAlign w:val="center"/>
                </w:tcPr>
                <w:p w14:paraId="7BACDF98">
                  <w:pPr>
                    <w:jc w:val="center"/>
                    <w:rPr>
                      <w:rFonts w:hint="default" w:ascii="Times New Roman" w:hAnsi="Times New Roman" w:eastAsia="宋体" w:cs="Times New Roman"/>
                      <w:sz w:val="18"/>
                      <w:szCs w:val="18"/>
                    </w:rPr>
                  </w:pPr>
                </w:p>
              </w:tc>
            </w:tr>
            <w:tr w14:paraId="628A58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21" w:type="dxa"/>
                  <w:noWrap w:val="0"/>
                  <w:vAlign w:val="center"/>
                </w:tcPr>
                <w:p w14:paraId="1E0D8017">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环境事故</w:t>
                  </w:r>
                </w:p>
              </w:tc>
              <w:tc>
                <w:tcPr>
                  <w:tcW w:w="2226" w:type="dxa"/>
                  <w:noWrap w:val="0"/>
                  <w:vAlign w:val="center"/>
                </w:tcPr>
                <w:p w14:paraId="3A642BE2">
                  <w:pPr>
                    <w:pStyle w:val="24"/>
                    <w:rPr>
                      <w:rFonts w:hint="default" w:ascii="Times New Roman" w:hAnsi="Times New Roman" w:eastAsia="宋体" w:cs="Times New Roman"/>
                      <w:snapToGrid w:val="0"/>
                      <w:sz w:val="18"/>
                      <w:szCs w:val="18"/>
                    </w:rPr>
                  </w:pPr>
                  <w:r>
                    <w:rPr>
                      <w:rFonts w:hint="default" w:ascii="Times New Roman" w:hAnsi="Times New Roman" w:eastAsia="宋体" w:cs="Times New Roman"/>
                      <w:snapToGrid w:val="0"/>
                      <w:sz w:val="18"/>
                      <w:szCs w:val="18"/>
                    </w:rPr>
                    <w:t>环保设备运行中断涉及厂区以外舆论</w:t>
                  </w:r>
                </w:p>
              </w:tc>
              <w:tc>
                <w:tcPr>
                  <w:tcW w:w="2264" w:type="dxa"/>
                  <w:noWrap w:val="0"/>
                  <w:vAlign w:val="center"/>
                </w:tcPr>
                <w:p w14:paraId="16FB9329">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环境设备受损/部分中断，系统运行中断</w:t>
                  </w:r>
                </w:p>
              </w:tc>
              <w:tc>
                <w:tcPr>
                  <w:tcW w:w="1504" w:type="dxa"/>
                  <w:noWrap w:val="0"/>
                  <w:vAlign w:val="center"/>
                </w:tcPr>
                <w:p w14:paraId="46D54012">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局部污染物外泄</w:t>
                  </w:r>
                </w:p>
              </w:tc>
              <w:tc>
                <w:tcPr>
                  <w:tcW w:w="782" w:type="dxa"/>
                  <w:vMerge w:val="continue"/>
                  <w:noWrap w:val="0"/>
                  <w:vAlign w:val="center"/>
                </w:tcPr>
                <w:p w14:paraId="527763F0">
                  <w:pPr>
                    <w:jc w:val="center"/>
                    <w:rPr>
                      <w:rFonts w:hint="default" w:ascii="Times New Roman" w:hAnsi="Times New Roman" w:eastAsia="宋体" w:cs="Times New Roman"/>
                      <w:sz w:val="18"/>
                      <w:szCs w:val="18"/>
                    </w:rPr>
                  </w:pPr>
                </w:p>
              </w:tc>
            </w:tr>
            <w:tr w14:paraId="4C2761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221" w:type="dxa"/>
                  <w:noWrap w:val="0"/>
                  <w:vAlign w:val="center"/>
                </w:tcPr>
                <w:p w14:paraId="61A90817">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停电事故</w:t>
                  </w:r>
                </w:p>
              </w:tc>
              <w:tc>
                <w:tcPr>
                  <w:tcW w:w="2226" w:type="dxa"/>
                  <w:noWrap w:val="0"/>
                  <w:vAlign w:val="center"/>
                </w:tcPr>
                <w:p w14:paraId="21741645">
                  <w:pPr>
                    <w:pStyle w:val="24"/>
                    <w:rPr>
                      <w:rFonts w:hint="default" w:ascii="Times New Roman" w:hAnsi="Times New Roman" w:eastAsia="宋体" w:cs="Times New Roman"/>
                      <w:snapToGrid w:val="0"/>
                      <w:sz w:val="18"/>
                      <w:szCs w:val="18"/>
                    </w:rPr>
                  </w:pPr>
                  <w:r>
                    <w:rPr>
                      <w:rFonts w:hint="default" w:ascii="Times New Roman" w:hAnsi="Times New Roman" w:eastAsia="宋体" w:cs="Times New Roman"/>
                      <w:snapToGrid w:val="0"/>
                      <w:sz w:val="18"/>
                      <w:szCs w:val="18"/>
                    </w:rPr>
                    <w:t>全厂停电</w:t>
                  </w:r>
                </w:p>
              </w:tc>
              <w:tc>
                <w:tcPr>
                  <w:tcW w:w="2264" w:type="dxa"/>
                  <w:noWrap w:val="0"/>
                  <w:vAlign w:val="center"/>
                </w:tcPr>
                <w:p w14:paraId="2ADCD457">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局部停电</w:t>
                  </w:r>
                </w:p>
              </w:tc>
              <w:tc>
                <w:tcPr>
                  <w:tcW w:w="1504" w:type="dxa"/>
                  <w:noWrap w:val="0"/>
                  <w:vAlign w:val="center"/>
                </w:tcPr>
                <w:p w14:paraId="39536959">
                  <w:pPr>
                    <w:pStyle w:val="24"/>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瞬间停电</w:t>
                  </w:r>
                </w:p>
              </w:tc>
              <w:tc>
                <w:tcPr>
                  <w:tcW w:w="782" w:type="dxa"/>
                  <w:vMerge w:val="continue"/>
                  <w:noWrap w:val="0"/>
                  <w:vAlign w:val="center"/>
                </w:tcPr>
                <w:p w14:paraId="34D3D3A2">
                  <w:pPr>
                    <w:jc w:val="center"/>
                    <w:rPr>
                      <w:rFonts w:hint="default" w:ascii="Times New Roman" w:hAnsi="Times New Roman" w:eastAsia="宋体" w:cs="Times New Roman"/>
                      <w:sz w:val="18"/>
                      <w:szCs w:val="18"/>
                    </w:rPr>
                  </w:pPr>
                </w:p>
              </w:tc>
            </w:tr>
          </w:tbl>
          <w:p w14:paraId="6256D5C0">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b、应急响应程序</w:t>
            </w:r>
          </w:p>
          <w:p w14:paraId="67F63306">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在生产过程中，生产车间和储存区发生小规模火灾事故后，岗位操作人员应立即向生产主管、值班长、厂部值班人员汇报并采取相应措施，予以处理。</w:t>
            </w:r>
          </w:p>
          <w:p w14:paraId="59BD2C5D">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当处理无效，火势扩大趋势时，应及时向公司主管报告；公司主管在接到报告后，下达按应急救援预案处置的指令，立即通知公司应急救援领导小组成员到达现场，并迅速成立应急指挥部，各专业组按各自职责开展应急救援工作。</w:t>
            </w:r>
          </w:p>
          <w:p w14:paraId="0F7D74F8">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当发生重大事故，难以控制时，指挥部成员通知各自所在部门，按专业对口迅速向工业集中区安全部门以及当地安监局、公安局、环保局、卫生局等上级领导机关报告事故情况。</w:t>
            </w:r>
          </w:p>
          <w:p w14:paraId="71CC7B2B">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⑤应急设施、设备、材料</w:t>
            </w:r>
          </w:p>
          <w:p w14:paraId="345A7140">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根据项目可能发生的风险事故，在厂内配备各种生产性卫生设施、个人防护用品，如：灭火器、劳保用品，保证应急预案实施的物质条件。</w:t>
            </w:r>
          </w:p>
          <w:p w14:paraId="67C795B4">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⑥应急通讯、通知和交通</w:t>
            </w:r>
          </w:p>
          <w:p w14:paraId="37EF72BE">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厂内公布负责人的紧急通讯号码，确保事故讯息的快速上报。调度或总机在接到报警后按照预案通知应急救援指挥部，并通知各专业队各司其责，火速赶赴现场。指挥部成员根据事故类别迅速向总公司主管部门、公安、劳动等上级领导机关报告。</w:t>
            </w:r>
          </w:p>
          <w:p w14:paraId="4F49428F">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成立交通警戒组，负责布置安全警戒，配备传呼系统，在事故发生时，及时通知警戒组负责部门。禁止无关人员和车辆进入危险区域。负责厂区内交通管制；负责对现场及周围人员进行防护指挥；负责指引社会援助消防车辆。</w:t>
            </w:r>
          </w:p>
          <w:p w14:paraId="72C136BC">
            <w:pPr>
              <w:spacing w:line="500" w:lineRule="exact"/>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8</w:t>
            </w:r>
            <w:r>
              <w:rPr>
                <w:rFonts w:hint="eastAsia" w:ascii="Times New Roman" w:hAnsi="Times New Roman" w:eastAsia="宋体" w:cs="Times New Roman"/>
                <w:lang w:eastAsia="zh-CN"/>
              </w:rPr>
              <w:t>）建立与</w:t>
            </w:r>
            <w:r>
              <w:rPr>
                <w:rFonts w:hint="eastAsia" w:cs="Times New Roman"/>
                <w:color w:val="000000"/>
                <w:kern w:val="0"/>
                <w:szCs w:val="21"/>
                <w:lang w:val="en-US" w:eastAsia="zh-CN" w:bidi="ar"/>
              </w:rPr>
              <w:t>刘桥镇</w:t>
            </w:r>
            <w:r>
              <w:rPr>
                <w:rFonts w:hint="eastAsia" w:ascii="Times New Roman" w:hAnsi="Times New Roman" w:eastAsia="宋体" w:cs="Times New Roman"/>
                <w:lang w:eastAsia="zh-CN"/>
              </w:rPr>
              <w:t>对接、联动的环境风险防范体系</w:t>
            </w:r>
          </w:p>
          <w:p w14:paraId="7549C9AC">
            <w:pPr>
              <w:spacing w:line="500" w:lineRule="exact"/>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企业环境风险防范应建立与</w:t>
            </w:r>
            <w:r>
              <w:rPr>
                <w:rFonts w:hint="eastAsia" w:cs="Times New Roman"/>
                <w:color w:val="000000"/>
                <w:kern w:val="0"/>
                <w:szCs w:val="21"/>
                <w:lang w:val="en-US" w:eastAsia="zh-CN" w:bidi="ar"/>
              </w:rPr>
              <w:t>刘桥镇</w:t>
            </w:r>
            <w:r>
              <w:rPr>
                <w:rFonts w:hint="eastAsia" w:ascii="Times New Roman" w:hAnsi="Times New Roman" w:eastAsia="宋体" w:cs="Times New Roman"/>
                <w:lang w:eastAsia="zh-CN"/>
              </w:rPr>
              <w:t>对接、联动的风险防范体系，可以从以下几个方面进行：</w:t>
            </w:r>
          </w:p>
          <w:p w14:paraId="5AC9E32C">
            <w:pPr>
              <w:spacing w:line="500" w:lineRule="exact"/>
              <w:ind w:firstLine="420" w:firstLineChars="200"/>
              <w:rPr>
                <w:rFonts w:ascii="Times New Roman" w:hAnsi="Times New Roman" w:eastAsia="宋体" w:cs="Times New Roman"/>
              </w:rPr>
            </w:pPr>
            <w:r>
              <w:rPr>
                <w:rFonts w:hint="default" w:ascii="Times New Roman" w:hAnsi="Times New Roman" w:eastAsia="宋体" w:cs="Times New Roman"/>
                <w:lang w:val="en-US" w:eastAsia="zh-CN"/>
              </w:rPr>
              <w:t>1</w:t>
            </w:r>
            <w:r>
              <w:rPr>
                <w:rFonts w:hint="eastAsia" w:ascii="Times New Roman" w:hAnsi="Times New Roman" w:eastAsia="宋体" w:cs="Times New Roman"/>
                <w:lang w:val="en-US" w:eastAsia="zh-CN"/>
              </w:rPr>
              <w:t xml:space="preserve">）应急组织机构、人员的衔接 </w:t>
            </w:r>
          </w:p>
          <w:p w14:paraId="7D93FCDC">
            <w:pPr>
              <w:spacing w:line="500" w:lineRule="exact"/>
              <w:ind w:firstLine="420" w:firstLineChars="200"/>
              <w:rPr>
                <w:rFonts w:ascii="Times New Roman" w:hAnsi="Times New Roman" w:eastAsia="宋体" w:cs="Times New Roman"/>
                <w:color w:val="000000"/>
                <w:kern w:val="0"/>
                <w:szCs w:val="21"/>
                <w:lang w:bidi="ar"/>
              </w:rPr>
            </w:pPr>
            <w:r>
              <w:rPr>
                <w:rFonts w:hint="eastAsia" w:ascii="Times New Roman" w:hAnsi="Times New Roman" w:eastAsia="宋体" w:cs="Times New Roman"/>
                <w:lang w:val="en-US" w:eastAsia="zh-CN"/>
              </w:rPr>
              <w:t>当发生风险事故时，项目对外联络组应及时承担</w:t>
            </w:r>
            <w:r>
              <w:rPr>
                <w:rFonts w:hint="eastAsia" w:ascii="Times New Roman" w:hAnsi="Times New Roman" w:eastAsia="宋体" w:cs="Times New Roman"/>
                <w:color w:val="000000"/>
                <w:kern w:val="0"/>
                <w:szCs w:val="21"/>
                <w:lang w:val="en-US" w:eastAsia="zh-CN" w:bidi="ar"/>
              </w:rPr>
              <w:t xml:space="preserve">起与当地区域或各职能管理部门应急指挥机构的联系工作，及时将事故发生情况及最新进展向有关部门汇报，并将上级指挥机构的命令及时向项目应急指挥小组汇报，编制环境污染事故报告，并将报告向上级部门汇报。 </w:t>
            </w:r>
          </w:p>
          <w:p w14:paraId="4E2D6B2B">
            <w:pPr>
              <w:widowControl/>
              <w:spacing w:line="500" w:lineRule="exact"/>
              <w:ind w:firstLine="420" w:firstLineChars="200"/>
              <w:jc w:val="left"/>
              <w:rPr>
                <w:rFonts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w:t>
            </w:r>
            <w:r>
              <w:rPr>
                <w:rFonts w:hint="eastAsia" w:ascii="Times New Roman" w:hAnsi="Times New Roman" w:eastAsia="宋体" w:cs="Times New Roman"/>
                <w:color w:val="000000"/>
                <w:kern w:val="0"/>
                <w:szCs w:val="21"/>
                <w:lang w:val="en-US" w:eastAsia="zh-CN" w:bidi="ar"/>
              </w:rPr>
              <w:t xml:space="preserve">）预案分级响应的衔接 </w:t>
            </w:r>
          </w:p>
          <w:p w14:paraId="5709488B">
            <w:pPr>
              <w:widowControl/>
              <w:spacing w:line="500" w:lineRule="exact"/>
              <w:ind w:firstLine="420" w:firstLineChars="200"/>
              <w:jc w:val="left"/>
              <w:rPr>
                <w:rFonts w:hint="eastAsia"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①一般污染事故：在污染事故现场处置妥当后，经应急指挥小组研究确定后，向当地环保部门和</w:t>
            </w:r>
            <w:r>
              <w:rPr>
                <w:rFonts w:hint="eastAsia" w:cs="Times New Roman"/>
                <w:color w:val="000000"/>
                <w:kern w:val="0"/>
                <w:szCs w:val="21"/>
                <w:lang w:val="en-US" w:eastAsia="zh-CN" w:bidi="ar"/>
              </w:rPr>
              <w:t>刘桥镇</w:t>
            </w:r>
            <w:r>
              <w:rPr>
                <w:rFonts w:hint="eastAsia" w:ascii="Times New Roman" w:hAnsi="Times New Roman" w:eastAsia="宋体" w:cs="Times New Roman"/>
                <w:color w:val="000000"/>
                <w:kern w:val="0"/>
                <w:szCs w:val="21"/>
                <w:lang w:val="en-US" w:eastAsia="zh-CN" w:bidi="ar"/>
              </w:rPr>
              <w:t>事故应急指挥中心报告处理结果。</w:t>
            </w:r>
          </w:p>
          <w:p w14:paraId="7042B365">
            <w:pPr>
              <w:widowControl/>
              <w:spacing w:line="500" w:lineRule="exact"/>
              <w:ind w:firstLine="420" w:firstLineChars="200"/>
              <w:jc w:val="left"/>
              <w:rPr>
                <w:rFonts w:hint="eastAsia"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②较大或重大污染事故：应急指挥小组在接到事故报警后，及时向</w:t>
            </w:r>
            <w:r>
              <w:rPr>
                <w:rFonts w:hint="eastAsia" w:cs="Times New Roman"/>
                <w:color w:val="000000"/>
                <w:kern w:val="0"/>
                <w:szCs w:val="21"/>
                <w:lang w:val="en-US" w:eastAsia="zh-CN" w:bidi="ar"/>
              </w:rPr>
              <w:t>刘桥镇</w:t>
            </w:r>
            <w:r>
              <w:rPr>
                <w:rFonts w:hint="eastAsia" w:ascii="Times New Roman" w:hAnsi="Times New Roman" w:eastAsia="宋体" w:cs="Times New Roman"/>
                <w:color w:val="000000"/>
                <w:kern w:val="0"/>
                <w:szCs w:val="21"/>
                <w:lang w:val="en-US" w:eastAsia="zh-CN" w:bidi="ar"/>
              </w:rPr>
              <w:t>事故应急指挥部、通州区应急指挥中心报告，并请求支援；</w:t>
            </w:r>
            <w:r>
              <w:rPr>
                <w:rFonts w:hint="eastAsia" w:cs="Times New Roman"/>
                <w:color w:val="000000"/>
                <w:kern w:val="0"/>
                <w:szCs w:val="21"/>
                <w:lang w:val="en-US" w:eastAsia="zh-CN" w:bidi="ar"/>
              </w:rPr>
              <w:t>刘桥镇</w:t>
            </w:r>
            <w:r>
              <w:rPr>
                <w:rFonts w:hint="eastAsia" w:ascii="Times New Roman" w:hAnsi="Times New Roman" w:eastAsia="宋体" w:cs="Times New Roman"/>
                <w:color w:val="000000"/>
                <w:kern w:val="0"/>
                <w:szCs w:val="21"/>
                <w:lang w:val="en-US" w:eastAsia="zh-CN" w:bidi="ar"/>
              </w:rPr>
              <w:t>应急指挥部进行紧急动员，适时启动区域的环境污染事故应急预案迅速调集救援力量，指挥各</w:t>
            </w:r>
            <w:r>
              <w:rPr>
                <w:rFonts w:hint="eastAsia" w:cs="Times New Roman"/>
                <w:color w:val="000000"/>
                <w:kern w:val="0"/>
                <w:szCs w:val="21"/>
                <w:lang w:val="en-US" w:eastAsia="zh-CN" w:bidi="ar"/>
              </w:rPr>
              <w:t>刘桥镇</w:t>
            </w:r>
            <w:r>
              <w:rPr>
                <w:rFonts w:hint="eastAsia" w:ascii="Times New Roman" w:hAnsi="Times New Roman" w:eastAsia="宋体" w:cs="Times New Roman"/>
                <w:color w:val="000000"/>
                <w:kern w:val="0"/>
                <w:szCs w:val="21"/>
                <w:lang w:val="en-US" w:eastAsia="zh-CN" w:bidi="ar"/>
              </w:rPr>
              <w:t>成员单位、相关职能部门，根据应急预案组成各个应急行动小组，按照各自的职责和现场救援具体方案开展抢险救援工作，厂内应急小组听从开发区现场指挥部的领导。应急指挥中心同时将有关进展情况向通州区、南通市应急指挥部汇报；污染事故基本控制稳定后，应急指挥中心将根据专家意见，迅速调集后援力量展开事故处置工作，现场应急处理结束。当污染事故有进一步扩大、发展趋势，或因事故衍生问题造成重大社会不稳定事态，应急指挥中心将根据事态发展，及时调整应急响应级别，发布预警信息，同时向通州区应急指挥部、南通市应急指挥部和省环境污染事故应急指挥部请求援助。</w:t>
            </w:r>
          </w:p>
          <w:p w14:paraId="24883B43">
            <w:pPr>
              <w:widowControl/>
              <w:spacing w:line="500" w:lineRule="exact"/>
              <w:ind w:firstLine="420" w:firstLineChars="200"/>
              <w:jc w:val="left"/>
              <w:rPr>
                <w:rFonts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3</w:t>
            </w:r>
            <w:r>
              <w:rPr>
                <w:rFonts w:hint="eastAsia" w:ascii="Times New Roman" w:hAnsi="Times New Roman" w:eastAsia="宋体" w:cs="Times New Roman"/>
                <w:color w:val="000000"/>
                <w:kern w:val="0"/>
                <w:szCs w:val="21"/>
                <w:lang w:val="en-US" w:eastAsia="zh-CN" w:bidi="ar"/>
              </w:rPr>
              <w:t>）应急</w:t>
            </w:r>
            <w:r>
              <w:rPr>
                <w:rFonts w:hint="eastAsia" w:cs="Times New Roman"/>
                <w:color w:val="000000"/>
                <w:kern w:val="0"/>
                <w:szCs w:val="21"/>
                <w:lang w:val="en-US" w:eastAsia="zh-CN" w:bidi="ar"/>
              </w:rPr>
              <w:t>救</w:t>
            </w:r>
            <w:r>
              <w:rPr>
                <w:rFonts w:hint="eastAsia" w:ascii="Times New Roman" w:hAnsi="Times New Roman" w:eastAsia="宋体" w:cs="Times New Roman"/>
                <w:color w:val="000000"/>
                <w:kern w:val="0"/>
                <w:szCs w:val="21"/>
                <w:lang w:val="en-US" w:eastAsia="zh-CN" w:bidi="ar"/>
              </w:rPr>
              <w:t xml:space="preserve">援保障的衔接 </w:t>
            </w:r>
          </w:p>
          <w:p w14:paraId="19EAE884">
            <w:pPr>
              <w:widowControl/>
              <w:spacing w:line="500" w:lineRule="exact"/>
              <w:ind w:firstLine="420" w:firstLineChars="20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val="en-US" w:eastAsia="zh-CN" w:bidi="ar"/>
              </w:rPr>
              <w:t>①单位互助体系：建设单位和周边企业建立良好的应急互助关系，在重大事故发生后，相互支援。②公共援助力量：厂区还可以联系通州区公安消防队、医院、公安、交通、安监局以及各相关职能部门，请求救援力量、设备的支持。</w:t>
            </w:r>
          </w:p>
          <w:p w14:paraId="42C15512">
            <w:pPr>
              <w:widowControl/>
              <w:spacing w:line="500" w:lineRule="exact"/>
              <w:ind w:firstLine="420" w:firstLineChars="200"/>
              <w:jc w:val="left"/>
              <w:rPr>
                <w:rFonts w:hint="eastAsia"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③专家援助：企业可建立风险事故救援专家库，紧急情况下可获取救援支持。</w:t>
            </w:r>
          </w:p>
          <w:p w14:paraId="1D103D52">
            <w:pPr>
              <w:widowControl/>
              <w:spacing w:line="500" w:lineRule="exact"/>
              <w:ind w:firstLine="420" w:firstLineChars="200"/>
              <w:jc w:val="left"/>
              <w:rPr>
                <w:rFonts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4</w:t>
            </w:r>
            <w:r>
              <w:rPr>
                <w:rFonts w:hint="eastAsia" w:ascii="Times New Roman" w:hAnsi="Times New Roman" w:eastAsia="宋体" w:cs="Times New Roman"/>
                <w:color w:val="000000"/>
                <w:kern w:val="0"/>
                <w:szCs w:val="21"/>
                <w:lang w:val="en-US" w:eastAsia="zh-CN" w:bidi="ar"/>
              </w:rPr>
              <w:t xml:space="preserve">）应急培训计划的衔接 </w:t>
            </w:r>
          </w:p>
          <w:p w14:paraId="1DE5789D">
            <w:pPr>
              <w:widowControl/>
              <w:spacing w:line="500" w:lineRule="exact"/>
              <w:ind w:firstLine="420" w:firstLineChars="200"/>
              <w:jc w:val="left"/>
              <w:rPr>
                <w:rFonts w:hint="eastAsia"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企业在开展应急培训计划的同时，还应积极配合</w:t>
            </w:r>
            <w:r>
              <w:rPr>
                <w:rFonts w:hint="eastAsia" w:cs="Times New Roman"/>
                <w:color w:val="000000"/>
                <w:kern w:val="0"/>
                <w:szCs w:val="21"/>
                <w:lang w:val="en-US" w:eastAsia="zh-CN" w:bidi="ar"/>
              </w:rPr>
              <w:t>刘桥镇</w:t>
            </w:r>
            <w:r>
              <w:rPr>
                <w:rFonts w:hint="eastAsia" w:ascii="Times New Roman" w:hAnsi="Times New Roman" w:eastAsia="宋体" w:cs="Times New Roman"/>
                <w:color w:val="000000"/>
                <w:kern w:val="0"/>
                <w:szCs w:val="21"/>
                <w:lang w:val="en-US" w:eastAsia="zh-CN" w:bidi="ar"/>
              </w:rPr>
              <w:t>开展的应急培训计划，在发生风险事故时，及时与</w:t>
            </w:r>
            <w:r>
              <w:rPr>
                <w:rFonts w:hint="eastAsia" w:cs="Times New Roman"/>
                <w:color w:val="000000"/>
                <w:kern w:val="0"/>
                <w:szCs w:val="21"/>
                <w:lang w:val="en-US" w:eastAsia="zh-CN" w:bidi="ar"/>
              </w:rPr>
              <w:t>刘桥镇</w:t>
            </w:r>
            <w:r>
              <w:rPr>
                <w:rFonts w:hint="eastAsia" w:ascii="Times New Roman" w:hAnsi="Times New Roman" w:eastAsia="宋体" w:cs="Times New Roman"/>
                <w:color w:val="000000"/>
                <w:kern w:val="0"/>
                <w:szCs w:val="21"/>
                <w:lang w:val="en-US" w:eastAsia="zh-CN" w:bidi="ar"/>
              </w:rPr>
              <w:t>应急组织取得联系。</w:t>
            </w:r>
          </w:p>
          <w:p w14:paraId="5939DBA0">
            <w:pPr>
              <w:widowControl/>
              <w:spacing w:line="500" w:lineRule="exact"/>
              <w:ind w:firstLine="420" w:firstLineChars="200"/>
              <w:jc w:val="left"/>
              <w:rPr>
                <w:rFonts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5</w:t>
            </w:r>
            <w:r>
              <w:rPr>
                <w:rFonts w:hint="eastAsia" w:ascii="Times New Roman" w:hAnsi="Times New Roman" w:eastAsia="宋体" w:cs="Times New Roman"/>
                <w:color w:val="000000"/>
                <w:kern w:val="0"/>
                <w:szCs w:val="21"/>
                <w:lang w:val="en-US" w:eastAsia="zh-CN" w:bidi="ar"/>
              </w:rPr>
              <w:t xml:space="preserve">）信息通报系统 </w:t>
            </w:r>
          </w:p>
          <w:p w14:paraId="7AC5AD3E">
            <w:pPr>
              <w:widowControl/>
              <w:spacing w:line="500" w:lineRule="exact"/>
              <w:ind w:firstLine="420" w:firstLineChars="200"/>
              <w:jc w:val="left"/>
            </w:pPr>
            <w:r>
              <w:rPr>
                <w:rFonts w:hint="eastAsia" w:ascii="Times New Roman" w:hAnsi="Times New Roman" w:eastAsia="宋体" w:cs="Times New Roman"/>
                <w:color w:val="000000"/>
                <w:kern w:val="0"/>
                <w:szCs w:val="21"/>
                <w:lang w:val="en-US" w:eastAsia="zh-CN" w:bidi="ar"/>
              </w:rPr>
              <w:t>建设畅通的信息通道，公司应急指挥部必须与周边企业、园区管委会等保持</w:t>
            </w:r>
            <w:r>
              <w:rPr>
                <w:rFonts w:hint="default" w:ascii="Times New Roman" w:hAnsi="Times New Roman" w:eastAsia="宋体" w:cs="Times New Roman"/>
                <w:color w:val="000000"/>
                <w:kern w:val="0"/>
                <w:szCs w:val="21"/>
                <w:lang w:val="en-US" w:eastAsia="zh-CN" w:bidi="ar"/>
              </w:rPr>
              <w:t>24h</w:t>
            </w:r>
            <w:r>
              <w:rPr>
                <w:rFonts w:hint="eastAsia" w:ascii="Times New Roman" w:hAnsi="Times New Roman" w:eastAsia="宋体" w:cs="Times New Roman"/>
                <w:color w:val="000000"/>
                <w:kern w:val="0"/>
                <w:szCs w:val="21"/>
                <w:lang w:val="en-US" w:eastAsia="zh-CN" w:bidi="ar"/>
              </w:rPr>
              <w:t>的电话联系。一旦发生风险事故，可在第一时间通知相关单位组织居民疏散、搬离。</w:t>
            </w:r>
          </w:p>
          <w:p w14:paraId="47F9A404">
            <w:pPr>
              <w:widowControl/>
              <w:spacing w:line="500" w:lineRule="exact"/>
              <w:ind w:firstLine="420" w:firstLineChars="200"/>
              <w:jc w:val="left"/>
              <w:rPr>
                <w:rFonts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6</w:t>
            </w:r>
            <w:r>
              <w:rPr>
                <w:rFonts w:hint="eastAsia" w:ascii="Times New Roman" w:hAnsi="Times New Roman" w:eastAsia="宋体" w:cs="Times New Roman"/>
                <w:color w:val="000000"/>
                <w:kern w:val="0"/>
                <w:szCs w:val="21"/>
                <w:lang w:val="en-US" w:eastAsia="zh-CN" w:bidi="ar"/>
              </w:rPr>
              <w:t xml:space="preserve">）公众教育的衔接 </w:t>
            </w:r>
          </w:p>
          <w:p w14:paraId="6A67B7CE">
            <w:pPr>
              <w:widowControl/>
              <w:spacing w:line="500" w:lineRule="exact"/>
              <w:ind w:firstLine="420" w:firstLineChars="200"/>
              <w:jc w:val="left"/>
              <w:rPr>
                <w:rFonts w:hint="default"/>
                <w:lang w:val="en-US" w:eastAsia="zh-CN"/>
              </w:rPr>
            </w:pPr>
            <w:r>
              <w:rPr>
                <w:rFonts w:hint="eastAsia" w:ascii="Times New Roman" w:hAnsi="Times New Roman" w:eastAsia="宋体" w:cs="Times New Roman"/>
                <w:color w:val="000000"/>
                <w:kern w:val="0"/>
                <w:szCs w:val="21"/>
                <w:lang w:val="en-US" w:eastAsia="zh-CN" w:bidi="ar"/>
              </w:rPr>
              <w:t>企业对厂内和附近地区公众开展教育、培训时，应加强与周边公众和园区相关单位的交流，如发生事故，可更好的疏散，防护污染。</w:t>
            </w:r>
          </w:p>
          <w:p w14:paraId="544DBAEC">
            <w:pPr>
              <w:numPr>
                <w:ilvl w:val="0"/>
                <w:numId w:val="0"/>
              </w:numPr>
              <w:spacing w:line="500" w:lineRule="exact"/>
              <w:ind w:firstLine="420" w:firstLineChars="200"/>
              <w:jc w:val="both"/>
              <w:rPr>
                <w:rFonts w:hint="default" w:ascii="Times New Roman" w:hAnsi="Times New Roman" w:eastAsia="宋体" w:cs="Times New Roman"/>
                <w:bCs/>
                <w:szCs w:val="21"/>
              </w:rPr>
            </w:pPr>
            <w:r>
              <w:rPr>
                <w:rFonts w:hint="default" w:ascii="Times New Roman" w:hAnsi="Times New Roman" w:eastAsia="宋体" w:cs="Times New Roman"/>
                <w:bCs/>
                <w:szCs w:val="21"/>
              </w:rPr>
              <w:t>（</w:t>
            </w:r>
            <w:r>
              <w:rPr>
                <w:rFonts w:hint="eastAsia" w:ascii="Times New Roman" w:hAnsi="Times New Roman" w:eastAsia="宋体" w:cs="Times New Roman"/>
                <w:bCs/>
                <w:szCs w:val="21"/>
                <w:lang w:val="en-US" w:eastAsia="zh-CN"/>
              </w:rPr>
              <w:t>9</w:t>
            </w:r>
            <w:r>
              <w:rPr>
                <w:rFonts w:hint="default" w:ascii="Times New Roman" w:hAnsi="Times New Roman" w:eastAsia="宋体" w:cs="Times New Roman"/>
                <w:bCs/>
                <w:szCs w:val="21"/>
              </w:rPr>
              <w:t>）与《全省生态环境安全与应急管理“强基提能”三年行动计划》（苏环发〔2023〕5 号）、</w:t>
            </w:r>
            <w:r>
              <w:rPr>
                <w:rFonts w:hint="eastAsia"/>
                <w:b w:val="0"/>
                <w:bCs w:val="0"/>
                <w:lang w:val="en-US" w:eastAsia="zh-CN"/>
              </w:rPr>
              <w:t>与市生态环境局关于印发《南通市生态环境安全与应急管理“强基提能”三年行动实施方案》的通知（通环办〔2023〕160号）</w:t>
            </w:r>
            <w:r>
              <w:rPr>
                <w:rFonts w:hint="default" w:ascii="Times New Roman" w:hAnsi="Times New Roman" w:eastAsia="宋体" w:cs="Times New Roman"/>
                <w:bCs/>
                <w:szCs w:val="21"/>
              </w:rPr>
              <w:t>相符性分析</w:t>
            </w:r>
          </w:p>
          <w:p w14:paraId="78945140">
            <w:pPr>
              <w:adjustRightInd w:val="0"/>
              <w:snapToGrid w:val="0"/>
              <w:spacing w:line="500" w:lineRule="exact"/>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本项目建成后拟建立企业环境安全责任“三落实三必须”机制。落实主要负责人环境安全第一责任人责任，对企业环境风险物质和点位全部知晓、风险防控体系全部明晰；落实环保负责人主管责任，对企业风险源防控应对措施、应急物资和救援力量情况全部知晓；落实岗位人员直接责任，对应急处置措施、应急设施设备操作规程熟练掌握。</w:t>
            </w:r>
          </w:p>
          <w:p w14:paraId="08BC217D">
            <w:pPr>
              <w:numPr>
                <w:ilvl w:val="0"/>
                <w:numId w:val="0"/>
              </w:numPr>
              <w:spacing w:line="500" w:lineRule="exact"/>
              <w:ind w:firstLine="420" w:firstLineChars="200"/>
              <w:jc w:val="both"/>
              <w:rPr>
                <w:rFonts w:hint="default" w:ascii="Times New Roman" w:hAnsi="Times New Roman" w:eastAsia="宋体" w:cs="Times New Roman"/>
                <w:bCs/>
                <w:szCs w:val="21"/>
              </w:rPr>
            </w:pPr>
            <w:r>
              <w:rPr>
                <w:rFonts w:hint="default" w:ascii="Times New Roman" w:hAnsi="Times New Roman" w:eastAsia="宋体" w:cs="Times New Roman"/>
                <w:bCs/>
                <w:szCs w:val="21"/>
              </w:rPr>
              <w:t>综上，企业符合《全省生态环境安全与应急管理“强基提能”三年行动计划》（苏环发〔2023〕5 号）、</w:t>
            </w:r>
            <w:r>
              <w:rPr>
                <w:rFonts w:hint="eastAsia"/>
                <w:b w:val="0"/>
                <w:bCs w:val="0"/>
                <w:lang w:val="en-US" w:eastAsia="zh-CN"/>
              </w:rPr>
              <w:t>与市生态环境局关于印发《南通市生态环境安全与应急管理“强基提能”三年行动实施方案》的通知（通环办〔2023〕160号）</w:t>
            </w:r>
            <w:r>
              <w:rPr>
                <w:rFonts w:hint="default" w:ascii="Times New Roman" w:hAnsi="Times New Roman" w:eastAsia="宋体" w:cs="Times New Roman"/>
                <w:bCs/>
                <w:szCs w:val="21"/>
              </w:rPr>
              <w:t>文中相关要求。</w:t>
            </w:r>
          </w:p>
          <w:p w14:paraId="45D2186D">
            <w:pPr>
              <w:spacing w:line="500" w:lineRule="exact"/>
              <w:ind w:firstLine="420" w:firstLineChars="200"/>
            </w:pPr>
            <w:r>
              <w:t>（</w:t>
            </w:r>
            <w:r>
              <w:rPr>
                <w:rFonts w:hint="eastAsia"/>
                <w:lang w:val="en-US" w:eastAsia="zh-CN"/>
              </w:rPr>
              <w:t>10</w:t>
            </w:r>
            <w:r>
              <w:t>）风险结论</w:t>
            </w:r>
          </w:p>
          <w:p w14:paraId="54ECCF97">
            <w:pPr>
              <w:spacing w:line="500" w:lineRule="exact"/>
              <w:ind w:firstLine="420" w:firstLineChars="200"/>
            </w:pPr>
            <w:r>
              <w:t>在各环境风险防范措施落实到位的情况下，可降低建设项目的环境风险，最大程度减少对环境可能造成的危害，</w:t>
            </w:r>
            <w:r>
              <w:rPr>
                <w:rFonts w:hint="eastAsia"/>
              </w:rPr>
              <w:t>由此本项目环境风险可控</w:t>
            </w:r>
            <w:r>
              <w:t>。</w:t>
            </w:r>
          </w:p>
          <w:p w14:paraId="4DA34B42">
            <w:pPr>
              <w:adjustRightInd w:val="0"/>
              <w:snapToGrid w:val="0"/>
              <w:spacing w:line="500" w:lineRule="exact"/>
              <w:ind w:firstLine="422" w:firstLineChars="200"/>
              <w:rPr>
                <w:b/>
                <w:szCs w:val="21"/>
              </w:rPr>
            </w:pPr>
            <w:r>
              <w:rPr>
                <w:b/>
                <w:szCs w:val="21"/>
              </w:rPr>
              <w:t>八、电磁辐射</w:t>
            </w:r>
          </w:p>
          <w:p w14:paraId="79D43044">
            <w:pPr>
              <w:adjustRightInd w:val="0"/>
              <w:snapToGrid w:val="0"/>
              <w:spacing w:line="500" w:lineRule="exact"/>
              <w:ind w:firstLine="420" w:firstLineChars="200"/>
            </w:pPr>
            <w:r>
              <w:rPr>
                <w:bCs/>
                <w:szCs w:val="21"/>
              </w:rPr>
              <w:t>本项目不涉及电磁辐射设施的使用。</w:t>
            </w:r>
          </w:p>
          <w:p w14:paraId="0EAB32F4">
            <w:pPr>
              <w:spacing w:line="500" w:lineRule="exact"/>
              <w:ind w:firstLine="422" w:firstLineChars="200"/>
              <w:rPr>
                <w:b/>
                <w:bCs/>
              </w:rPr>
            </w:pPr>
            <w:r>
              <w:rPr>
                <w:b/>
                <w:bCs/>
              </w:rPr>
              <w:t>九、“三同时”验收监测方案和环境应急监测方案</w:t>
            </w:r>
          </w:p>
          <w:p w14:paraId="55C63D67">
            <w:pPr>
              <w:spacing w:line="500" w:lineRule="exact"/>
              <w:ind w:firstLine="420" w:firstLineChars="200"/>
            </w:pPr>
            <w:r>
              <w:t>（1）</w:t>
            </w:r>
            <w:r>
              <w:rPr>
                <w:rFonts w:hint="eastAsia"/>
              </w:rPr>
              <w:t>“</w:t>
            </w:r>
            <w:r>
              <w:t>三同时</w:t>
            </w:r>
            <w:r>
              <w:rPr>
                <w:rFonts w:hint="eastAsia"/>
              </w:rPr>
              <w:t>”</w:t>
            </w:r>
            <w:r>
              <w:t>验收监测一览表</w:t>
            </w:r>
          </w:p>
          <w:p w14:paraId="3EB2DCDF">
            <w:pPr>
              <w:spacing w:line="500" w:lineRule="exact"/>
              <w:ind w:firstLine="420" w:firstLineChars="200"/>
              <w:rPr>
                <w:rFonts w:hint="eastAsia" w:eastAsia="宋体"/>
                <w:lang w:eastAsia="zh-CN"/>
              </w:rPr>
            </w:pPr>
            <w:r>
              <w:t>项目“三同时”验收监测一览表见表4-</w:t>
            </w:r>
            <w:r>
              <w:rPr>
                <w:rFonts w:hint="eastAsia"/>
              </w:rPr>
              <w:t>2</w:t>
            </w:r>
            <w:r>
              <w:rPr>
                <w:rFonts w:hint="eastAsia"/>
                <w:lang w:val="en-US" w:eastAsia="zh-CN"/>
              </w:rPr>
              <w:t>8</w:t>
            </w:r>
          </w:p>
          <w:p w14:paraId="28A9479B">
            <w:pPr>
              <w:spacing w:line="500" w:lineRule="exact"/>
              <w:ind w:firstLine="422" w:firstLineChars="200"/>
              <w:jc w:val="center"/>
              <w:rPr>
                <w:b/>
                <w:bCs/>
              </w:rPr>
            </w:pPr>
            <w:r>
              <w:rPr>
                <w:b/>
                <w:bCs/>
              </w:rPr>
              <w:t>表 4-</w:t>
            </w:r>
            <w:r>
              <w:rPr>
                <w:rFonts w:hint="eastAsia"/>
                <w:b/>
                <w:bCs/>
              </w:rPr>
              <w:t>2</w:t>
            </w:r>
            <w:r>
              <w:rPr>
                <w:rFonts w:hint="eastAsia"/>
                <w:b/>
                <w:bCs/>
                <w:lang w:val="en-US" w:eastAsia="zh-CN"/>
              </w:rPr>
              <w:t>8</w:t>
            </w:r>
            <w:r>
              <w:rPr>
                <w:rFonts w:hint="eastAsia"/>
                <w:b/>
                <w:bCs/>
              </w:rPr>
              <w:t xml:space="preserve">  </w:t>
            </w:r>
            <w:r>
              <w:rPr>
                <w:b/>
                <w:bCs/>
              </w:rPr>
              <w:t>“三同时”验收监测一览表</w:t>
            </w:r>
          </w:p>
          <w:tbl>
            <w:tblPr>
              <w:tblStyle w:val="16"/>
              <w:tblW w:w="8099"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9"/>
              <w:gridCol w:w="2170"/>
              <w:gridCol w:w="3555"/>
              <w:gridCol w:w="1405"/>
            </w:tblGrid>
            <w:tr w14:paraId="6BB102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5" w:hRule="atLeast"/>
              </w:trPr>
              <w:tc>
                <w:tcPr>
                  <w:tcW w:w="969" w:type="dxa"/>
                  <w:vAlign w:val="center"/>
                </w:tcPr>
                <w:p w14:paraId="55D0B82D">
                  <w:pPr>
                    <w:jc w:val="center"/>
                    <w:rPr>
                      <w:sz w:val="18"/>
                      <w:szCs w:val="18"/>
                    </w:rPr>
                  </w:pPr>
                  <w:r>
                    <w:rPr>
                      <w:sz w:val="18"/>
                      <w:szCs w:val="18"/>
                    </w:rPr>
                    <w:t>污染种类</w:t>
                  </w:r>
                </w:p>
              </w:tc>
              <w:tc>
                <w:tcPr>
                  <w:tcW w:w="2170" w:type="dxa"/>
                  <w:vAlign w:val="center"/>
                </w:tcPr>
                <w:p w14:paraId="1C4E3CC4">
                  <w:pPr>
                    <w:jc w:val="center"/>
                    <w:rPr>
                      <w:sz w:val="18"/>
                      <w:szCs w:val="18"/>
                    </w:rPr>
                  </w:pPr>
                  <w:r>
                    <w:rPr>
                      <w:sz w:val="18"/>
                      <w:szCs w:val="18"/>
                    </w:rPr>
                    <w:t>监测点位置</w:t>
                  </w:r>
                </w:p>
              </w:tc>
              <w:tc>
                <w:tcPr>
                  <w:tcW w:w="3555" w:type="dxa"/>
                  <w:vAlign w:val="center"/>
                </w:tcPr>
                <w:p w14:paraId="5A3C9C4C">
                  <w:pPr>
                    <w:jc w:val="center"/>
                    <w:rPr>
                      <w:sz w:val="18"/>
                      <w:szCs w:val="18"/>
                    </w:rPr>
                  </w:pPr>
                  <w:r>
                    <w:rPr>
                      <w:sz w:val="18"/>
                      <w:szCs w:val="18"/>
                    </w:rPr>
                    <w:t>监测项目</w:t>
                  </w:r>
                </w:p>
              </w:tc>
              <w:tc>
                <w:tcPr>
                  <w:tcW w:w="1405" w:type="dxa"/>
                  <w:vAlign w:val="center"/>
                </w:tcPr>
                <w:p w14:paraId="4DB79069">
                  <w:pPr>
                    <w:jc w:val="center"/>
                    <w:rPr>
                      <w:sz w:val="18"/>
                      <w:szCs w:val="18"/>
                    </w:rPr>
                  </w:pPr>
                  <w:r>
                    <w:rPr>
                      <w:sz w:val="18"/>
                      <w:szCs w:val="18"/>
                    </w:rPr>
                    <w:t>监测频次</w:t>
                  </w:r>
                </w:p>
              </w:tc>
            </w:tr>
            <w:tr w14:paraId="467527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69" w:type="dxa"/>
                  <w:vMerge w:val="restart"/>
                  <w:vAlign w:val="center"/>
                </w:tcPr>
                <w:p w14:paraId="080215FE">
                  <w:pPr>
                    <w:jc w:val="center"/>
                    <w:rPr>
                      <w:sz w:val="18"/>
                      <w:szCs w:val="18"/>
                    </w:rPr>
                  </w:pPr>
                  <w:r>
                    <w:rPr>
                      <w:rFonts w:hint="eastAsia"/>
                      <w:sz w:val="18"/>
                      <w:szCs w:val="18"/>
                    </w:rPr>
                    <w:t>废气</w:t>
                  </w:r>
                </w:p>
              </w:tc>
              <w:tc>
                <w:tcPr>
                  <w:tcW w:w="2170" w:type="dxa"/>
                  <w:vAlign w:val="center"/>
                </w:tcPr>
                <w:p w14:paraId="3B3BAF3A">
                  <w:pPr>
                    <w:jc w:val="center"/>
                    <w:rPr>
                      <w:rFonts w:hint="eastAsia" w:eastAsia="宋体"/>
                      <w:color w:val="auto"/>
                      <w:sz w:val="18"/>
                      <w:szCs w:val="18"/>
                      <w:lang w:eastAsia="zh-CN"/>
                    </w:rPr>
                  </w:pPr>
                  <w:r>
                    <w:rPr>
                      <w:rFonts w:hint="eastAsia"/>
                      <w:color w:val="auto"/>
                      <w:sz w:val="18"/>
                      <w:szCs w:val="18"/>
                    </w:rPr>
                    <w:t>DA001</w:t>
                  </w:r>
                  <w:r>
                    <w:rPr>
                      <w:rFonts w:hint="eastAsia"/>
                      <w:color w:val="auto"/>
                      <w:sz w:val="18"/>
                      <w:szCs w:val="18"/>
                      <w:lang w:eastAsia="zh-CN"/>
                    </w:rPr>
                    <w:t>进、</w:t>
                  </w:r>
                  <w:r>
                    <w:rPr>
                      <w:rFonts w:hint="eastAsia" w:cs="Times New Roman"/>
                      <w:color w:val="auto"/>
                      <w:sz w:val="18"/>
                      <w:szCs w:val="18"/>
                      <w:lang w:eastAsia="zh-CN"/>
                    </w:rPr>
                    <w:t>出</w:t>
                  </w:r>
                  <w:r>
                    <w:rPr>
                      <w:rFonts w:hint="eastAsia" w:ascii="Times New Roman" w:hAnsi="Times New Roman" w:eastAsia="宋体" w:cs="Times New Roman"/>
                      <w:color w:val="auto"/>
                      <w:sz w:val="18"/>
                      <w:szCs w:val="18"/>
                      <w:lang w:eastAsia="zh-CN"/>
                    </w:rPr>
                    <w:t>口</w:t>
                  </w:r>
                </w:p>
              </w:tc>
              <w:tc>
                <w:tcPr>
                  <w:tcW w:w="3555" w:type="dxa"/>
                  <w:vAlign w:val="center"/>
                </w:tcPr>
                <w:p w14:paraId="2C961445">
                  <w:pPr>
                    <w:jc w:val="center"/>
                    <w:rPr>
                      <w:rFonts w:hint="default" w:eastAsia="宋体"/>
                      <w:color w:val="auto"/>
                      <w:sz w:val="18"/>
                      <w:szCs w:val="18"/>
                      <w:lang w:val="en-US" w:eastAsia="zh-CN"/>
                    </w:rPr>
                  </w:pPr>
                  <w:r>
                    <w:rPr>
                      <w:rFonts w:hint="eastAsia"/>
                      <w:color w:val="auto"/>
                      <w:sz w:val="18"/>
                      <w:szCs w:val="18"/>
                      <w:lang w:eastAsia="zh-CN"/>
                    </w:rPr>
                    <w:t>颗粒物</w:t>
                  </w:r>
                </w:p>
              </w:tc>
              <w:tc>
                <w:tcPr>
                  <w:tcW w:w="1405" w:type="dxa"/>
                  <w:vAlign w:val="center"/>
                </w:tcPr>
                <w:p w14:paraId="60EFB1D9">
                  <w:pPr>
                    <w:jc w:val="center"/>
                    <w:rPr>
                      <w:sz w:val="18"/>
                      <w:szCs w:val="18"/>
                    </w:rPr>
                  </w:pPr>
                  <w:r>
                    <w:rPr>
                      <w:sz w:val="18"/>
                      <w:szCs w:val="18"/>
                    </w:rPr>
                    <w:t>2天×3次/天</w:t>
                  </w:r>
                </w:p>
              </w:tc>
            </w:tr>
            <w:tr w14:paraId="049EDE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69" w:type="dxa"/>
                  <w:vMerge w:val="continue"/>
                  <w:vAlign w:val="center"/>
                </w:tcPr>
                <w:p w14:paraId="6F7B9726">
                  <w:pPr>
                    <w:jc w:val="center"/>
                    <w:rPr>
                      <w:rFonts w:hint="eastAsia"/>
                      <w:sz w:val="18"/>
                      <w:szCs w:val="18"/>
                    </w:rPr>
                  </w:pPr>
                </w:p>
              </w:tc>
              <w:tc>
                <w:tcPr>
                  <w:tcW w:w="2170" w:type="dxa"/>
                  <w:vAlign w:val="center"/>
                </w:tcPr>
                <w:p w14:paraId="2957331C">
                  <w:pPr>
                    <w:jc w:val="center"/>
                    <w:rPr>
                      <w:rFonts w:hint="eastAsia"/>
                      <w:color w:val="auto"/>
                      <w:sz w:val="18"/>
                      <w:szCs w:val="18"/>
                    </w:rPr>
                  </w:pPr>
                  <w:r>
                    <w:rPr>
                      <w:rFonts w:hint="eastAsia"/>
                      <w:color w:val="auto"/>
                      <w:sz w:val="18"/>
                      <w:szCs w:val="18"/>
                    </w:rPr>
                    <w:t>DA00</w:t>
                  </w:r>
                  <w:r>
                    <w:rPr>
                      <w:rFonts w:hint="eastAsia"/>
                      <w:color w:val="auto"/>
                      <w:sz w:val="18"/>
                      <w:szCs w:val="18"/>
                      <w:lang w:val="en-US" w:eastAsia="zh-CN"/>
                    </w:rPr>
                    <w:t>2</w:t>
                  </w:r>
                  <w:r>
                    <w:rPr>
                      <w:rFonts w:hint="eastAsia" w:ascii="Times New Roman" w:hAnsi="Times New Roman" w:eastAsia="宋体" w:cs="Times New Roman"/>
                      <w:color w:val="auto"/>
                      <w:sz w:val="18"/>
                      <w:szCs w:val="18"/>
                      <w:lang w:eastAsia="zh-CN"/>
                    </w:rPr>
                    <w:t>进、出口</w:t>
                  </w:r>
                </w:p>
              </w:tc>
              <w:tc>
                <w:tcPr>
                  <w:tcW w:w="3555" w:type="dxa"/>
                  <w:vAlign w:val="center"/>
                </w:tcPr>
                <w:p w14:paraId="75DCB084">
                  <w:pPr>
                    <w:jc w:val="center"/>
                    <w:rPr>
                      <w:rFonts w:hint="eastAsia" w:eastAsia="宋体"/>
                      <w:color w:val="auto"/>
                      <w:sz w:val="18"/>
                      <w:szCs w:val="18"/>
                      <w:lang w:eastAsia="zh-CN"/>
                    </w:rPr>
                  </w:pPr>
                  <w:r>
                    <w:rPr>
                      <w:color w:val="auto"/>
                      <w:sz w:val="18"/>
                      <w:szCs w:val="18"/>
                    </w:rPr>
                    <w:t>非甲烷总烃</w:t>
                  </w:r>
                </w:p>
              </w:tc>
              <w:tc>
                <w:tcPr>
                  <w:tcW w:w="1405" w:type="dxa"/>
                  <w:vAlign w:val="center"/>
                </w:tcPr>
                <w:p w14:paraId="7701C9A3">
                  <w:pPr>
                    <w:jc w:val="center"/>
                    <w:rPr>
                      <w:sz w:val="18"/>
                      <w:szCs w:val="18"/>
                    </w:rPr>
                  </w:pPr>
                  <w:r>
                    <w:rPr>
                      <w:sz w:val="18"/>
                      <w:szCs w:val="18"/>
                    </w:rPr>
                    <w:t>2天×3次/天</w:t>
                  </w:r>
                </w:p>
              </w:tc>
            </w:tr>
            <w:tr w14:paraId="2AD0A8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69" w:type="dxa"/>
                  <w:vMerge w:val="continue"/>
                  <w:vAlign w:val="center"/>
                </w:tcPr>
                <w:p w14:paraId="73E72D05">
                  <w:pPr>
                    <w:jc w:val="center"/>
                    <w:rPr>
                      <w:sz w:val="18"/>
                      <w:szCs w:val="18"/>
                    </w:rPr>
                  </w:pPr>
                </w:p>
              </w:tc>
              <w:tc>
                <w:tcPr>
                  <w:tcW w:w="2170" w:type="dxa"/>
                  <w:vAlign w:val="center"/>
                </w:tcPr>
                <w:p w14:paraId="75F0BF0C">
                  <w:pPr>
                    <w:jc w:val="center"/>
                    <w:rPr>
                      <w:sz w:val="18"/>
                      <w:szCs w:val="18"/>
                    </w:rPr>
                  </w:pPr>
                  <w:r>
                    <w:rPr>
                      <w:sz w:val="18"/>
                      <w:szCs w:val="18"/>
                    </w:rPr>
                    <w:t>厂界</w:t>
                  </w:r>
                </w:p>
              </w:tc>
              <w:tc>
                <w:tcPr>
                  <w:tcW w:w="3555" w:type="dxa"/>
                  <w:vAlign w:val="center"/>
                </w:tcPr>
                <w:p w14:paraId="489FBA05">
                  <w:pPr>
                    <w:jc w:val="center"/>
                    <w:rPr>
                      <w:rFonts w:hint="eastAsia" w:eastAsia="宋体"/>
                      <w:sz w:val="18"/>
                      <w:szCs w:val="18"/>
                      <w:lang w:eastAsia="zh-CN"/>
                    </w:rPr>
                  </w:pPr>
                  <w:r>
                    <w:rPr>
                      <w:sz w:val="18"/>
                      <w:szCs w:val="18"/>
                    </w:rPr>
                    <w:t>非甲烷总烃</w:t>
                  </w:r>
                  <w:r>
                    <w:rPr>
                      <w:rFonts w:hint="eastAsia"/>
                      <w:sz w:val="18"/>
                      <w:szCs w:val="18"/>
                      <w:lang w:eastAsia="zh-CN"/>
                    </w:rPr>
                    <w:t>、颗粒物、臭气浓度</w:t>
                  </w:r>
                </w:p>
              </w:tc>
              <w:tc>
                <w:tcPr>
                  <w:tcW w:w="1405" w:type="dxa"/>
                  <w:vAlign w:val="center"/>
                </w:tcPr>
                <w:p w14:paraId="271E1CFB">
                  <w:pPr>
                    <w:jc w:val="center"/>
                    <w:rPr>
                      <w:sz w:val="18"/>
                      <w:szCs w:val="18"/>
                    </w:rPr>
                  </w:pPr>
                  <w:r>
                    <w:rPr>
                      <w:sz w:val="18"/>
                      <w:szCs w:val="18"/>
                    </w:rPr>
                    <w:t>2天×3次/天</w:t>
                  </w:r>
                </w:p>
              </w:tc>
            </w:tr>
            <w:tr w14:paraId="258E50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9" w:type="dxa"/>
                  <w:vMerge w:val="continue"/>
                  <w:vAlign w:val="center"/>
                </w:tcPr>
                <w:p w14:paraId="002EECB2">
                  <w:pPr>
                    <w:jc w:val="center"/>
                    <w:rPr>
                      <w:sz w:val="18"/>
                      <w:szCs w:val="18"/>
                    </w:rPr>
                  </w:pPr>
                </w:p>
              </w:tc>
              <w:tc>
                <w:tcPr>
                  <w:tcW w:w="2170" w:type="dxa"/>
                  <w:vAlign w:val="center"/>
                </w:tcPr>
                <w:p w14:paraId="4539BF51">
                  <w:pPr>
                    <w:jc w:val="center"/>
                    <w:rPr>
                      <w:color w:val="auto"/>
                      <w:sz w:val="18"/>
                      <w:szCs w:val="18"/>
                    </w:rPr>
                  </w:pPr>
                  <w:r>
                    <w:rPr>
                      <w:color w:val="auto"/>
                      <w:sz w:val="18"/>
                      <w:szCs w:val="18"/>
                    </w:rPr>
                    <w:t>厂区内</w:t>
                  </w:r>
                </w:p>
              </w:tc>
              <w:tc>
                <w:tcPr>
                  <w:tcW w:w="3555" w:type="dxa"/>
                  <w:vAlign w:val="center"/>
                </w:tcPr>
                <w:p w14:paraId="2425AAC0">
                  <w:pPr>
                    <w:jc w:val="center"/>
                    <w:rPr>
                      <w:rFonts w:hint="default" w:eastAsia="宋体"/>
                      <w:color w:val="auto"/>
                      <w:sz w:val="18"/>
                      <w:szCs w:val="18"/>
                      <w:lang w:val="en-US" w:eastAsia="zh-CN"/>
                    </w:rPr>
                  </w:pPr>
                  <w:r>
                    <w:rPr>
                      <w:color w:val="auto"/>
                      <w:sz w:val="18"/>
                      <w:szCs w:val="18"/>
                    </w:rPr>
                    <w:t>非甲烷总烃</w:t>
                  </w:r>
                </w:p>
              </w:tc>
              <w:tc>
                <w:tcPr>
                  <w:tcW w:w="1405" w:type="dxa"/>
                  <w:vAlign w:val="center"/>
                </w:tcPr>
                <w:p w14:paraId="4BC90018">
                  <w:pPr>
                    <w:jc w:val="center"/>
                    <w:rPr>
                      <w:sz w:val="18"/>
                      <w:szCs w:val="18"/>
                    </w:rPr>
                  </w:pPr>
                  <w:r>
                    <w:rPr>
                      <w:sz w:val="18"/>
                      <w:szCs w:val="18"/>
                    </w:rPr>
                    <w:t>2天×3次/天</w:t>
                  </w:r>
                </w:p>
              </w:tc>
            </w:tr>
            <w:tr w14:paraId="00476F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69" w:type="dxa"/>
                  <w:vAlign w:val="center"/>
                </w:tcPr>
                <w:p w14:paraId="2860BECE">
                  <w:pPr>
                    <w:jc w:val="center"/>
                    <w:rPr>
                      <w:sz w:val="18"/>
                      <w:szCs w:val="18"/>
                    </w:rPr>
                  </w:pPr>
                  <w:r>
                    <w:rPr>
                      <w:sz w:val="18"/>
                      <w:szCs w:val="18"/>
                    </w:rPr>
                    <w:t>废水</w:t>
                  </w:r>
                </w:p>
              </w:tc>
              <w:tc>
                <w:tcPr>
                  <w:tcW w:w="2170" w:type="dxa"/>
                  <w:vAlign w:val="center"/>
                </w:tcPr>
                <w:p w14:paraId="0D5CB46B">
                  <w:pPr>
                    <w:jc w:val="center"/>
                    <w:rPr>
                      <w:rFonts w:hint="eastAsia" w:eastAsia="宋体"/>
                      <w:color w:val="auto"/>
                      <w:sz w:val="18"/>
                      <w:szCs w:val="18"/>
                      <w:lang w:eastAsia="zh-CN"/>
                    </w:rPr>
                  </w:pPr>
                  <w:r>
                    <w:rPr>
                      <w:rFonts w:hint="eastAsia"/>
                      <w:color w:val="auto"/>
                      <w:sz w:val="18"/>
                      <w:szCs w:val="18"/>
                      <w:lang w:eastAsia="zh-CN"/>
                    </w:rPr>
                    <w:t>化粪池</w:t>
                  </w:r>
                </w:p>
              </w:tc>
              <w:tc>
                <w:tcPr>
                  <w:tcW w:w="3555" w:type="dxa"/>
                  <w:vAlign w:val="center"/>
                </w:tcPr>
                <w:p w14:paraId="339F73E8">
                  <w:pPr>
                    <w:widowControl/>
                    <w:jc w:val="center"/>
                    <w:rPr>
                      <w:rFonts w:hint="eastAsia" w:eastAsia="宋体"/>
                      <w:color w:val="auto"/>
                      <w:sz w:val="18"/>
                      <w:szCs w:val="18"/>
                      <w:lang w:eastAsia="zh-CN"/>
                    </w:rPr>
                  </w:pPr>
                  <w:r>
                    <w:rPr>
                      <w:color w:val="auto"/>
                      <w:kern w:val="0"/>
                      <w:sz w:val="18"/>
                      <w:szCs w:val="18"/>
                      <w:lang w:bidi="ar"/>
                    </w:rPr>
                    <w:t>pH、COD、SS、TP、NH</w:t>
                  </w:r>
                  <w:r>
                    <w:rPr>
                      <w:color w:val="auto"/>
                      <w:kern w:val="0"/>
                      <w:sz w:val="18"/>
                      <w:szCs w:val="18"/>
                      <w:vertAlign w:val="subscript"/>
                      <w:lang w:bidi="ar"/>
                    </w:rPr>
                    <w:t>3</w:t>
                  </w:r>
                  <w:r>
                    <w:rPr>
                      <w:color w:val="auto"/>
                      <w:kern w:val="0"/>
                      <w:sz w:val="18"/>
                      <w:szCs w:val="18"/>
                      <w:lang w:bidi="ar"/>
                    </w:rPr>
                    <w:t>-N、TN</w:t>
                  </w:r>
                </w:p>
              </w:tc>
              <w:tc>
                <w:tcPr>
                  <w:tcW w:w="1405" w:type="dxa"/>
                  <w:vAlign w:val="center"/>
                </w:tcPr>
                <w:p w14:paraId="3E1AB7BD">
                  <w:pPr>
                    <w:jc w:val="center"/>
                    <w:rPr>
                      <w:sz w:val="18"/>
                      <w:szCs w:val="18"/>
                    </w:rPr>
                  </w:pPr>
                  <w:r>
                    <w:rPr>
                      <w:sz w:val="18"/>
                      <w:szCs w:val="18"/>
                    </w:rPr>
                    <w:t>2天×4次/天</w:t>
                  </w:r>
                </w:p>
              </w:tc>
            </w:tr>
            <w:tr w14:paraId="10E04A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9" w:type="dxa"/>
                  <w:vAlign w:val="center"/>
                </w:tcPr>
                <w:p w14:paraId="43CC33DF">
                  <w:pPr>
                    <w:jc w:val="center"/>
                    <w:rPr>
                      <w:sz w:val="18"/>
                      <w:szCs w:val="18"/>
                    </w:rPr>
                  </w:pPr>
                  <w:r>
                    <w:rPr>
                      <w:sz w:val="18"/>
                      <w:szCs w:val="18"/>
                    </w:rPr>
                    <w:t>噪声</w:t>
                  </w:r>
                </w:p>
              </w:tc>
              <w:tc>
                <w:tcPr>
                  <w:tcW w:w="2170" w:type="dxa"/>
                  <w:vAlign w:val="center"/>
                </w:tcPr>
                <w:p w14:paraId="6B4FE013">
                  <w:pPr>
                    <w:jc w:val="center"/>
                    <w:rPr>
                      <w:rFonts w:hint="eastAsia" w:eastAsia="宋体"/>
                      <w:sz w:val="18"/>
                      <w:szCs w:val="18"/>
                      <w:lang w:eastAsia="zh-CN"/>
                    </w:rPr>
                  </w:pPr>
                  <w:r>
                    <w:rPr>
                      <w:sz w:val="18"/>
                      <w:szCs w:val="18"/>
                    </w:rPr>
                    <w:t>厂界四周</w:t>
                  </w:r>
                  <w:r>
                    <w:rPr>
                      <w:rFonts w:hint="eastAsia"/>
                      <w:sz w:val="18"/>
                      <w:szCs w:val="18"/>
                    </w:rPr>
                    <w:t>、</w:t>
                  </w:r>
                  <w:r>
                    <w:rPr>
                      <w:rFonts w:hint="eastAsia"/>
                      <w:sz w:val="18"/>
                      <w:szCs w:val="18"/>
                      <w:lang w:eastAsia="zh-CN"/>
                    </w:rPr>
                    <w:t>散户</w:t>
                  </w:r>
                </w:p>
              </w:tc>
              <w:tc>
                <w:tcPr>
                  <w:tcW w:w="3555" w:type="dxa"/>
                  <w:vAlign w:val="center"/>
                </w:tcPr>
                <w:p w14:paraId="29F6C7DA">
                  <w:pPr>
                    <w:widowControl/>
                    <w:jc w:val="center"/>
                    <w:rPr>
                      <w:sz w:val="18"/>
                      <w:szCs w:val="18"/>
                    </w:rPr>
                  </w:pPr>
                  <w:r>
                    <w:rPr>
                      <w:color w:val="000000"/>
                      <w:kern w:val="0"/>
                      <w:sz w:val="18"/>
                      <w:szCs w:val="18"/>
                      <w:lang w:bidi="ar"/>
                    </w:rPr>
                    <w:t>等效声级 Leq（A）</w:t>
                  </w:r>
                </w:p>
              </w:tc>
              <w:tc>
                <w:tcPr>
                  <w:tcW w:w="1405" w:type="dxa"/>
                  <w:vAlign w:val="center"/>
                </w:tcPr>
                <w:p w14:paraId="6ED4787C">
                  <w:pPr>
                    <w:jc w:val="center"/>
                    <w:rPr>
                      <w:sz w:val="18"/>
                      <w:szCs w:val="18"/>
                    </w:rPr>
                  </w:pPr>
                  <w:r>
                    <w:rPr>
                      <w:sz w:val="18"/>
                      <w:szCs w:val="18"/>
                    </w:rPr>
                    <w:t>2天×1次/天</w:t>
                  </w:r>
                </w:p>
              </w:tc>
            </w:tr>
          </w:tbl>
          <w:p w14:paraId="3DD00552">
            <w:pPr>
              <w:widowControl/>
              <w:spacing w:line="500" w:lineRule="exact"/>
              <w:ind w:firstLine="420" w:firstLineChars="200"/>
              <w:jc w:val="left"/>
              <w:rPr>
                <w:szCs w:val="21"/>
              </w:rPr>
            </w:pPr>
            <w:r>
              <w:rPr>
                <w:color w:val="000000"/>
                <w:kern w:val="0"/>
                <w:szCs w:val="21"/>
                <w:lang w:bidi="ar"/>
              </w:rPr>
              <w:t>（2）应急监测计划</w:t>
            </w:r>
          </w:p>
          <w:p w14:paraId="0E0BB041">
            <w:pPr>
              <w:widowControl/>
              <w:spacing w:line="500" w:lineRule="exact"/>
              <w:ind w:firstLine="420" w:firstLineChars="200"/>
              <w:jc w:val="left"/>
              <w:rPr>
                <w:szCs w:val="21"/>
              </w:rPr>
            </w:pPr>
            <w:r>
              <w:rPr>
                <w:color w:val="000000"/>
                <w:kern w:val="0"/>
                <w:szCs w:val="21"/>
                <w:lang w:bidi="ar"/>
              </w:rPr>
              <w:t>根据事故类型等因素确定最终的监测因子，具体的风险应急监测方案如下：</w:t>
            </w:r>
          </w:p>
          <w:p w14:paraId="5FE3697A">
            <w:pPr>
              <w:widowControl/>
              <w:spacing w:line="500" w:lineRule="exact"/>
              <w:ind w:firstLine="420" w:firstLineChars="200"/>
              <w:jc w:val="left"/>
              <w:rPr>
                <w:szCs w:val="21"/>
              </w:rPr>
            </w:pPr>
            <w:r>
              <w:rPr>
                <w:color w:val="000000"/>
                <w:kern w:val="0"/>
                <w:szCs w:val="21"/>
                <w:lang w:bidi="ar"/>
              </w:rPr>
              <w:t xml:space="preserve">①大气环境监测 </w:t>
            </w:r>
          </w:p>
          <w:p w14:paraId="5671D479">
            <w:pPr>
              <w:widowControl/>
              <w:spacing w:line="500" w:lineRule="exact"/>
              <w:ind w:firstLine="420" w:firstLineChars="200"/>
              <w:jc w:val="left"/>
              <w:rPr>
                <w:szCs w:val="21"/>
              </w:rPr>
            </w:pPr>
            <w:r>
              <w:rPr>
                <w:color w:val="000000"/>
                <w:kern w:val="0"/>
                <w:szCs w:val="21"/>
                <w:lang w:bidi="ar"/>
              </w:rPr>
              <w:t>监测因子：颗粒物、非甲烷总烃、CO。</w:t>
            </w:r>
          </w:p>
          <w:p w14:paraId="54487141">
            <w:pPr>
              <w:widowControl/>
              <w:spacing w:line="500" w:lineRule="exact"/>
              <w:ind w:firstLine="420" w:firstLineChars="200"/>
              <w:jc w:val="left"/>
              <w:rPr>
                <w:szCs w:val="21"/>
              </w:rPr>
            </w:pPr>
            <w:r>
              <w:rPr>
                <w:color w:val="000000"/>
                <w:kern w:val="0"/>
                <w:szCs w:val="21"/>
                <w:lang w:bidi="ar"/>
              </w:rPr>
              <w:t>监测时间和频次：按照事故持续时间决定监测时间，根据事故严重性决定监测频次。一般情况下每小时取样一次。随事故控制减弱，适当减少监测频次。</w:t>
            </w:r>
          </w:p>
          <w:p w14:paraId="0D4A3024">
            <w:pPr>
              <w:widowControl/>
              <w:spacing w:line="500" w:lineRule="exact"/>
              <w:ind w:firstLine="420" w:firstLineChars="200"/>
              <w:jc w:val="left"/>
              <w:rPr>
                <w:szCs w:val="21"/>
              </w:rPr>
            </w:pPr>
            <w:r>
              <w:rPr>
                <w:color w:val="000000"/>
                <w:kern w:val="0"/>
                <w:szCs w:val="21"/>
                <w:lang w:bidi="ar"/>
              </w:rPr>
              <w:t xml:space="preserve">监测布点：按事故发生时的主导风向的下风向，考虑区域功能设置1个测点，厂界设监控点。 </w:t>
            </w:r>
          </w:p>
          <w:p w14:paraId="391E89D0">
            <w:pPr>
              <w:widowControl/>
              <w:spacing w:line="500" w:lineRule="exact"/>
              <w:ind w:firstLine="420" w:firstLineChars="200"/>
              <w:jc w:val="left"/>
              <w:rPr>
                <w:szCs w:val="21"/>
              </w:rPr>
            </w:pPr>
            <w:r>
              <w:rPr>
                <w:color w:val="000000"/>
                <w:kern w:val="0"/>
                <w:szCs w:val="21"/>
                <w:lang w:bidi="ar"/>
              </w:rPr>
              <w:t xml:space="preserve">②水环境监测 </w:t>
            </w:r>
          </w:p>
          <w:p w14:paraId="7D6ADD8D">
            <w:pPr>
              <w:widowControl/>
              <w:spacing w:line="500" w:lineRule="exact"/>
              <w:ind w:firstLine="420" w:firstLineChars="200"/>
              <w:jc w:val="left"/>
              <w:rPr>
                <w:szCs w:val="21"/>
              </w:rPr>
            </w:pPr>
            <w:r>
              <w:rPr>
                <w:color w:val="000000"/>
                <w:kern w:val="0"/>
                <w:szCs w:val="21"/>
                <w:lang w:bidi="ar"/>
              </w:rPr>
              <w:t>监测因子：pH、COD、SS、TP、NH</w:t>
            </w:r>
            <w:r>
              <w:rPr>
                <w:color w:val="000000"/>
                <w:kern w:val="0"/>
                <w:szCs w:val="21"/>
                <w:vertAlign w:val="subscript"/>
                <w:lang w:bidi="ar"/>
              </w:rPr>
              <w:t>3</w:t>
            </w:r>
            <w:r>
              <w:rPr>
                <w:color w:val="000000"/>
                <w:kern w:val="0"/>
                <w:szCs w:val="21"/>
                <w:lang w:bidi="ar"/>
              </w:rPr>
              <w:t>-N、T</w:t>
            </w:r>
            <w:r>
              <w:rPr>
                <w:rFonts w:ascii="Times New Roman" w:hAnsi="Times New Roman" w:eastAsia="宋体" w:cs="Times New Roman"/>
                <w:color w:val="000000"/>
                <w:kern w:val="0"/>
                <w:szCs w:val="21"/>
                <w:lang w:bidi="ar"/>
              </w:rPr>
              <w:t>N。</w:t>
            </w:r>
          </w:p>
          <w:p w14:paraId="541D4DA2">
            <w:pPr>
              <w:widowControl/>
              <w:spacing w:line="500" w:lineRule="exact"/>
              <w:ind w:firstLine="420" w:firstLineChars="200"/>
              <w:jc w:val="left"/>
              <w:rPr>
                <w:szCs w:val="21"/>
              </w:rPr>
            </w:pPr>
            <w:r>
              <w:rPr>
                <w:color w:val="000000"/>
                <w:kern w:val="0"/>
                <w:szCs w:val="21"/>
                <w:lang w:bidi="ar"/>
              </w:rPr>
              <w:t>监测时间和频次：采样1次/30min。</w:t>
            </w:r>
          </w:p>
          <w:p w14:paraId="08324E36">
            <w:pPr>
              <w:widowControl/>
              <w:spacing w:line="500" w:lineRule="exact"/>
              <w:ind w:firstLine="420" w:firstLineChars="200"/>
              <w:jc w:val="left"/>
            </w:pPr>
            <w:r>
              <w:rPr>
                <w:color w:val="000000"/>
                <w:kern w:val="0"/>
                <w:szCs w:val="21"/>
                <w:lang w:bidi="ar"/>
              </w:rPr>
              <w:t>监测布点：根据事故类型和事故废水走向，确定监测范围。主要监测点位为：应急事故池内、厂区雨水总排放口、厂区废水总排放口、受影响河流排入口的上游和下游处。</w:t>
            </w:r>
          </w:p>
        </w:tc>
      </w:tr>
    </w:tbl>
    <w:p w14:paraId="7CCB3C6C">
      <w:pPr>
        <w:spacing w:before="157" w:beforeLines="50" w:after="157" w:afterLines="50"/>
        <w:jc w:val="center"/>
        <w:outlineLvl w:val="0"/>
        <w:rPr>
          <w:rFonts w:ascii="黑体" w:hAnsi="黑体" w:eastAsia="黑体"/>
          <w:sz w:val="30"/>
          <w:szCs w:val="30"/>
        </w:rPr>
      </w:pPr>
      <w:r>
        <w:rPr>
          <w:rFonts w:hint="eastAsia" w:ascii="黑体" w:hAnsi="黑体" w:eastAsia="黑体"/>
          <w:sz w:val="30"/>
          <w:szCs w:val="30"/>
        </w:rPr>
        <w:t>五、环境保护措施监督检查清单</w:t>
      </w:r>
    </w:p>
    <w:tbl>
      <w:tblPr>
        <w:tblStyle w:val="16"/>
        <w:tblW w:w="89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480"/>
        <w:gridCol w:w="1585"/>
        <w:gridCol w:w="1620"/>
        <w:gridCol w:w="2736"/>
      </w:tblGrid>
      <w:tr w14:paraId="2F308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488" w:type="dxa"/>
            <w:tcBorders>
              <w:tl2br w:val="single" w:color="auto" w:sz="4" w:space="0"/>
            </w:tcBorders>
          </w:tcPr>
          <w:p w14:paraId="6DE7B145">
            <w:pPr>
              <w:adjustRightInd w:val="0"/>
              <w:snapToGrid w:val="0"/>
              <w:ind w:firstLine="840"/>
              <w:rPr>
                <w:szCs w:val="21"/>
              </w:rPr>
            </w:pPr>
            <w:r>
              <w:rPr>
                <w:szCs w:val="21"/>
              </w:rPr>
              <w:t>内容</w:t>
            </w:r>
          </w:p>
          <w:p w14:paraId="1C7306CA">
            <w:pPr>
              <w:adjustRightInd w:val="0"/>
              <w:snapToGrid w:val="0"/>
              <w:rPr>
                <w:szCs w:val="21"/>
              </w:rPr>
            </w:pPr>
          </w:p>
          <w:p w14:paraId="4DC99D10">
            <w:pPr>
              <w:adjustRightInd w:val="0"/>
              <w:snapToGrid w:val="0"/>
              <w:rPr>
                <w:szCs w:val="21"/>
              </w:rPr>
            </w:pPr>
            <w:r>
              <w:rPr>
                <w:szCs w:val="21"/>
              </w:rPr>
              <w:t>要素</w:t>
            </w:r>
          </w:p>
        </w:tc>
        <w:tc>
          <w:tcPr>
            <w:tcW w:w="1480" w:type="dxa"/>
            <w:vAlign w:val="center"/>
          </w:tcPr>
          <w:p w14:paraId="22E91839">
            <w:pPr>
              <w:adjustRightInd w:val="0"/>
              <w:snapToGrid w:val="0"/>
              <w:jc w:val="center"/>
              <w:rPr>
                <w:szCs w:val="21"/>
              </w:rPr>
            </w:pPr>
            <w:r>
              <w:rPr>
                <w:szCs w:val="21"/>
              </w:rPr>
              <w:t>排放口（编号、</w:t>
            </w:r>
          </w:p>
          <w:p w14:paraId="7F09AA47">
            <w:pPr>
              <w:adjustRightInd w:val="0"/>
              <w:snapToGrid w:val="0"/>
              <w:jc w:val="center"/>
              <w:rPr>
                <w:szCs w:val="21"/>
              </w:rPr>
            </w:pPr>
            <w:r>
              <w:rPr>
                <w:szCs w:val="21"/>
              </w:rPr>
              <w:t>名称）/污染源</w:t>
            </w:r>
          </w:p>
        </w:tc>
        <w:tc>
          <w:tcPr>
            <w:tcW w:w="1585" w:type="dxa"/>
            <w:vAlign w:val="center"/>
          </w:tcPr>
          <w:p w14:paraId="25C4F459">
            <w:pPr>
              <w:adjustRightInd w:val="0"/>
              <w:snapToGrid w:val="0"/>
              <w:jc w:val="center"/>
              <w:rPr>
                <w:szCs w:val="21"/>
              </w:rPr>
            </w:pPr>
            <w:r>
              <w:rPr>
                <w:szCs w:val="21"/>
              </w:rPr>
              <w:t>污染物项目</w:t>
            </w:r>
          </w:p>
        </w:tc>
        <w:tc>
          <w:tcPr>
            <w:tcW w:w="1620" w:type="dxa"/>
            <w:vAlign w:val="center"/>
          </w:tcPr>
          <w:p w14:paraId="3F5DB624">
            <w:pPr>
              <w:adjustRightInd w:val="0"/>
              <w:snapToGrid w:val="0"/>
              <w:jc w:val="center"/>
              <w:rPr>
                <w:szCs w:val="21"/>
              </w:rPr>
            </w:pPr>
            <w:r>
              <w:rPr>
                <w:szCs w:val="21"/>
              </w:rPr>
              <w:t>环境保护措施</w:t>
            </w:r>
          </w:p>
        </w:tc>
        <w:tc>
          <w:tcPr>
            <w:tcW w:w="2736" w:type="dxa"/>
            <w:vAlign w:val="center"/>
          </w:tcPr>
          <w:p w14:paraId="229BD91F">
            <w:pPr>
              <w:adjustRightInd w:val="0"/>
              <w:snapToGrid w:val="0"/>
              <w:jc w:val="center"/>
              <w:rPr>
                <w:szCs w:val="21"/>
              </w:rPr>
            </w:pPr>
            <w:r>
              <w:rPr>
                <w:szCs w:val="21"/>
              </w:rPr>
              <w:t>执行标准</w:t>
            </w:r>
          </w:p>
        </w:tc>
      </w:tr>
      <w:tr w14:paraId="34F1E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88" w:type="dxa"/>
            <w:vMerge w:val="restart"/>
            <w:vAlign w:val="center"/>
          </w:tcPr>
          <w:p w14:paraId="1C3F9E75">
            <w:pPr>
              <w:adjustRightInd w:val="0"/>
              <w:snapToGrid w:val="0"/>
              <w:jc w:val="center"/>
              <w:rPr>
                <w:szCs w:val="21"/>
              </w:rPr>
            </w:pPr>
            <w:r>
              <w:rPr>
                <w:rFonts w:hint="eastAsia"/>
                <w:szCs w:val="21"/>
              </w:rPr>
              <w:t>大气环境</w:t>
            </w:r>
          </w:p>
        </w:tc>
        <w:tc>
          <w:tcPr>
            <w:tcW w:w="1480" w:type="dxa"/>
            <w:vAlign w:val="center"/>
          </w:tcPr>
          <w:p w14:paraId="12D16E49">
            <w:pPr>
              <w:adjustRightInd w:val="0"/>
              <w:snapToGrid w:val="0"/>
              <w:jc w:val="center"/>
              <w:rPr>
                <w:szCs w:val="21"/>
              </w:rPr>
            </w:pPr>
            <w:r>
              <w:rPr>
                <w:rFonts w:hint="eastAsia"/>
                <w:szCs w:val="21"/>
              </w:rPr>
              <w:t>1</w:t>
            </w:r>
            <w:r>
              <w:rPr>
                <w:szCs w:val="21"/>
              </w:rPr>
              <w:t>#排气筒（DA00</w:t>
            </w:r>
            <w:r>
              <w:rPr>
                <w:rFonts w:hint="eastAsia"/>
                <w:szCs w:val="21"/>
              </w:rPr>
              <w:t>1</w:t>
            </w:r>
            <w:r>
              <w:rPr>
                <w:szCs w:val="21"/>
              </w:rPr>
              <w:t>）</w:t>
            </w:r>
          </w:p>
        </w:tc>
        <w:tc>
          <w:tcPr>
            <w:tcW w:w="1585" w:type="dxa"/>
            <w:vAlign w:val="center"/>
          </w:tcPr>
          <w:p w14:paraId="4B236CDF">
            <w:pPr>
              <w:adjustRightInd w:val="0"/>
              <w:snapToGrid w:val="0"/>
              <w:jc w:val="center"/>
              <w:rPr>
                <w:rFonts w:hint="default" w:eastAsia="宋体"/>
                <w:szCs w:val="21"/>
                <w:lang w:val="en-US" w:eastAsia="zh-CN"/>
              </w:rPr>
            </w:pPr>
            <w:r>
              <w:rPr>
                <w:rFonts w:hint="eastAsia"/>
                <w:szCs w:val="21"/>
                <w:lang w:eastAsia="zh-CN"/>
              </w:rPr>
              <w:t>颗粒物</w:t>
            </w:r>
          </w:p>
        </w:tc>
        <w:tc>
          <w:tcPr>
            <w:tcW w:w="1620" w:type="dxa"/>
            <w:vAlign w:val="center"/>
          </w:tcPr>
          <w:p w14:paraId="676CC34E">
            <w:pPr>
              <w:adjustRightInd w:val="0"/>
              <w:snapToGrid w:val="0"/>
              <w:jc w:val="center"/>
              <w:rPr>
                <w:rFonts w:hint="eastAsia" w:eastAsia="宋体"/>
                <w:szCs w:val="21"/>
                <w:lang w:eastAsia="zh-CN"/>
              </w:rPr>
            </w:pPr>
            <w:r>
              <w:rPr>
                <w:rFonts w:hint="eastAsia"/>
                <w:szCs w:val="21"/>
                <w:lang w:val="en-US" w:eastAsia="zh-CN"/>
              </w:rPr>
              <w:t>布袋除尘</w:t>
            </w:r>
          </w:p>
        </w:tc>
        <w:tc>
          <w:tcPr>
            <w:tcW w:w="2736" w:type="dxa"/>
            <w:vAlign w:val="center"/>
          </w:tcPr>
          <w:p w14:paraId="26546B0F">
            <w:pPr>
              <w:adjustRightInd w:val="0"/>
              <w:snapToGrid w:val="0"/>
              <w:jc w:val="center"/>
              <w:rPr>
                <w:bCs/>
                <w:szCs w:val="21"/>
              </w:rPr>
            </w:pPr>
            <w:r>
              <w:rPr>
                <w:rFonts w:hint="eastAsia"/>
                <w:bCs/>
                <w:szCs w:val="21"/>
              </w:rPr>
              <w:t>《合成树脂工业污染物排放标准》（GB31572-2015）</w:t>
            </w:r>
            <w:r>
              <w:rPr>
                <w:rFonts w:hint="eastAsia"/>
                <w:bCs/>
                <w:szCs w:val="21"/>
                <w:lang w:eastAsia="zh-CN"/>
              </w:rPr>
              <w:t>及其修改清单；</w:t>
            </w:r>
            <w:r>
              <w:rPr>
                <w:rFonts w:hint="eastAsia"/>
                <w:bCs/>
                <w:szCs w:val="21"/>
              </w:rPr>
              <w:t>表5中的特别排放限值</w:t>
            </w:r>
          </w:p>
        </w:tc>
      </w:tr>
      <w:tr w14:paraId="1E3C4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88" w:type="dxa"/>
            <w:vMerge w:val="continue"/>
            <w:vAlign w:val="center"/>
          </w:tcPr>
          <w:p w14:paraId="6316D42C">
            <w:pPr>
              <w:adjustRightInd w:val="0"/>
              <w:snapToGrid w:val="0"/>
              <w:jc w:val="center"/>
              <w:rPr>
                <w:rFonts w:hint="eastAsia"/>
                <w:szCs w:val="21"/>
              </w:rPr>
            </w:pPr>
          </w:p>
        </w:tc>
        <w:tc>
          <w:tcPr>
            <w:tcW w:w="1480" w:type="dxa"/>
            <w:vAlign w:val="center"/>
          </w:tcPr>
          <w:p w14:paraId="746D21A2">
            <w:pPr>
              <w:adjustRightInd w:val="0"/>
              <w:snapToGrid w:val="0"/>
              <w:jc w:val="center"/>
              <w:rPr>
                <w:rFonts w:hint="eastAsia"/>
                <w:szCs w:val="21"/>
              </w:rPr>
            </w:pPr>
            <w:r>
              <w:rPr>
                <w:rFonts w:hint="eastAsia"/>
                <w:szCs w:val="21"/>
                <w:lang w:val="en-US" w:eastAsia="zh-CN"/>
              </w:rPr>
              <w:t>2</w:t>
            </w:r>
            <w:r>
              <w:rPr>
                <w:szCs w:val="21"/>
              </w:rPr>
              <w:t>#排气筒（DA00</w:t>
            </w:r>
            <w:r>
              <w:rPr>
                <w:rFonts w:hint="eastAsia"/>
                <w:szCs w:val="21"/>
                <w:lang w:val="en-US" w:eastAsia="zh-CN"/>
              </w:rPr>
              <w:t>2</w:t>
            </w:r>
            <w:r>
              <w:rPr>
                <w:szCs w:val="21"/>
              </w:rPr>
              <w:t>）</w:t>
            </w:r>
          </w:p>
        </w:tc>
        <w:tc>
          <w:tcPr>
            <w:tcW w:w="1585" w:type="dxa"/>
            <w:vAlign w:val="center"/>
          </w:tcPr>
          <w:p w14:paraId="5A202CD6">
            <w:pPr>
              <w:adjustRightInd w:val="0"/>
              <w:snapToGrid w:val="0"/>
              <w:jc w:val="center"/>
              <w:rPr>
                <w:rFonts w:hint="eastAsia" w:eastAsia="宋体"/>
                <w:szCs w:val="21"/>
                <w:lang w:eastAsia="zh-CN"/>
              </w:rPr>
            </w:pPr>
            <w:r>
              <w:rPr>
                <w:szCs w:val="21"/>
              </w:rPr>
              <w:t>非甲烷总烃</w:t>
            </w:r>
          </w:p>
        </w:tc>
        <w:tc>
          <w:tcPr>
            <w:tcW w:w="1620" w:type="dxa"/>
            <w:vAlign w:val="center"/>
          </w:tcPr>
          <w:p w14:paraId="7EC673CE">
            <w:pPr>
              <w:adjustRightInd w:val="0"/>
              <w:snapToGrid w:val="0"/>
              <w:jc w:val="center"/>
              <w:rPr>
                <w:szCs w:val="21"/>
              </w:rPr>
            </w:pPr>
            <w:r>
              <w:rPr>
                <w:rFonts w:hint="eastAsia"/>
                <w:lang w:eastAsia="zh-CN"/>
              </w:rPr>
              <w:t>水喷淋</w:t>
            </w:r>
            <w:r>
              <w:rPr>
                <w:rFonts w:hint="eastAsia"/>
                <w:lang w:val="en-US" w:eastAsia="zh-CN"/>
              </w:rPr>
              <w:t>+除雾除湿设施+</w:t>
            </w:r>
            <w:r>
              <w:rPr>
                <w:szCs w:val="21"/>
              </w:rPr>
              <w:t>二级活性炭吸附装置</w:t>
            </w:r>
          </w:p>
        </w:tc>
        <w:tc>
          <w:tcPr>
            <w:tcW w:w="2736" w:type="dxa"/>
            <w:vAlign w:val="center"/>
          </w:tcPr>
          <w:p w14:paraId="53A37AD7">
            <w:pPr>
              <w:adjustRightInd w:val="0"/>
              <w:snapToGrid w:val="0"/>
              <w:jc w:val="center"/>
            </w:pPr>
            <w:r>
              <w:rPr>
                <w:rFonts w:hint="eastAsia"/>
                <w:szCs w:val="21"/>
              </w:rPr>
              <w:t>《合成树脂工业污染物排放标准》（GB31572-2015）</w:t>
            </w:r>
            <w:r>
              <w:rPr>
                <w:rFonts w:hint="eastAsia"/>
                <w:bCs/>
                <w:szCs w:val="21"/>
                <w:lang w:eastAsia="zh-CN"/>
              </w:rPr>
              <w:t>及其修改清单</w:t>
            </w:r>
            <w:r>
              <w:rPr>
                <w:rFonts w:hint="eastAsia"/>
                <w:szCs w:val="21"/>
              </w:rPr>
              <w:t>表5中的特别排放限值</w:t>
            </w:r>
          </w:p>
        </w:tc>
      </w:tr>
      <w:tr w14:paraId="59217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488" w:type="dxa"/>
            <w:vMerge w:val="continue"/>
            <w:vAlign w:val="center"/>
          </w:tcPr>
          <w:p w14:paraId="52836467">
            <w:pPr>
              <w:adjustRightInd w:val="0"/>
              <w:snapToGrid w:val="0"/>
              <w:jc w:val="center"/>
              <w:rPr>
                <w:szCs w:val="21"/>
              </w:rPr>
            </w:pPr>
          </w:p>
        </w:tc>
        <w:tc>
          <w:tcPr>
            <w:tcW w:w="1480" w:type="dxa"/>
            <w:vAlign w:val="center"/>
          </w:tcPr>
          <w:p w14:paraId="1ABC64B9">
            <w:pPr>
              <w:adjustRightInd w:val="0"/>
              <w:snapToGrid w:val="0"/>
              <w:jc w:val="center"/>
              <w:rPr>
                <w:szCs w:val="21"/>
              </w:rPr>
            </w:pPr>
            <w:r>
              <w:rPr>
                <w:szCs w:val="21"/>
              </w:rPr>
              <w:t>无组织</w:t>
            </w:r>
          </w:p>
        </w:tc>
        <w:tc>
          <w:tcPr>
            <w:tcW w:w="1585" w:type="dxa"/>
            <w:vAlign w:val="center"/>
          </w:tcPr>
          <w:p w14:paraId="72BCE2C7">
            <w:pPr>
              <w:adjustRightInd w:val="0"/>
              <w:snapToGrid w:val="0"/>
              <w:jc w:val="center"/>
              <w:rPr>
                <w:rFonts w:hint="eastAsia" w:eastAsia="宋体"/>
                <w:szCs w:val="21"/>
                <w:lang w:eastAsia="zh-CN"/>
              </w:rPr>
            </w:pPr>
            <w:r>
              <w:rPr>
                <w:rFonts w:hint="eastAsia"/>
                <w:szCs w:val="21"/>
                <w:lang w:eastAsia="zh-CN"/>
              </w:rPr>
              <w:t>颗粒物、</w:t>
            </w:r>
            <w:r>
              <w:rPr>
                <w:szCs w:val="21"/>
              </w:rPr>
              <w:t>非甲烷总烃</w:t>
            </w:r>
            <w:r>
              <w:rPr>
                <w:rFonts w:hint="eastAsia"/>
                <w:szCs w:val="21"/>
                <w:lang w:eastAsia="zh-CN"/>
              </w:rPr>
              <w:t>、臭气浓度</w:t>
            </w:r>
          </w:p>
        </w:tc>
        <w:tc>
          <w:tcPr>
            <w:tcW w:w="1620" w:type="dxa"/>
            <w:vAlign w:val="center"/>
          </w:tcPr>
          <w:p w14:paraId="5895E235">
            <w:pPr>
              <w:adjustRightInd w:val="0"/>
              <w:snapToGrid w:val="0"/>
              <w:jc w:val="center"/>
              <w:rPr>
                <w:szCs w:val="21"/>
              </w:rPr>
            </w:pPr>
            <w:r>
              <w:rPr>
                <w:szCs w:val="21"/>
              </w:rPr>
              <w:t>/</w:t>
            </w:r>
          </w:p>
        </w:tc>
        <w:tc>
          <w:tcPr>
            <w:tcW w:w="2736" w:type="dxa"/>
            <w:vAlign w:val="center"/>
          </w:tcPr>
          <w:p w14:paraId="350E97F7">
            <w:pPr>
              <w:adjustRightInd w:val="0"/>
              <w:snapToGrid w:val="0"/>
              <w:jc w:val="center"/>
              <w:rPr>
                <w:bCs/>
                <w:szCs w:val="21"/>
              </w:rPr>
            </w:pPr>
            <w:r>
              <w:rPr>
                <w:rFonts w:hint="eastAsia"/>
                <w:szCs w:val="21"/>
              </w:rPr>
              <w:t>《合成树脂工业污染物排放标准》（GB31572-2015）</w:t>
            </w:r>
            <w:r>
              <w:rPr>
                <w:rFonts w:hint="eastAsia"/>
                <w:bCs/>
                <w:szCs w:val="21"/>
                <w:lang w:eastAsia="zh-CN"/>
              </w:rPr>
              <w:t>及其修改清单</w:t>
            </w:r>
            <w:r>
              <w:rPr>
                <w:rFonts w:hint="eastAsia"/>
                <w:szCs w:val="21"/>
              </w:rPr>
              <w:t>表5中的特别排放限值</w:t>
            </w:r>
            <w:r>
              <w:rPr>
                <w:szCs w:val="21"/>
              </w:rPr>
              <w:t>；</w:t>
            </w:r>
            <w:r>
              <w:rPr>
                <w:rFonts w:hint="eastAsia"/>
                <w:szCs w:val="21"/>
              </w:rPr>
              <w:t>《恶臭污染物排放标准》（GB14554-93）</w:t>
            </w:r>
          </w:p>
        </w:tc>
      </w:tr>
      <w:tr w14:paraId="47417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488" w:type="dxa"/>
            <w:vMerge w:val="restart"/>
            <w:vAlign w:val="center"/>
          </w:tcPr>
          <w:p w14:paraId="34197D5F">
            <w:pPr>
              <w:adjustRightInd w:val="0"/>
              <w:snapToGrid w:val="0"/>
              <w:jc w:val="center"/>
              <w:rPr>
                <w:szCs w:val="21"/>
              </w:rPr>
            </w:pPr>
            <w:r>
              <w:rPr>
                <w:szCs w:val="21"/>
              </w:rPr>
              <w:t>地表水环境</w:t>
            </w:r>
          </w:p>
        </w:tc>
        <w:tc>
          <w:tcPr>
            <w:tcW w:w="1480" w:type="dxa"/>
            <w:vMerge w:val="restart"/>
            <w:vAlign w:val="center"/>
          </w:tcPr>
          <w:p w14:paraId="51E772D8">
            <w:pPr>
              <w:adjustRightInd w:val="0"/>
              <w:snapToGrid w:val="0"/>
              <w:jc w:val="center"/>
              <w:rPr>
                <w:rFonts w:hint="default" w:eastAsia="宋体"/>
                <w:szCs w:val="21"/>
                <w:lang w:val="en-US" w:eastAsia="zh-CN"/>
              </w:rPr>
            </w:pPr>
            <w:r>
              <w:rPr>
                <w:rFonts w:hint="eastAsia"/>
                <w:szCs w:val="21"/>
                <w:lang w:eastAsia="zh-CN"/>
              </w:rPr>
              <w:t>污水排放口</w:t>
            </w:r>
            <w:r>
              <w:rPr>
                <w:rFonts w:hint="eastAsia"/>
                <w:szCs w:val="21"/>
                <w:lang w:val="en-US" w:eastAsia="zh-CN"/>
              </w:rPr>
              <w:t>DW001</w:t>
            </w:r>
          </w:p>
        </w:tc>
        <w:tc>
          <w:tcPr>
            <w:tcW w:w="1585" w:type="dxa"/>
            <w:vAlign w:val="center"/>
          </w:tcPr>
          <w:p w14:paraId="167E5619">
            <w:pPr>
              <w:adjustRightInd w:val="0"/>
              <w:snapToGrid w:val="0"/>
              <w:jc w:val="center"/>
              <w:rPr>
                <w:szCs w:val="21"/>
              </w:rPr>
            </w:pPr>
            <w:r>
              <w:rPr>
                <w:szCs w:val="21"/>
              </w:rPr>
              <w:t>化学需氧量</w:t>
            </w:r>
          </w:p>
        </w:tc>
        <w:tc>
          <w:tcPr>
            <w:tcW w:w="1620" w:type="dxa"/>
            <w:vMerge w:val="restart"/>
            <w:vAlign w:val="center"/>
          </w:tcPr>
          <w:p w14:paraId="082E4C15">
            <w:pPr>
              <w:adjustRightInd w:val="0"/>
              <w:snapToGrid w:val="0"/>
              <w:jc w:val="center"/>
              <w:rPr>
                <w:rFonts w:hint="eastAsia" w:eastAsia="宋体"/>
                <w:szCs w:val="21"/>
                <w:lang w:eastAsia="zh-CN"/>
              </w:rPr>
            </w:pPr>
            <w:r>
              <w:rPr>
                <w:szCs w:val="21"/>
              </w:rPr>
              <w:t>化粪池</w:t>
            </w:r>
            <w:r>
              <w:rPr>
                <w:rFonts w:hint="eastAsia"/>
                <w:szCs w:val="21"/>
                <w:lang w:eastAsia="zh-CN"/>
              </w:rPr>
              <w:t>、沉淀池</w:t>
            </w:r>
          </w:p>
        </w:tc>
        <w:tc>
          <w:tcPr>
            <w:tcW w:w="2736" w:type="dxa"/>
            <w:vMerge w:val="restart"/>
            <w:vAlign w:val="center"/>
          </w:tcPr>
          <w:p w14:paraId="40C8BF07">
            <w:pPr>
              <w:wordWrap w:val="0"/>
              <w:adjustRightInd w:val="0"/>
              <w:snapToGrid w:val="0"/>
              <w:jc w:val="center"/>
              <w:rPr>
                <w:rFonts w:hint="eastAsia" w:eastAsia="宋体"/>
                <w:szCs w:val="21"/>
                <w:lang w:eastAsia="zh-CN"/>
              </w:rPr>
            </w:pPr>
            <w:r>
              <w:rPr>
                <w:rFonts w:hint="eastAsia"/>
                <w:szCs w:val="21"/>
                <w:lang w:eastAsia="zh-CN"/>
              </w:rPr>
              <w:t>南通市</w:t>
            </w:r>
            <w:bookmarkStart w:id="23" w:name="_GoBack"/>
            <w:bookmarkEnd w:id="23"/>
            <w:r>
              <w:rPr>
                <w:rFonts w:hint="eastAsia"/>
                <w:szCs w:val="21"/>
                <w:lang w:eastAsia="zh-CN"/>
              </w:rPr>
              <w:t>东港排水有限公司</w:t>
            </w:r>
          </w:p>
        </w:tc>
      </w:tr>
      <w:tr w14:paraId="65A78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88" w:type="dxa"/>
            <w:vMerge w:val="continue"/>
            <w:vAlign w:val="center"/>
          </w:tcPr>
          <w:p w14:paraId="354071BD">
            <w:pPr>
              <w:adjustRightInd w:val="0"/>
              <w:snapToGrid w:val="0"/>
              <w:jc w:val="center"/>
              <w:rPr>
                <w:szCs w:val="21"/>
              </w:rPr>
            </w:pPr>
          </w:p>
        </w:tc>
        <w:tc>
          <w:tcPr>
            <w:tcW w:w="1480" w:type="dxa"/>
            <w:vMerge w:val="continue"/>
            <w:vAlign w:val="center"/>
          </w:tcPr>
          <w:p w14:paraId="12CC3821">
            <w:pPr>
              <w:adjustRightInd w:val="0"/>
              <w:snapToGrid w:val="0"/>
              <w:jc w:val="center"/>
              <w:rPr>
                <w:szCs w:val="21"/>
              </w:rPr>
            </w:pPr>
          </w:p>
        </w:tc>
        <w:tc>
          <w:tcPr>
            <w:tcW w:w="1585" w:type="dxa"/>
            <w:vAlign w:val="center"/>
          </w:tcPr>
          <w:p w14:paraId="5CACA08A">
            <w:pPr>
              <w:adjustRightInd w:val="0"/>
              <w:snapToGrid w:val="0"/>
              <w:jc w:val="center"/>
              <w:rPr>
                <w:szCs w:val="21"/>
              </w:rPr>
            </w:pPr>
            <w:r>
              <w:rPr>
                <w:szCs w:val="21"/>
              </w:rPr>
              <w:t>悬浮物</w:t>
            </w:r>
          </w:p>
        </w:tc>
        <w:tc>
          <w:tcPr>
            <w:tcW w:w="1620" w:type="dxa"/>
            <w:vMerge w:val="continue"/>
            <w:vAlign w:val="center"/>
          </w:tcPr>
          <w:p w14:paraId="4C586DFD">
            <w:pPr>
              <w:adjustRightInd w:val="0"/>
              <w:snapToGrid w:val="0"/>
              <w:jc w:val="center"/>
              <w:rPr>
                <w:szCs w:val="21"/>
              </w:rPr>
            </w:pPr>
          </w:p>
        </w:tc>
        <w:tc>
          <w:tcPr>
            <w:tcW w:w="2736" w:type="dxa"/>
            <w:vMerge w:val="continue"/>
            <w:vAlign w:val="center"/>
          </w:tcPr>
          <w:p w14:paraId="2316241F">
            <w:pPr>
              <w:wordWrap w:val="0"/>
              <w:adjustRightInd w:val="0"/>
              <w:snapToGrid w:val="0"/>
              <w:rPr>
                <w:szCs w:val="21"/>
              </w:rPr>
            </w:pPr>
          </w:p>
        </w:tc>
      </w:tr>
      <w:tr w14:paraId="1DF5A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vMerge w:val="continue"/>
            <w:vAlign w:val="center"/>
          </w:tcPr>
          <w:p w14:paraId="12AFAECD">
            <w:pPr>
              <w:adjustRightInd w:val="0"/>
              <w:snapToGrid w:val="0"/>
              <w:jc w:val="center"/>
              <w:rPr>
                <w:szCs w:val="21"/>
              </w:rPr>
            </w:pPr>
          </w:p>
        </w:tc>
        <w:tc>
          <w:tcPr>
            <w:tcW w:w="1480" w:type="dxa"/>
            <w:vMerge w:val="continue"/>
            <w:vAlign w:val="center"/>
          </w:tcPr>
          <w:p w14:paraId="7D139709">
            <w:pPr>
              <w:adjustRightInd w:val="0"/>
              <w:snapToGrid w:val="0"/>
              <w:jc w:val="center"/>
              <w:rPr>
                <w:szCs w:val="21"/>
              </w:rPr>
            </w:pPr>
          </w:p>
        </w:tc>
        <w:tc>
          <w:tcPr>
            <w:tcW w:w="1585" w:type="dxa"/>
            <w:vAlign w:val="center"/>
          </w:tcPr>
          <w:p w14:paraId="059D4743">
            <w:pPr>
              <w:adjustRightInd w:val="0"/>
              <w:snapToGrid w:val="0"/>
              <w:jc w:val="center"/>
              <w:rPr>
                <w:szCs w:val="21"/>
              </w:rPr>
            </w:pPr>
            <w:r>
              <w:rPr>
                <w:szCs w:val="21"/>
              </w:rPr>
              <w:t>氨氮</w:t>
            </w:r>
          </w:p>
        </w:tc>
        <w:tc>
          <w:tcPr>
            <w:tcW w:w="1620" w:type="dxa"/>
            <w:vMerge w:val="continue"/>
            <w:vAlign w:val="center"/>
          </w:tcPr>
          <w:p w14:paraId="14CBA2CC">
            <w:pPr>
              <w:adjustRightInd w:val="0"/>
              <w:snapToGrid w:val="0"/>
              <w:jc w:val="center"/>
              <w:rPr>
                <w:szCs w:val="21"/>
              </w:rPr>
            </w:pPr>
          </w:p>
        </w:tc>
        <w:tc>
          <w:tcPr>
            <w:tcW w:w="2736" w:type="dxa"/>
            <w:vMerge w:val="continue"/>
            <w:vAlign w:val="center"/>
          </w:tcPr>
          <w:p w14:paraId="2DE445C3">
            <w:pPr>
              <w:adjustRightInd w:val="0"/>
              <w:snapToGrid w:val="0"/>
              <w:jc w:val="center"/>
              <w:rPr>
                <w:szCs w:val="21"/>
              </w:rPr>
            </w:pPr>
          </w:p>
        </w:tc>
      </w:tr>
      <w:tr w14:paraId="5B442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88" w:type="dxa"/>
            <w:vMerge w:val="continue"/>
            <w:vAlign w:val="center"/>
          </w:tcPr>
          <w:p w14:paraId="58917416">
            <w:pPr>
              <w:adjustRightInd w:val="0"/>
              <w:snapToGrid w:val="0"/>
              <w:jc w:val="center"/>
              <w:rPr>
                <w:szCs w:val="21"/>
              </w:rPr>
            </w:pPr>
          </w:p>
        </w:tc>
        <w:tc>
          <w:tcPr>
            <w:tcW w:w="1480" w:type="dxa"/>
            <w:vMerge w:val="continue"/>
            <w:vAlign w:val="center"/>
          </w:tcPr>
          <w:p w14:paraId="45E33CFE">
            <w:pPr>
              <w:adjustRightInd w:val="0"/>
              <w:snapToGrid w:val="0"/>
              <w:jc w:val="center"/>
              <w:rPr>
                <w:szCs w:val="21"/>
              </w:rPr>
            </w:pPr>
          </w:p>
        </w:tc>
        <w:tc>
          <w:tcPr>
            <w:tcW w:w="1585" w:type="dxa"/>
            <w:vAlign w:val="center"/>
          </w:tcPr>
          <w:p w14:paraId="1520B369">
            <w:pPr>
              <w:adjustRightInd w:val="0"/>
              <w:snapToGrid w:val="0"/>
              <w:jc w:val="center"/>
              <w:rPr>
                <w:szCs w:val="21"/>
              </w:rPr>
            </w:pPr>
            <w:r>
              <w:rPr>
                <w:szCs w:val="21"/>
              </w:rPr>
              <w:t>总磷</w:t>
            </w:r>
          </w:p>
        </w:tc>
        <w:tc>
          <w:tcPr>
            <w:tcW w:w="1620" w:type="dxa"/>
            <w:vMerge w:val="continue"/>
            <w:vAlign w:val="center"/>
          </w:tcPr>
          <w:p w14:paraId="1F23CC10">
            <w:pPr>
              <w:adjustRightInd w:val="0"/>
              <w:snapToGrid w:val="0"/>
              <w:jc w:val="center"/>
              <w:rPr>
                <w:szCs w:val="21"/>
              </w:rPr>
            </w:pPr>
          </w:p>
        </w:tc>
        <w:tc>
          <w:tcPr>
            <w:tcW w:w="2736" w:type="dxa"/>
            <w:vMerge w:val="continue"/>
            <w:vAlign w:val="center"/>
          </w:tcPr>
          <w:p w14:paraId="2A35C925">
            <w:pPr>
              <w:adjustRightInd w:val="0"/>
              <w:snapToGrid w:val="0"/>
              <w:jc w:val="center"/>
              <w:rPr>
                <w:szCs w:val="21"/>
              </w:rPr>
            </w:pPr>
          </w:p>
        </w:tc>
      </w:tr>
      <w:tr w14:paraId="1CC10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88" w:type="dxa"/>
            <w:vMerge w:val="continue"/>
            <w:vAlign w:val="center"/>
          </w:tcPr>
          <w:p w14:paraId="1EDF4C38">
            <w:pPr>
              <w:adjustRightInd w:val="0"/>
              <w:snapToGrid w:val="0"/>
              <w:jc w:val="center"/>
              <w:rPr>
                <w:szCs w:val="21"/>
              </w:rPr>
            </w:pPr>
          </w:p>
        </w:tc>
        <w:tc>
          <w:tcPr>
            <w:tcW w:w="1480" w:type="dxa"/>
            <w:vMerge w:val="continue"/>
            <w:vAlign w:val="center"/>
          </w:tcPr>
          <w:p w14:paraId="0D97A20A">
            <w:pPr>
              <w:adjustRightInd w:val="0"/>
              <w:snapToGrid w:val="0"/>
              <w:jc w:val="center"/>
              <w:rPr>
                <w:szCs w:val="21"/>
              </w:rPr>
            </w:pPr>
          </w:p>
        </w:tc>
        <w:tc>
          <w:tcPr>
            <w:tcW w:w="1585" w:type="dxa"/>
            <w:vAlign w:val="center"/>
          </w:tcPr>
          <w:p w14:paraId="1FEF42FA">
            <w:pPr>
              <w:adjustRightInd w:val="0"/>
              <w:snapToGrid w:val="0"/>
              <w:jc w:val="center"/>
              <w:rPr>
                <w:szCs w:val="21"/>
              </w:rPr>
            </w:pPr>
            <w:r>
              <w:rPr>
                <w:szCs w:val="21"/>
              </w:rPr>
              <w:t>总氮</w:t>
            </w:r>
          </w:p>
        </w:tc>
        <w:tc>
          <w:tcPr>
            <w:tcW w:w="1620" w:type="dxa"/>
            <w:vMerge w:val="continue"/>
            <w:vAlign w:val="center"/>
          </w:tcPr>
          <w:p w14:paraId="7051A480">
            <w:pPr>
              <w:adjustRightInd w:val="0"/>
              <w:snapToGrid w:val="0"/>
              <w:jc w:val="center"/>
              <w:rPr>
                <w:szCs w:val="21"/>
              </w:rPr>
            </w:pPr>
          </w:p>
        </w:tc>
        <w:tc>
          <w:tcPr>
            <w:tcW w:w="2736" w:type="dxa"/>
            <w:vMerge w:val="continue"/>
            <w:vAlign w:val="center"/>
          </w:tcPr>
          <w:p w14:paraId="513C1D9F">
            <w:pPr>
              <w:adjustRightInd w:val="0"/>
              <w:snapToGrid w:val="0"/>
              <w:jc w:val="center"/>
              <w:rPr>
                <w:szCs w:val="21"/>
              </w:rPr>
            </w:pPr>
          </w:p>
        </w:tc>
      </w:tr>
      <w:tr w14:paraId="79261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88" w:type="dxa"/>
            <w:vAlign w:val="center"/>
          </w:tcPr>
          <w:p w14:paraId="3501C905">
            <w:pPr>
              <w:adjustRightInd w:val="0"/>
              <w:snapToGrid w:val="0"/>
              <w:jc w:val="center"/>
              <w:rPr>
                <w:szCs w:val="21"/>
              </w:rPr>
            </w:pPr>
            <w:r>
              <w:rPr>
                <w:szCs w:val="21"/>
              </w:rPr>
              <w:t>声环境</w:t>
            </w:r>
          </w:p>
        </w:tc>
        <w:tc>
          <w:tcPr>
            <w:tcW w:w="1480" w:type="dxa"/>
            <w:vAlign w:val="center"/>
          </w:tcPr>
          <w:p w14:paraId="0AB63B57">
            <w:pPr>
              <w:adjustRightInd w:val="0"/>
              <w:snapToGrid w:val="0"/>
              <w:jc w:val="center"/>
              <w:rPr>
                <w:szCs w:val="21"/>
              </w:rPr>
            </w:pPr>
            <w:r>
              <w:rPr>
                <w:szCs w:val="21"/>
              </w:rPr>
              <w:t>生产设备</w:t>
            </w:r>
          </w:p>
        </w:tc>
        <w:tc>
          <w:tcPr>
            <w:tcW w:w="1585" w:type="dxa"/>
            <w:vAlign w:val="center"/>
          </w:tcPr>
          <w:p w14:paraId="0B3B80C8">
            <w:pPr>
              <w:adjustRightInd w:val="0"/>
              <w:snapToGrid w:val="0"/>
              <w:jc w:val="center"/>
              <w:rPr>
                <w:szCs w:val="21"/>
              </w:rPr>
            </w:pPr>
            <w:r>
              <w:rPr>
                <w:szCs w:val="21"/>
              </w:rPr>
              <w:t>噪声</w:t>
            </w:r>
          </w:p>
        </w:tc>
        <w:tc>
          <w:tcPr>
            <w:tcW w:w="1620" w:type="dxa"/>
            <w:vAlign w:val="center"/>
          </w:tcPr>
          <w:p w14:paraId="012BBEF6">
            <w:pPr>
              <w:adjustRightInd w:val="0"/>
              <w:snapToGrid w:val="0"/>
              <w:jc w:val="center"/>
              <w:rPr>
                <w:szCs w:val="21"/>
              </w:rPr>
            </w:pPr>
            <w:r>
              <w:rPr>
                <w:szCs w:val="21"/>
              </w:rPr>
              <w:t>隔声、减振等</w:t>
            </w:r>
          </w:p>
        </w:tc>
        <w:tc>
          <w:tcPr>
            <w:tcW w:w="2736" w:type="dxa"/>
            <w:vAlign w:val="center"/>
          </w:tcPr>
          <w:p w14:paraId="6B0C847D">
            <w:pPr>
              <w:wordWrap w:val="0"/>
              <w:adjustRightInd w:val="0"/>
              <w:snapToGrid w:val="0"/>
              <w:rPr>
                <w:rFonts w:hint="eastAsia"/>
                <w:lang w:eastAsia="zh-CN"/>
              </w:rPr>
            </w:pPr>
            <w:r>
              <w:rPr>
                <w:rFonts w:hint="eastAsia" w:ascii="Times New Roman" w:hAnsi="Times New Roman" w:eastAsia="宋体" w:cs="Times New Roman"/>
                <w:szCs w:val="21"/>
                <w:lang w:eastAsia="zh-CN"/>
              </w:rPr>
              <w:t>执行《工业企业厂界环境噪声排放标准》（GB12348-2008）2类标准；</w:t>
            </w:r>
          </w:p>
        </w:tc>
      </w:tr>
      <w:tr w14:paraId="7A583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88" w:type="dxa"/>
            <w:vAlign w:val="center"/>
          </w:tcPr>
          <w:p w14:paraId="5DFB4F3E">
            <w:pPr>
              <w:adjustRightInd w:val="0"/>
              <w:snapToGrid w:val="0"/>
              <w:jc w:val="center"/>
              <w:rPr>
                <w:szCs w:val="21"/>
              </w:rPr>
            </w:pPr>
            <w:r>
              <w:rPr>
                <w:szCs w:val="21"/>
              </w:rPr>
              <w:t>电磁辐射</w:t>
            </w:r>
          </w:p>
        </w:tc>
        <w:tc>
          <w:tcPr>
            <w:tcW w:w="1480" w:type="dxa"/>
            <w:vAlign w:val="center"/>
          </w:tcPr>
          <w:p w14:paraId="7B7FFCDE">
            <w:pPr>
              <w:adjustRightInd w:val="0"/>
              <w:snapToGrid w:val="0"/>
              <w:jc w:val="center"/>
              <w:rPr>
                <w:szCs w:val="21"/>
              </w:rPr>
            </w:pPr>
            <w:r>
              <w:rPr>
                <w:szCs w:val="21"/>
              </w:rPr>
              <w:t>/</w:t>
            </w:r>
          </w:p>
        </w:tc>
        <w:tc>
          <w:tcPr>
            <w:tcW w:w="1585" w:type="dxa"/>
            <w:vAlign w:val="center"/>
          </w:tcPr>
          <w:p w14:paraId="6EDDAEEB">
            <w:pPr>
              <w:adjustRightInd w:val="0"/>
              <w:snapToGrid w:val="0"/>
              <w:jc w:val="center"/>
              <w:rPr>
                <w:szCs w:val="21"/>
              </w:rPr>
            </w:pPr>
            <w:r>
              <w:rPr>
                <w:szCs w:val="21"/>
              </w:rPr>
              <w:t>/</w:t>
            </w:r>
          </w:p>
        </w:tc>
        <w:tc>
          <w:tcPr>
            <w:tcW w:w="1620" w:type="dxa"/>
            <w:vAlign w:val="center"/>
          </w:tcPr>
          <w:p w14:paraId="0B2B9AAB">
            <w:pPr>
              <w:adjustRightInd w:val="0"/>
              <w:snapToGrid w:val="0"/>
              <w:jc w:val="center"/>
              <w:rPr>
                <w:szCs w:val="21"/>
              </w:rPr>
            </w:pPr>
            <w:r>
              <w:rPr>
                <w:szCs w:val="21"/>
              </w:rPr>
              <w:t>/</w:t>
            </w:r>
          </w:p>
        </w:tc>
        <w:tc>
          <w:tcPr>
            <w:tcW w:w="2736" w:type="dxa"/>
            <w:vAlign w:val="center"/>
          </w:tcPr>
          <w:p w14:paraId="71884511">
            <w:pPr>
              <w:adjustRightInd w:val="0"/>
              <w:snapToGrid w:val="0"/>
              <w:jc w:val="center"/>
              <w:rPr>
                <w:szCs w:val="21"/>
              </w:rPr>
            </w:pPr>
            <w:r>
              <w:rPr>
                <w:szCs w:val="21"/>
              </w:rPr>
              <w:t>/</w:t>
            </w:r>
          </w:p>
        </w:tc>
      </w:tr>
      <w:tr w14:paraId="01F8E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488" w:type="dxa"/>
            <w:vAlign w:val="center"/>
          </w:tcPr>
          <w:p w14:paraId="5BC126D6">
            <w:pPr>
              <w:adjustRightInd w:val="0"/>
              <w:snapToGrid w:val="0"/>
              <w:jc w:val="center"/>
              <w:rPr>
                <w:szCs w:val="21"/>
              </w:rPr>
            </w:pPr>
            <w:r>
              <w:rPr>
                <w:szCs w:val="21"/>
              </w:rPr>
              <w:t>固体废物</w:t>
            </w:r>
          </w:p>
        </w:tc>
        <w:tc>
          <w:tcPr>
            <w:tcW w:w="7421" w:type="dxa"/>
            <w:gridSpan w:val="4"/>
            <w:vAlign w:val="center"/>
          </w:tcPr>
          <w:p w14:paraId="3D4EC4A8">
            <w:pPr>
              <w:adjustRightInd w:val="0"/>
              <w:snapToGrid w:val="0"/>
              <w:spacing w:line="360" w:lineRule="exact"/>
              <w:ind w:firstLine="420" w:firstLineChars="200"/>
              <w:rPr>
                <w:szCs w:val="21"/>
              </w:rPr>
            </w:pPr>
            <w:r>
              <w:rPr>
                <w:rFonts w:hint="eastAsia"/>
                <w:szCs w:val="21"/>
                <w:lang w:eastAsia="zh-CN"/>
              </w:rPr>
              <w:t>一般固废</w:t>
            </w:r>
            <w:r>
              <w:rPr>
                <w:szCs w:val="21"/>
              </w:rPr>
              <w:t>收集后出售；生活垃圾委托环卫部门清运处置；</w:t>
            </w:r>
            <w:r>
              <w:rPr>
                <w:rFonts w:hint="eastAsia"/>
                <w:szCs w:val="21"/>
                <w:lang w:eastAsia="zh-CN"/>
              </w:rPr>
              <w:t>危险废物</w:t>
            </w:r>
            <w:r>
              <w:rPr>
                <w:szCs w:val="21"/>
              </w:rPr>
              <w:t>委托有资质单位处置。</w:t>
            </w:r>
          </w:p>
        </w:tc>
      </w:tr>
      <w:tr w14:paraId="635EC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8" w:type="dxa"/>
            <w:vAlign w:val="center"/>
          </w:tcPr>
          <w:p w14:paraId="2F0CD154">
            <w:pPr>
              <w:adjustRightInd w:val="0"/>
              <w:snapToGrid w:val="0"/>
              <w:jc w:val="center"/>
              <w:rPr>
                <w:szCs w:val="21"/>
              </w:rPr>
            </w:pPr>
            <w:r>
              <w:rPr>
                <w:szCs w:val="21"/>
              </w:rPr>
              <w:t>土壤及地下水</w:t>
            </w:r>
          </w:p>
          <w:p w14:paraId="514E3B22">
            <w:pPr>
              <w:adjustRightInd w:val="0"/>
              <w:snapToGrid w:val="0"/>
              <w:jc w:val="center"/>
              <w:rPr>
                <w:szCs w:val="21"/>
              </w:rPr>
            </w:pPr>
            <w:r>
              <w:rPr>
                <w:szCs w:val="21"/>
              </w:rPr>
              <w:t>污染防治措施</w:t>
            </w:r>
          </w:p>
        </w:tc>
        <w:tc>
          <w:tcPr>
            <w:tcW w:w="7421" w:type="dxa"/>
            <w:gridSpan w:val="4"/>
            <w:vAlign w:val="center"/>
          </w:tcPr>
          <w:p w14:paraId="13DF586F">
            <w:pPr>
              <w:adjustRightInd w:val="0"/>
              <w:snapToGrid w:val="0"/>
              <w:spacing w:line="360" w:lineRule="exact"/>
              <w:ind w:firstLine="420" w:firstLineChars="200"/>
              <w:rPr>
                <w:szCs w:val="21"/>
              </w:rPr>
            </w:pPr>
            <w:r>
              <w:rPr>
                <w:szCs w:val="21"/>
              </w:rPr>
              <w:t>针对本项目生产过程中废水及固体废物产生、输送和处理过程，采取合理有效的工程措施可防止污染物对地下水、土壤的污染。（1）源头控制：新建项目输水、排水管道等必须采取防渗措施，杜绝各类废水下渗的通道。另外，应严格废水的管理，强调节约用水，防止污水</w:t>
            </w:r>
            <w:r>
              <w:rPr>
                <w:rFonts w:hint="eastAsia"/>
                <w:szCs w:val="21"/>
              </w:rPr>
              <w:t>“</w:t>
            </w:r>
            <w:r>
              <w:rPr>
                <w:szCs w:val="21"/>
              </w:rPr>
              <w:t>跑、冒、滴、漏</w:t>
            </w:r>
            <w:r>
              <w:rPr>
                <w:rFonts w:hint="eastAsia"/>
                <w:szCs w:val="21"/>
              </w:rPr>
              <w:t>”</w:t>
            </w:r>
            <w:r>
              <w:rPr>
                <w:szCs w:val="21"/>
              </w:rPr>
              <w:t>，确保污水处理系统的正常运行。</w:t>
            </w:r>
          </w:p>
          <w:p w14:paraId="1E9D7D42">
            <w:pPr>
              <w:adjustRightInd w:val="0"/>
              <w:snapToGrid w:val="0"/>
              <w:spacing w:line="360" w:lineRule="exact"/>
              <w:ind w:firstLine="420" w:firstLineChars="200"/>
              <w:rPr>
                <w:szCs w:val="21"/>
              </w:rPr>
            </w:pPr>
            <w:r>
              <w:rPr>
                <w:szCs w:val="21"/>
              </w:rPr>
              <w:t>污水的转移运输管线敷设尽量采用</w:t>
            </w:r>
            <w:r>
              <w:rPr>
                <w:rFonts w:hint="eastAsia"/>
                <w:szCs w:val="21"/>
              </w:rPr>
              <w:t>“</w:t>
            </w:r>
            <w:r>
              <w:rPr>
                <w:szCs w:val="21"/>
              </w:rPr>
              <w:t>可视化</w:t>
            </w:r>
            <w:r>
              <w:rPr>
                <w:rFonts w:hint="eastAsia"/>
                <w:szCs w:val="21"/>
              </w:rPr>
              <w:t>”</w:t>
            </w:r>
            <w:r>
              <w:rPr>
                <w:szCs w:val="21"/>
              </w:rPr>
              <w:t>原则，即管道尽可能地上敷设，做到污染物</w:t>
            </w:r>
            <w:r>
              <w:rPr>
                <w:rFonts w:hint="eastAsia"/>
                <w:szCs w:val="21"/>
              </w:rPr>
              <w:t>“</w:t>
            </w:r>
            <w:r>
              <w:rPr>
                <w:szCs w:val="21"/>
              </w:rPr>
              <w:t>早发现、早处理</w:t>
            </w:r>
            <w:r>
              <w:rPr>
                <w:rFonts w:hint="eastAsia"/>
                <w:szCs w:val="21"/>
              </w:rPr>
              <w:t>”</w:t>
            </w:r>
            <w:r>
              <w:rPr>
                <w:szCs w:val="21"/>
              </w:rPr>
              <w:t>，以减少由于埋地管道泄漏而可能造成地下水污染。并且接口处要定期检查以免漏水。（2）末端控制：分区防控。主要包括厂内污染区地面的防渗措施和泄漏、渗漏污染物收集措施，从而避免对地下水的污染。结合项目各生产设备、贮存等因素，根据项目场地天然包气带防污性能、污染控制难易程度和污染物特性对全厂进行分区防控。</w:t>
            </w:r>
          </w:p>
        </w:tc>
      </w:tr>
      <w:tr w14:paraId="71B51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88" w:type="dxa"/>
            <w:vAlign w:val="center"/>
          </w:tcPr>
          <w:p w14:paraId="673AE71A">
            <w:pPr>
              <w:adjustRightInd w:val="0"/>
              <w:snapToGrid w:val="0"/>
              <w:jc w:val="center"/>
              <w:rPr>
                <w:szCs w:val="21"/>
              </w:rPr>
            </w:pPr>
            <w:r>
              <w:rPr>
                <w:szCs w:val="21"/>
              </w:rPr>
              <w:t>生态保护措施</w:t>
            </w:r>
          </w:p>
        </w:tc>
        <w:tc>
          <w:tcPr>
            <w:tcW w:w="7421" w:type="dxa"/>
            <w:gridSpan w:val="4"/>
            <w:vAlign w:val="center"/>
          </w:tcPr>
          <w:p w14:paraId="7CA77A9E">
            <w:pPr>
              <w:adjustRightInd w:val="0"/>
              <w:snapToGrid w:val="0"/>
              <w:spacing w:line="360" w:lineRule="exact"/>
              <w:jc w:val="center"/>
              <w:rPr>
                <w:szCs w:val="21"/>
              </w:rPr>
            </w:pPr>
            <w:r>
              <w:rPr>
                <w:szCs w:val="21"/>
              </w:rPr>
              <w:t>/</w:t>
            </w:r>
          </w:p>
        </w:tc>
      </w:tr>
      <w:tr w14:paraId="569A7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5" w:hRule="atLeast"/>
          <w:jc w:val="center"/>
        </w:trPr>
        <w:tc>
          <w:tcPr>
            <w:tcW w:w="1488" w:type="dxa"/>
            <w:vAlign w:val="center"/>
          </w:tcPr>
          <w:p w14:paraId="7B6B75E5">
            <w:pPr>
              <w:adjustRightInd w:val="0"/>
              <w:snapToGrid w:val="0"/>
              <w:jc w:val="center"/>
              <w:rPr>
                <w:szCs w:val="21"/>
              </w:rPr>
            </w:pPr>
            <w:r>
              <w:rPr>
                <w:szCs w:val="21"/>
              </w:rPr>
              <w:t>环境风险</w:t>
            </w:r>
          </w:p>
          <w:p w14:paraId="751DF691">
            <w:pPr>
              <w:adjustRightInd w:val="0"/>
              <w:snapToGrid w:val="0"/>
              <w:jc w:val="center"/>
              <w:rPr>
                <w:spacing w:val="-8"/>
                <w:szCs w:val="21"/>
              </w:rPr>
            </w:pPr>
            <w:r>
              <w:rPr>
                <w:szCs w:val="21"/>
              </w:rPr>
              <w:t>防范措施</w:t>
            </w:r>
          </w:p>
        </w:tc>
        <w:tc>
          <w:tcPr>
            <w:tcW w:w="7421" w:type="dxa"/>
            <w:gridSpan w:val="4"/>
            <w:vAlign w:val="center"/>
          </w:tcPr>
          <w:p w14:paraId="3E433577">
            <w:pPr>
              <w:adjustRightInd w:val="0"/>
              <w:snapToGrid w:val="0"/>
              <w:spacing w:line="360" w:lineRule="exact"/>
              <w:ind w:firstLine="420" w:firstLineChars="200"/>
              <w:rPr>
                <w:szCs w:val="21"/>
              </w:rPr>
            </w:pPr>
            <w:r>
              <w:rPr>
                <w:szCs w:val="21"/>
              </w:rPr>
              <w:t xml:space="preserve">①建立健全各种有关消防与安全生产的规章制度，建立岗位责任制。仓库、生产车间严禁明火。生产车间、公用工程、仓库等场所配置足量的泡沫、干粉等灭火器，并保持完好状态。 </w:t>
            </w:r>
          </w:p>
          <w:p w14:paraId="0F1F562A">
            <w:pPr>
              <w:adjustRightInd w:val="0"/>
              <w:snapToGrid w:val="0"/>
              <w:spacing w:line="360" w:lineRule="exact"/>
              <w:ind w:firstLine="420" w:firstLineChars="200"/>
              <w:rPr>
                <w:szCs w:val="21"/>
              </w:rPr>
            </w:pPr>
            <w:r>
              <w:rPr>
                <w:szCs w:val="21"/>
              </w:rPr>
              <w:t>②厂区留有足够的消防通道。生产车间、仓库设置消防给水管道和消防栓。厂部要组织义务消防员，并进行定期的培训和训练。对有火灾危险的场所设置自动报警系统，一旦发生火灾，立即做出应急反应。</w:t>
            </w:r>
          </w:p>
          <w:p w14:paraId="01B26C58">
            <w:pPr>
              <w:adjustRightInd w:val="0"/>
              <w:snapToGrid w:val="0"/>
              <w:spacing w:line="360" w:lineRule="exact"/>
              <w:ind w:firstLine="420" w:firstLineChars="200"/>
              <w:rPr>
                <w:szCs w:val="21"/>
              </w:rPr>
            </w:pPr>
            <w:r>
              <w:rPr>
                <w:szCs w:val="21"/>
              </w:rPr>
              <w:t xml:space="preserve">③对于危废仓库，建设单位拟设置监控系统，主要在仓库出入口、仓库内、厂门口等关键位置安装视频监控设施，进行实时监控，并与中控室联网。厂区门口拟设置危废信息公开栏，危废仓库外墙及各类危废贮存处墙面设置贮存设施警示标志牌。贮存过程建设单位拟在液态危险废物贮存容器下方设置不锈钢托盘，或在危废暂存场所设置地沟等，发生少量泄漏立即将容器内剩余溶液转移，并收集托盘、地沟内泄漏液体，防止泄漏物料挥发到大气中。 </w:t>
            </w:r>
          </w:p>
          <w:p w14:paraId="6649BF77">
            <w:pPr>
              <w:adjustRightInd w:val="0"/>
              <w:snapToGrid w:val="0"/>
              <w:spacing w:line="360" w:lineRule="exact"/>
              <w:ind w:firstLine="420" w:firstLineChars="200"/>
              <w:rPr>
                <w:szCs w:val="21"/>
              </w:rPr>
            </w:pPr>
            <w:r>
              <w:rPr>
                <w:szCs w:val="21"/>
              </w:rPr>
              <w:t>④仓库设置导流沟，厂区内的雨水管道、事故沟收集系统要严格分开，设置切换阀。</w:t>
            </w:r>
          </w:p>
        </w:tc>
      </w:tr>
      <w:tr w14:paraId="342EB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4" w:hRule="atLeast"/>
          <w:jc w:val="center"/>
        </w:trPr>
        <w:tc>
          <w:tcPr>
            <w:tcW w:w="1488" w:type="dxa"/>
            <w:vAlign w:val="center"/>
          </w:tcPr>
          <w:p w14:paraId="679342DF">
            <w:pPr>
              <w:adjustRightInd w:val="0"/>
              <w:snapToGrid w:val="0"/>
              <w:jc w:val="center"/>
              <w:rPr>
                <w:spacing w:val="-8"/>
                <w:szCs w:val="21"/>
              </w:rPr>
            </w:pPr>
            <w:r>
              <w:rPr>
                <w:spacing w:val="-8"/>
                <w:szCs w:val="21"/>
              </w:rPr>
              <w:t>其他环境</w:t>
            </w:r>
          </w:p>
          <w:p w14:paraId="3FC79A0D">
            <w:pPr>
              <w:adjustRightInd w:val="0"/>
              <w:snapToGrid w:val="0"/>
              <w:jc w:val="center"/>
              <w:rPr>
                <w:spacing w:val="-8"/>
                <w:szCs w:val="21"/>
              </w:rPr>
            </w:pPr>
            <w:r>
              <w:rPr>
                <w:spacing w:val="-8"/>
                <w:szCs w:val="21"/>
              </w:rPr>
              <w:t>管理要求</w:t>
            </w:r>
          </w:p>
        </w:tc>
        <w:tc>
          <w:tcPr>
            <w:tcW w:w="7421" w:type="dxa"/>
            <w:gridSpan w:val="4"/>
            <w:vAlign w:val="center"/>
          </w:tcPr>
          <w:p w14:paraId="5E91E390">
            <w:pPr>
              <w:adjustRightInd w:val="0"/>
              <w:snapToGrid w:val="0"/>
              <w:spacing w:line="360" w:lineRule="exact"/>
              <w:ind w:firstLine="420" w:firstLineChars="200"/>
            </w:pPr>
            <w:r>
              <w:t>①项目的建设应切实履行配套的环境保护设施与主体工程同时设计、同时施工、同时投产使用的</w:t>
            </w:r>
            <w:r>
              <w:rPr>
                <w:szCs w:val="21"/>
              </w:rPr>
              <w:t>“</w:t>
            </w:r>
            <w:r>
              <w:t>三同时</w:t>
            </w:r>
            <w:r>
              <w:rPr>
                <w:szCs w:val="21"/>
              </w:rPr>
              <w:t>”</w:t>
            </w:r>
            <w:r>
              <w:t>制度。</w:t>
            </w:r>
          </w:p>
          <w:p w14:paraId="66C45025">
            <w:pPr>
              <w:adjustRightInd w:val="0"/>
              <w:snapToGrid w:val="0"/>
              <w:spacing w:line="360" w:lineRule="exact"/>
              <w:ind w:firstLine="420" w:firstLineChars="200"/>
            </w:pPr>
            <w:r>
              <w:t>②应按有关法规的要求，严格执行排污许可制度。</w:t>
            </w:r>
            <w:r>
              <w:rPr>
                <w:rFonts w:hint="eastAsia"/>
              </w:rPr>
              <w:t>根据</w:t>
            </w:r>
            <w:r>
              <w:t>《固定源排污许可分类管理名录》（2019 版）</w:t>
            </w:r>
            <w:r>
              <w:rPr>
                <w:rFonts w:hint="eastAsia"/>
              </w:rPr>
              <w:t>，项目属于“二十四、橡胶和塑料制品业29”中“塑料制品业292 其他”实施</w:t>
            </w:r>
            <w:r>
              <w:rPr>
                <w:rFonts w:hint="eastAsia"/>
                <w:lang w:eastAsia="zh-CN"/>
              </w:rPr>
              <w:t>登记</w:t>
            </w:r>
            <w:r>
              <w:rPr>
                <w:rFonts w:hint="eastAsia"/>
              </w:rPr>
              <w:t>管理。</w:t>
            </w:r>
          </w:p>
          <w:p w14:paraId="212105B8">
            <w:pPr>
              <w:adjustRightInd w:val="0"/>
              <w:snapToGrid w:val="0"/>
              <w:spacing w:line="360" w:lineRule="exact"/>
              <w:ind w:firstLine="420" w:firstLineChars="200"/>
            </w:pPr>
            <w:r>
              <w:t>③本项目配套建设的环境保护设施必须与主体工程同时建成和投产使用，并按规定程序实施竣工环境保护验收，验收合格方可投入生产。</w:t>
            </w:r>
          </w:p>
          <w:p w14:paraId="6D0F6447">
            <w:pPr>
              <w:adjustRightInd w:val="0"/>
              <w:snapToGrid w:val="0"/>
              <w:spacing w:line="360" w:lineRule="exact"/>
              <w:ind w:firstLine="420" w:firstLineChars="200"/>
            </w:pPr>
            <w:r>
              <w:t>④项目的性质、规模、地点、采用的生产工艺或者防治污染、防止生态破坏的措施发生重大变动的应当重新报批环境影响报告表。自环评批复之日起超过5年，方决定项目开工建设的，其环境影响报告表应重新报批审核。</w:t>
            </w:r>
          </w:p>
          <w:p w14:paraId="140708AC">
            <w:pPr>
              <w:adjustRightInd w:val="0"/>
              <w:snapToGrid w:val="0"/>
              <w:spacing w:line="360" w:lineRule="exact"/>
              <w:ind w:firstLine="420" w:firstLineChars="200"/>
            </w:pPr>
            <w:r>
              <w:t>⑤建设单位应根据《关于做好生态环境和应急管理部门联动工作的意见》（苏环办〔2020〕101号），开展环保设施安全风险辨识，健全内部污染防治设施稳定运行和管理责任制度，严格依据标准规范建设环境治理设施，确保环境治理设施安全、稳定、有效运行。</w:t>
            </w:r>
          </w:p>
        </w:tc>
      </w:tr>
    </w:tbl>
    <w:p w14:paraId="668E1A45">
      <w:pPr>
        <w:sectPr>
          <w:pgSz w:w="11906" w:h="16838"/>
          <w:pgMar w:top="1701" w:right="1531" w:bottom="1701" w:left="1531" w:header="851" w:footer="794" w:gutter="0"/>
          <w:pgBorders>
            <w:top w:val="none" w:sz="0" w:space="0"/>
            <w:left w:val="none" w:sz="0" w:space="0"/>
            <w:bottom w:val="none" w:sz="0" w:space="0"/>
            <w:right w:val="none" w:sz="0" w:space="0"/>
          </w:pgBorders>
          <w:pgNumType w:fmt="numberInDash"/>
          <w:cols w:space="720" w:num="1"/>
          <w:docGrid w:type="lines" w:linePitch="315" w:charSpace="0"/>
        </w:sectPr>
      </w:pPr>
    </w:p>
    <w:p w14:paraId="0EC0787C">
      <w:pPr>
        <w:jc w:val="center"/>
        <w:outlineLvl w:val="0"/>
        <w:rPr>
          <w:rFonts w:ascii="黑体" w:hAnsi="黑体" w:eastAsia="黑体"/>
          <w:sz w:val="30"/>
          <w:szCs w:val="30"/>
        </w:rPr>
      </w:pPr>
      <w:r>
        <w:rPr>
          <w:rFonts w:hint="eastAsia" w:ascii="黑体" w:hAnsi="黑体" w:eastAsia="黑体"/>
          <w:sz w:val="30"/>
          <w:szCs w:val="30"/>
        </w:rPr>
        <w:t>六、结论</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8"/>
      </w:tblGrid>
      <w:tr w14:paraId="5736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7" w:hRule="atLeast"/>
          <w:jc w:val="center"/>
        </w:trPr>
        <w:tc>
          <w:tcPr>
            <w:tcW w:w="8958" w:type="dxa"/>
          </w:tcPr>
          <w:p w14:paraId="540E8F6E">
            <w:pPr>
              <w:adjustRightInd w:val="0"/>
              <w:snapToGrid w:val="0"/>
              <w:spacing w:line="500" w:lineRule="exact"/>
              <w:ind w:firstLine="420" w:firstLineChars="200"/>
              <w:rPr>
                <w:szCs w:val="21"/>
              </w:rPr>
            </w:pPr>
            <w:r>
              <w:rPr>
                <w:szCs w:val="21"/>
              </w:rPr>
              <w:t>综上所述，项目符合国家相关产业政策，选址合理，符合清洁生产要求，污染防治措施可行，在认真落实各项环境污染治理和环境管理措施的前提下，各污染物均能实现达标排放且环境影响较小；企业必须切实落实事故防范措施杜绝事故的发生，同时建立完善的事故应急预案，将事故对环境的影响降至最小。从环保角度看，</w:t>
            </w:r>
            <w:r>
              <w:rPr>
                <w:rFonts w:hint="eastAsia"/>
                <w:szCs w:val="21"/>
              </w:rPr>
              <w:t>南通华略高新材料科技有限公司</w:t>
            </w:r>
            <w:r>
              <w:rPr>
                <w:szCs w:val="21"/>
              </w:rPr>
              <w:t>在</w:t>
            </w:r>
            <w:r>
              <w:rPr>
                <w:rFonts w:hint="eastAsia"/>
                <w:szCs w:val="21"/>
              </w:rPr>
              <w:t>南通市通州区刘桥镇蒋一村十五组</w:t>
            </w:r>
            <w:r>
              <w:rPr>
                <w:szCs w:val="21"/>
              </w:rPr>
              <w:t>建设</w:t>
            </w:r>
            <w:r>
              <w:rPr>
                <w:rFonts w:hint="eastAsia"/>
                <w:szCs w:val="21"/>
              </w:rPr>
              <w:t>“年产</w:t>
            </w:r>
            <w:r>
              <w:rPr>
                <w:rFonts w:hint="eastAsia"/>
                <w:szCs w:val="21"/>
                <w:lang w:val="en-US" w:eastAsia="zh-CN"/>
              </w:rPr>
              <w:t>1000</w:t>
            </w:r>
            <w:r>
              <w:rPr>
                <w:rFonts w:hint="eastAsia"/>
                <w:szCs w:val="21"/>
              </w:rPr>
              <w:t>吨色母粒项目”</w:t>
            </w:r>
            <w:r>
              <w:rPr>
                <w:szCs w:val="21"/>
              </w:rPr>
              <w:t>具有环境可行性。</w:t>
            </w:r>
          </w:p>
          <w:p w14:paraId="7B27C222">
            <w:pPr>
              <w:adjustRightInd w:val="0"/>
              <w:snapToGrid w:val="0"/>
              <w:spacing w:line="500" w:lineRule="exact"/>
              <w:ind w:firstLine="420" w:firstLineChars="200"/>
              <w:rPr>
                <w:szCs w:val="21"/>
              </w:rPr>
            </w:pPr>
          </w:p>
          <w:p w14:paraId="6271CA5C">
            <w:pPr>
              <w:adjustRightInd w:val="0"/>
              <w:snapToGrid w:val="0"/>
              <w:spacing w:line="500" w:lineRule="exact"/>
              <w:ind w:firstLine="420" w:firstLineChars="200"/>
              <w:rPr>
                <w:szCs w:val="21"/>
              </w:rPr>
            </w:pPr>
          </w:p>
          <w:p w14:paraId="6CE9F3A1">
            <w:pPr>
              <w:adjustRightInd w:val="0"/>
              <w:snapToGrid w:val="0"/>
              <w:spacing w:line="500" w:lineRule="exact"/>
              <w:ind w:firstLine="420" w:firstLineChars="200"/>
              <w:rPr>
                <w:szCs w:val="21"/>
              </w:rPr>
            </w:pPr>
          </w:p>
          <w:p w14:paraId="1D3BFA9D">
            <w:pPr>
              <w:adjustRightInd w:val="0"/>
              <w:snapToGrid w:val="0"/>
              <w:spacing w:line="500" w:lineRule="exact"/>
              <w:ind w:firstLine="420" w:firstLineChars="200"/>
              <w:rPr>
                <w:szCs w:val="21"/>
              </w:rPr>
            </w:pPr>
          </w:p>
          <w:p w14:paraId="483D004E">
            <w:pPr>
              <w:adjustRightInd w:val="0"/>
              <w:snapToGrid w:val="0"/>
              <w:spacing w:line="500" w:lineRule="exact"/>
              <w:ind w:firstLine="420" w:firstLineChars="200"/>
              <w:rPr>
                <w:szCs w:val="21"/>
              </w:rPr>
            </w:pPr>
          </w:p>
          <w:p w14:paraId="69AA4777">
            <w:pPr>
              <w:adjustRightInd w:val="0"/>
              <w:snapToGrid w:val="0"/>
              <w:spacing w:line="500" w:lineRule="exact"/>
              <w:ind w:firstLine="420" w:firstLineChars="200"/>
              <w:rPr>
                <w:szCs w:val="21"/>
              </w:rPr>
            </w:pPr>
          </w:p>
          <w:p w14:paraId="56AB2629">
            <w:pPr>
              <w:adjustRightInd w:val="0"/>
              <w:snapToGrid w:val="0"/>
              <w:spacing w:line="500" w:lineRule="exact"/>
              <w:ind w:firstLine="420" w:firstLineChars="200"/>
              <w:rPr>
                <w:szCs w:val="21"/>
              </w:rPr>
            </w:pPr>
          </w:p>
          <w:p w14:paraId="5B9DCA12">
            <w:pPr>
              <w:adjustRightInd w:val="0"/>
              <w:snapToGrid w:val="0"/>
              <w:spacing w:line="500" w:lineRule="exact"/>
              <w:ind w:firstLine="420" w:firstLineChars="200"/>
              <w:rPr>
                <w:szCs w:val="21"/>
              </w:rPr>
            </w:pPr>
          </w:p>
          <w:p w14:paraId="3C812CE4">
            <w:pPr>
              <w:adjustRightInd w:val="0"/>
              <w:snapToGrid w:val="0"/>
              <w:spacing w:line="500" w:lineRule="exact"/>
              <w:ind w:firstLine="420" w:firstLineChars="200"/>
              <w:rPr>
                <w:szCs w:val="21"/>
              </w:rPr>
            </w:pPr>
          </w:p>
        </w:tc>
      </w:tr>
    </w:tbl>
    <w:p w14:paraId="539DDC88">
      <w:pPr>
        <w:sectPr>
          <w:pgSz w:w="11906" w:h="16838"/>
          <w:pgMar w:top="1701" w:right="1531" w:bottom="1701" w:left="1531" w:header="851" w:footer="794" w:gutter="0"/>
          <w:pgBorders>
            <w:top w:val="none" w:sz="0" w:space="0"/>
            <w:left w:val="none" w:sz="0" w:space="0"/>
            <w:bottom w:val="none" w:sz="0" w:space="0"/>
            <w:right w:val="none" w:sz="0" w:space="0"/>
          </w:pgBorders>
          <w:pgNumType w:fmt="numberInDash"/>
          <w:cols w:space="720" w:num="1"/>
          <w:docGrid w:type="lines" w:linePitch="315" w:charSpace="0"/>
        </w:sectPr>
      </w:pPr>
    </w:p>
    <w:p w14:paraId="2CABC0D6">
      <w:pPr>
        <w:pStyle w:val="14"/>
        <w:adjustRightInd w:val="0"/>
        <w:snapToGrid w:val="0"/>
        <w:spacing w:before="0" w:beforeAutospacing="0" w:after="0" w:afterAutospacing="0"/>
        <w:outlineLvl w:val="0"/>
        <w:rPr>
          <w:rFonts w:ascii="方正小标宋_GBK" w:hAnsi="黑体" w:eastAsia="方正小标宋_GBK"/>
          <w:snapToGrid w:val="0"/>
          <w:sz w:val="32"/>
          <w:szCs w:val="32"/>
        </w:rPr>
      </w:pPr>
      <w:r>
        <w:rPr>
          <w:rFonts w:hint="eastAsia" w:ascii="方正小标宋_GBK" w:hAnsi="黑体" w:eastAsia="方正小标宋_GBK"/>
          <w:snapToGrid w:val="0"/>
          <w:sz w:val="32"/>
          <w:szCs w:val="32"/>
        </w:rPr>
        <w:t>附表</w:t>
      </w:r>
    </w:p>
    <w:p w14:paraId="2BAFF216">
      <w:pPr>
        <w:pStyle w:val="14"/>
        <w:adjustRightInd w:val="0"/>
        <w:snapToGrid w:val="0"/>
        <w:spacing w:before="0" w:beforeAutospacing="0" w:after="0" w:afterAutospacing="0"/>
        <w:jc w:val="center"/>
        <w:rPr>
          <w:rFonts w:ascii="方正小标宋_GBK" w:hAnsi="黑体" w:eastAsia="方正小标宋_GBK"/>
          <w:snapToGrid w:val="0"/>
          <w:sz w:val="36"/>
          <w:szCs w:val="36"/>
        </w:rPr>
      </w:pPr>
      <w:r>
        <w:rPr>
          <w:rFonts w:hint="eastAsia" w:ascii="方正小标宋_GBK" w:hAnsi="黑体" w:eastAsia="方正小标宋_GBK"/>
          <w:snapToGrid w:val="0"/>
          <w:sz w:val="32"/>
          <w:szCs w:val="32"/>
        </w:rPr>
        <w:t>建设项目污染物排放量汇总表</w:t>
      </w:r>
    </w:p>
    <w:tbl>
      <w:tblPr>
        <w:tblStyle w:val="16"/>
        <w:tblW w:w="143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701"/>
        <w:gridCol w:w="1585"/>
        <w:gridCol w:w="1505"/>
        <w:gridCol w:w="1559"/>
        <w:gridCol w:w="1559"/>
        <w:gridCol w:w="1985"/>
        <w:gridCol w:w="1842"/>
        <w:gridCol w:w="1189"/>
      </w:tblGrid>
      <w:tr w14:paraId="73D84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420" w:type="dxa"/>
            <w:tcBorders>
              <w:tl2br w:val="single" w:color="auto" w:sz="4" w:space="0"/>
            </w:tcBorders>
            <w:tcMar>
              <w:left w:w="28" w:type="dxa"/>
              <w:right w:w="28" w:type="dxa"/>
            </w:tcMar>
            <w:vAlign w:val="center"/>
          </w:tcPr>
          <w:p w14:paraId="1629AACC">
            <w:pPr>
              <w:jc w:val="center"/>
              <w:rPr>
                <w:szCs w:val="21"/>
              </w:rPr>
            </w:pPr>
            <w:r>
              <w:rPr>
                <w:rFonts w:hint="eastAsia"/>
                <w:szCs w:val="21"/>
                <w:lang w:val="en-US" w:eastAsia="zh-CN"/>
              </w:rPr>
              <w:t xml:space="preserve">      </w:t>
            </w:r>
            <w:r>
              <w:rPr>
                <w:szCs w:val="21"/>
              </w:rPr>
              <w:t>项目</w:t>
            </w:r>
          </w:p>
          <w:p w14:paraId="14FAB501">
            <w:pPr>
              <w:jc w:val="both"/>
              <w:rPr>
                <w:szCs w:val="21"/>
              </w:rPr>
            </w:pPr>
            <w:r>
              <w:rPr>
                <w:szCs w:val="21"/>
              </w:rPr>
              <w:t>分类</w:t>
            </w:r>
          </w:p>
        </w:tc>
        <w:tc>
          <w:tcPr>
            <w:tcW w:w="1701" w:type="dxa"/>
            <w:tcMar>
              <w:left w:w="28" w:type="dxa"/>
              <w:right w:w="28" w:type="dxa"/>
            </w:tcMar>
            <w:vAlign w:val="center"/>
          </w:tcPr>
          <w:p w14:paraId="17B683A9">
            <w:pPr>
              <w:jc w:val="center"/>
              <w:rPr>
                <w:szCs w:val="21"/>
              </w:rPr>
            </w:pPr>
            <w:r>
              <w:rPr>
                <w:szCs w:val="21"/>
              </w:rPr>
              <w:t>污染物名称</w:t>
            </w:r>
          </w:p>
        </w:tc>
        <w:tc>
          <w:tcPr>
            <w:tcW w:w="1585" w:type="dxa"/>
            <w:tcMar>
              <w:left w:w="28" w:type="dxa"/>
              <w:right w:w="28" w:type="dxa"/>
            </w:tcMar>
            <w:vAlign w:val="center"/>
          </w:tcPr>
          <w:p w14:paraId="1F4D2BAC">
            <w:pPr>
              <w:jc w:val="center"/>
              <w:rPr>
                <w:szCs w:val="21"/>
              </w:rPr>
            </w:pPr>
            <w:r>
              <w:rPr>
                <w:szCs w:val="21"/>
              </w:rPr>
              <w:t>现有工程</w:t>
            </w:r>
          </w:p>
          <w:p w14:paraId="0D1D21D5">
            <w:pPr>
              <w:jc w:val="center"/>
              <w:rPr>
                <w:szCs w:val="21"/>
              </w:rPr>
            </w:pPr>
            <w:r>
              <w:rPr>
                <w:szCs w:val="21"/>
              </w:rPr>
              <w:t>排放量（固体废物产生量）</w:t>
            </w:r>
            <w:r>
              <w:rPr>
                <w:szCs w:val="21"/>
              </w:rPr>
              <w:fldChar w:fldCharType="begin"/>
            </w:r>
            <w:r>
              <w:rPr>
                <w:szCs w:val="21"/>
              </w:rPr>
              <w:instrText xml:space="preserve"> = 1 \* GB3 \* MERGEFORMAT </w:instrText>
            </w:r>
            <w:r>
              <w:rPr>
                <w:szCs w:val="21"/>
              </w:rPr>
              <w:fldChar w:fldCharType="separate"/>
            </w:r>
            <w:r>
              <w:rPr>
                <w:szCs w:val="21"/>
              </w:rPr>
              <w:t>①</w:t>
            </w:r>
            <w:r>
              <w:rPr>
                <w:szCs w:val="21"/>
              </w:rPr>
              <w:fldChar w:fldCharType="end"/>
            </w:r>
          </w:p>
        </w:tc>
        <w:tc>
          <w:tcPr>
            <w:tcW w:w="1505" w:type="dxa"/>
            <w:tcMar>
              <w:left w:w="28" w:type="dxa"/>
              <w:right w:w="28" w:type="dxa"/>
            </w:tcMar>
            <w:vAlign w:val="center"/>
          </w:tcPr>
          <w:p w14:paraId="05C54446">
            <w:pPr>
              <w:jc w:val="center"/>
              <w:rPr>
                <w:szCs w:val="21"/>
              </w:rPr>
            </w:pPr>
            <w:r>
              <w:rPr>
                <w:szCs w:val="21"/>
              </w:rPr>
              <w:t>现有工程</w:t>
            </w:r>
          </w:p>
          <w:p w14:paraId="02F35480">
            <w:pPr>
              <w:jc w:val="center"/>
              <w:rPr>
                <w:szCs w:val="21"/>
              </w:rPr>
            </w:pPr>
            <w:r>
              <w:rPr>
                <w:szCs w:val="21"/>
              </w:rPr>
              <w:t>许可排放量</w:t>
            </w:r>
            <w:r>
              <w:rPr>
                <w:szCs w:val="21"/>
              </w:rPr>
              <w:fldChar w:fldCharType="begin"/>
            </w:r>
            <w:r>
              <w:rPr>
                <w:szCs w:val="21"/>
              </w:rPr>
              <w:instrText xml:space="preserve"> = 2 \* GB3 \* MERGEFORMAT </w:instrText>
            </w:r>
            <w:r>
              <w:rPr>
                <w:szCs w:val="21"/>
              </w:rPr>
              <w:fldChar w:fldCharType="separate"/>
            </w:r>
            <w:r>
              <w:rPr>
                <w:szCs w:val="21"/>
              </w:rPr>
              <w:t>②</w:t>
            </w:r>
            <w:r>
              <w:rPr>
                <w:szCs w:val="21"/>
              </w:rPr>
              <w:fldChar w:fldCharType="end"/>
            </w:r>
          </w:p>
        </w:tc>
        <w:tc>
          <w:tcPr>
            <w:tcW w:w="1559" w:type="dxa"/>
            <w:tcMar>
              <w:left w:w="28" w:type="dxa"/>
              <w:right w:w="28" w:type="dxa"/>
            </w:tcMar>
            <w:vAlign w:val="center"/>
          </w:tcPr>
          <w:p w14:paraId="0FB3F238">
            <w:pPr>
              <w:jc w:val="center"/>
              <w:rPr>
                <w:szCs w:val="21"/>
              </w:rPr>
            </w:pPr>
            <w:r>
              <w:rPr>
                <w:szCs w:val="21"/>
              </w:rPr>
              <w:t>在建工程</w:t>
            </w:r>
          </w:p>
          <w:p w14:paraId="659BAE61">
            <w:pPr>
              <w:jc w:val="center"/>
              <w:rPr>
                <w:szCs w:val="21"/>
              </w:rPr>
            </w:pPr>
            <w:r>
              <w:rPr>
                <w:szCs w:val="21"/>
              </w:rPr>
              <w:t>排放量（固体废物产生量）</w:t>
            </w:r>
            <w:r>
              <w:rPr>
                <w:szCs w:val="21"/>
              </w:rPr>
              <w:fldChar w:fldCharType="begin"/>
            </w:r>
            <w:r>
              <w:rPr>
                <w:szCs w:val="21"/>
              </w:rPr>
              <w:instrText xml:space="preserve"> = 3 \* GB3 \* MERGEFORMAT </w:instrText>
            </w:r>
            <w:r>
              <w:rPr>
                <w:szCs w:val="21"/>
              </w:rPr>
              <w:fldChar w:fldCharType="separate"/>
            </w:r>
            <w:r>
              <w:rPr>
                <w:szCs w:val="21"/>
              </w:rPr>
              <w:t>③</w:t>
            </w:r>
            <w:r>
              <w:rPr>
                <w:szCs w:val="21"/>
              </w:rPr>
              <w:fldChar w:fldCharType="end"/>
            </w:r>
          </w:p>
        </w:tc>
        <w:tc>
          <w:tcPr>
            <w:tcW w:w="1559" w:type="dxa"/>
            <w:tcMar>
              <w:left w:w="28" w:type="dxa"/>
              <w:right w:w="28" w:type="dxa"/>
            </w:tcMar>
            <w:vAlign w:val="center"/>
          </w:tcPr>
          <w:p w14:paraId="702812C7">
            <w:pPr>
              <w:jc w:val="center"/>
              <w:rPr>
                <w:szCs w:val="21"/>
              </w:rPr>
            </w:pPr>
            <w:r>
              <w:rPr>
                <w:szCs w:val="21"/>
              </w:rPr>
              <w:t>本项目</w:t>
            </w:r>
          </w:p>
          <w:p w14:paraId="3E96DD34">
            <w:pPr>
              <w:jc w:val="center"/>
              <w:rPr>
                <w:szCs w:val="21"/>
              </w:rPr>
            </w:pPr>
            <w:r>
              <w:rPr>
                <w:szCs w:val="21"/>
              </w:rPr>
              <w:t>排放量（固体废物产生量）</w:t>
            </w:r>
            <w:r>
              <w:rPr>
                <w:szCs w:val="21"/>
              </w:rPr>
              <w:fldChar w:fldCharType="begin"/>
            </w:r>
            <w:r>
              <w:rPr>
                <w:szCs w:val="21"/>
              </w:rPr>
              <w:instrText xml:space="preserve"> = 4 \* GB3 \* MERGEFORMAT </w:instrText>
            </w:r>
            <w:r>
              <w:rPr>
                <w:szCs w:val="21"/>
              </w:rPr>
              <w:fldChar w:fldCharType="separate"/>
            </w:r>
            <w:r>
              <w:rPr>
                <w:szCs w:val="21"/>
              </w:rPr>
              <w:t>④</w:t>
            </w:r>
            <w:r>
              <w:rPr>
                <w:szCs w:val="21"/>
              </w:rPr>
              <w:fldChar w:fldCharType="end"/>
            </w:r>
          </w:p>
        </w:tc>
        <w:tc>
          <w:tcPr>
            <w:tcW w:w="1985" w:type="dxa"/>
            <w:tcMar>
              <w:left w:w="28" w:type="dxa"/>
              <w:right w:w="28" w:type="dxa"/>
            </w:tcMar>
            <w:vAlign w:val="center"/>
          </w:tcPr>
          <w:p w14:paraId="31C59756">
            <w:pPr>
              <w:jc w:val="center"/>
              <w:rPr>
                <w:szCs w:val="21"/>
              </w:rPr>
            </w:pPr>
            <w:r>
              <w:rPr>
                <w:szCs w:val="21"/>
              </w:rPr>
              <w:t>以新带老削减量</w:t>
            </w:r>
          </w:p>
          <w:p w14:paraId="7F1EB8B2">
            <w:pPr>
              <w:jc w:val="center"/>
              <w:rPr>
                <w:szCs w:val="21"/>
              </w:rPr>
            </w:pPr>
            <w:r>
              <w:rPr>
                <w:szCs w:val="21"/>
              </w:rPr>
              <w:t>（新建项目不填）</w:t>
            </w:r>
            <w:r>
              <w:rPr>
                <w:szCs w:val="21"/>
              </w:rPr>
              <w:fldChar w:fldCharType="begin"/>
            </w:r>
            <w:r>
              <w:rPr>
                <w:szCs w:val="21"/>
              </w:rPr>
              <w:instrText xml:space="preserve"> = 5 \* GB3 \* MERGEFORMAT </w:instrText>
            </w:r>
            <w:r>
              <w:rPr>
                <w:szCs w:val="21"/>
              </w:rPr>
              <w:fldChar w:fldCharType="separate"/>
            </w:r>
            <w:r>
              <w:rPr>
                <w:szCs w:val="21"/>
              </w:rPr>
              <w:t>⑤</w:t>
            </w:r>
            <w:r>
              <w:rPr>
                <w:szCs w:val="21"/>
              </w:rPr>
              <w:fldChar w:fldCharType="end"/>
            </w:r>
          </w:p>
        </w:tc>
        <w:tc>
          <w:tcPr>
            <w:tcW w:w="1842" w:type="dxa"/>
            <w:tcMar>
              <w:left w:w="28" w:type="dxa"/>
              <w:right w:w="28" w:type="dxa"/>
            </w:tcMar>
            <w:vAlign w:val="center"/>
          </w:tcPr>
          <w:p w14:paraId="692B3CC6">
            <w:pPr>
              <w:jc w:val="center"/>
              <w:rPr>
                <w:szCs w:val="21"/>
              </w:rPr>
            </w:pPr>
            <w:r>
              <w:rPr>
                <w:szCs w:val="21"/>
              </w:rPr>
              <w:t>本项目建成后</w:t>
            </w:r>
          </w:p>
          <w:p w14:paraId="04398F6D">
            <w:pPr>
              <w:jc w:val="center"/>
              <w:rPr>
                <w:szCs w:val="21"/>
              </w:rPr>
            </w:pPr>
            <w:r>
              <w:rPr>
                <w:szCs w:val="21"/>
              </w:rPr>
              <w:t>全厂排放量（固体废物产生量）</w:t>
            </w:r>
            <w:r>
              <w:rPr>
                <w:szCs w:val="21"/>
              </w:rPr>
              <w:fldChar w:fldCharType="begin"/>
            </w:r>
            <w:r>
              <w:rPr>
                <w:szCs w:val="21"/>
              </w:rPr>
              <w:instrText xml:space="preserve"> = 6 \* GB3 \* MERGEFORMAT </w:instrText>
            </w:r>
            <w:r>
              <w:rPr>
                <w:szCs w:val="21"/>
              </w:rPr>
              <w:fldChar w:fldCharType="separate"/>
            </w:r>
            <w:r>
              <w:rPr>
                <w:szCs w:val="21"/>
              </w:rPr>
              <w:t>⑥</w:t>
            </w:r>
            <w:r>
              <w:rPr>
                <w:szCs w:val="21"/>
              </w:rPr>
              <w:fldChar w:fldCharType="end"/>
            </w:r>
          </w:p>
        </w:tc>
        <w:tc>
          <w:tcPr>
            <w:tcW w:w="1189" w:type="dxa"/>
            <w:tcMar>
              <w:left w:w="28" w:type="dxa"/>
              <w:right w:w="28" w:type="dxa"/>
            </w:tcMar>
            <w:vAlign w:val="center"/>
          </w:tcPr>
          <w:p w14:paraId="6FA13ED6">
            <w:pPr>
              <w:jc w:val="center"/>
              <w:rPr>
                <w:szCs w:val="21"/>
              </w:rPr>
            </w:pPr>
            <w:r>
              <w:rPr>
                <w:szCs w:val="21"/>
              </w:rPr>
              <w:t>变化量</w:t>
            </w:r>
          </w:p>
          <w:p w14:paraId="19CDDC5A">
            <w:pPr>
              <w:jc w:val="center"/>
              <w:rPr>
                <w:szCs w:val="21"/>
              </w:rPr>
            </w:pPr>
            <w:r>
              <w:rPr>
                <w:szCs w:val="21"/>
              </w:rPr>
              <w:fldChar w:fldCharType="begin"/>
            </w:r>
            <w:r>
              <w:rPr>
                <w:szCs w:val="21"/>
              </w:rPr>
              <w:instrText xml:space="preserve"> = 7 \* GB3 \* MERGEFORMAT </w:instrText>
            </w:r>
            <w:r>
              <w:rPr>
                <w:szCs w:val="21"/>
              </w:rPr>
              <w:fldChar w:fldCharType="separate"/>
            </w:r>
            <w:r>
              <w:rPr>
                <w:szCs w:val="21"/>
              </w:rPr>
              <w:t>⑦</w:t>
            </w:r>
            <w:r>
              <w:rPr>
                <w:szCs w:val="21"/>
              </w:rPr>
              <w:fldChar w:fldCharType="end"/>
            </w:r>
          </w:p>
        </w:tc>
      </w:tr>
      <w:tr w14:paraId="6ADD7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20" w:type="dxa"/>
            <w:vMerge w:val="restart"/>
            <w:vAlign w:val="center"/>
          </w:tcPr>
          <w:p w14:paraId="3FCC3026">
            <w:pPr>
              <w:jc w:val="center"/>
              <w:rPr>
                <w:szCs w:val="21"/>
              </w:rPr>
            </w:pPr>
            <w:bookmarkStart w:id="11" w:name="OLE_LINK221" w:colFirst="7" w:colLast="7"/>
            <w:bookmarkStart w:id="12" w:name="OLE_LINK220" w:colFirst="7" w:colLast="7"/>
            <w:bookmarkStart w:id="13" w:name="_Hlk109825648"/>
            <w:bookmarkStart w:id="14" w:name="OLE_LINK222" w:colFirst="7" w:colLast="7"/>
            <w:r>
              <w:rPr>
                <w:szCs w:val="21"/>
              </w:rPr>
              <w:t>废气（t/a）</w:t>
            </w:r>
          </w:p>
        </w:tc>
        <w:tc>
          <w:tcPr>
            <w:tcW w:w="1701" w:type="dxa"/>
            <w:vAlign w:val="center"/>
          </w:tcPr>
          <w:p w14:paraId="120CCE44">
            <w:pPr>
              <w:jc w:val="center"/>
              <w:rPr>
                <w:rFonts w:hint="eastAsia" w:eastAsia="宋体"/>
                <w:szCs w:val="21"/>
                <w:lang w:eastAsia="zh-CN"/>
              </w:rPr>
            </w:pPr>
            <w:r>
              <w:rPr>
                <w:rFonts w:hint="eastAsia"/>
                <w:szCs w:val="21"/>
                <w:lang w:eastAsia="zh-CN"/>
              </w:rPr>
              <w:t>颗粒物</w:t>
            </w:r>
          </w:p>
        </w:tc>
        <w:tc>
          <w:tcPr>
            <w:tcW w:w="1585" w:type="dxa"/>
            <w:vAlign w:val="center"/>
          </w:tcPr>
          <w:p w14:paraId="6A46D14C">
            <w:pPr>
              <w:jc w:val="center"/>
              <w:rPr>
                <w:rFonts w:hint="eastAsia"/>
                <w:szCs w:val="21"/>
              </w:rPr>
            </w:pPr>
            <w:r>
              <w:rPr>
                <w:rFonts w:hint="eastAsia"/>
                <w:szCs w:val="21"/>
              </w:rPr>
              <w:t>0</w:t>
            </w:r>
          </w:p>
        </w:tc>
        <w:tc>
          <w:tcPr>
            <w:tcW w:w="1505" w:type="dxa"/>
            <w:vAlign w:val="center"/>
          </w:tcPr>
          <w:p w14:paraId="6A8FCF24">
            <w:pPr>
              <w:jc w:val="center"/>
              <w:rPr>
                <w:szCs w:val="21"/>
              </w:rPr>
            </w:pPr>
            <w:r>
              <w:rPr>
                <w:szCs w:val="21"/>
              </w:rPr>
              <w:t>0</w:t>
            </w:r>
          </w:p>
        </w:tc>
        <w:tc>
          <w:tcPr>
            <w:tcW w:w="1559" w:type="dxa"/>
            <w:vAlign w:val="center"/>
          </w:tcPr>
          <w:p w14:paraId="44D3C670">
            <w:pPr>
              <w:jc w:val="center"/>
              <w:rPr>
                <w:szCs w:val="21"/>
              </w:rPr>
            </w:pPr>
            <w:r>
              <w:rPr>
                <w:szCs w:val="21"/>
              </w:rPr>
              <w:t>0</w:t>
            </w:r>
          </w:p>
        </w:tc>
        <w:tc>
          <w:tcPr>
            <w:tcW w:w="1559" w:type="dxa"/>
            <w:vAlign w:val="center"/>
          </w:tcPr>
          <w:p w14:paraId="4E908372">
            <w:pPr>
              <w:jc w:val="center"/>
              <w:rPr>
                <w:rFonts w:hint="default"/>
                <w:szCs w:val="21"/>
                <w:lang w:val="en-US" w:eastAsia="zh-CN"/>
              </w:rPr>
            </w:pPr>
            <w:r>
              <w:rPr>
                <w:rFonts w:hint="eastAsia"/>
                <w:szCs w:val="21"/>
                <w:lang w:val="en-US" w:eastAsia="zh-CN"/>
              </w:rPr>
              <w:t>0.654</w:t>
            </w:r>
          </w:p>
        </w:tc>
        <w:tc>
          <w:tcPr>
            <w:tcW w:w="1985" w:type="dxa"/>
            <w:vAlign w:val="center"/>
          </w:tcPr>
          <w:p w14:paraId="583C2D5F">
            <w:pPr>
              <w:jc w:val="center"/>
              <w:rPr>
                <w:rFonts w:hint="eastAsia" w:eastAsia="宋体"/>
                <w:szCs w:val="21"/>
                <w:lang w:val="en-US" w:eastAsia="zh-CN"/>
              </w:rPr>
            </w:pPr>
            <w:r>
              <w:rPr>
                <w:rFonts w:hint="eastAsia"/>
                <w:szCs w:val="21"/>
                <w:lang w:val="en-US" w:eastAsia="zh-CN"/>
              </w:rPr>
              <w:t>0</w:t>
            </w:r>
          </w:p>
        </w:tc>
        <w:tc>
          <w:tcPr>
            <w:tcW w:w="1842" w:type="dxa"/>
            <w:vAlign w:val="center"/>
          </w:tcPr>
          <w:p w14:paraId="5818F04F">
            <w:pPr>
              <w:jc w:val="center"/>
              <w:rPr>
                <w:rFonts w:hint="eastAsia"/>
                <w:szCs w:val="21"/>
                <w:lang w:val="en-US" w:eastAsia="zh-CN"/>
              </w:rPr>
            </w:pPr>
            <w:r>
              <w:rPr>
                <w:rFonts w:hint="eastAsia"/>
                <w:szCs w:val="21"/>
                <w:lang w:val="en-US" w:eastAsia="zh-CN"/>
              </w:rPr>
              <w:t>0.2289</w:t>
            </w:r>
          </w:p>
        </w:tc>
        <w:tc>
          <w:tcPr>
            <w:tcW w:w="1189" w:type="dxa"/>
            <w:vAlign w:val="center"/>
          </w:tcPr>
          <w:p w14:paraId="68E43179">
            <w:pPr>
              <w:jc w:val="center"/>
              <w:rPr>
                <w:szCs w:val="21"/>
              </w:rPr>
            </w:pPr>
            <w:r>
              <w:rPr>
                <w:rFonts w:hint="eastAsia"/>
                <w:szCs w:val="21"/>
                <w:lang w:val="en-US" w:eastAsia="zh-CN"/>
              </w:rPr>
              <w:t>+0.654</w:t>
            </w:r>
          </w:p>
        </w:tc>
      </w:tr>
      <w:tr w14:paraId="76B26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20" w:type="dxa"/>
            <w:vMerge w:val="continue"/>
            <w:vAlign w:val="center"/>
          </w:tcPr>
          <w:p w14:paraId="5ACA3A28">
            <w:pPr>
              <w:jc w:val="center"/>
              <w:rPr>
                <w:szCs w:val="21"/>
              </w:rPr>
            </w:pPr>
          </w:p>
        </w:tc>
        <w:tc>
          <w:tcPr>
            <w:tcW w:w="1701" w:type="dxa"/>
            <w:vAlign w:val="center"/>
          </w:tcPr>
          <w:p w14:paraId="11B99E72">
            <w:pPr>
              <w:jc w:val="center"/>
              <w:rPr>
                <w:szCs w:val="21"/>
              </w:rPr>
            </w:pPr>
            <w:r>
              <w:rPr>
                <w:szCs w:val="21"/>
              </w:rPr>
              <w:t>非甲烷总烃</w:t>
            </w:r>
          </w:p>
        </w:tc>
        <w:tc>
          <w:tcPr>
            <w:tcW w:w="1585" w:type="dxa"/>
            <w:vAlign w:val="center"/>
          </w:tcPr>
          <w:p w14:paraId="52B1E8FB">
            <w:pPr>
              <w:jc w:val="center"/>
              <w:rPr>
                <w:szCs w:val="21"/>
              </w:rPr>
            </w:pPr>
            <w:r>
              <w:rPr>
                <w:rFonts w:hint="eastAsia"/>
                <w:szCs w:val="21"/>
              </w:rPr>
              <w:t>0</w:t>
            </w:r>
          </w:p>
        </w:tc>
        <w:tc>
          <w:tcPr>
            <w:tcW w:w="1505" w:type="dxa"/>
            <w:vAlign w:val="center"/>
          </w:tcPr>
          <w:p w14:paraId="3FD92AC1">
            <w:pPr>
              <w:jc w:val="center"/>
              <w:rPr>
                <w:szCs w:val="21"/>
              </w:rPr>
            </w:pPr>
            <w:r>
              <w:rPr>
                <w:szCs w:val="21"/>
              </w:rPr>
              <w:t>0</w:t>
            </w:r>
          </w:p>
        </w:tc>
        <w:tc>
          <w:tcPr>
            <w:tcW w:w="1559" w:type="dxa"/>
            <w:vAlign w:val="center"/>
          </w:tcPr>
          <w:p w14:paraId="1C19B7C7">
            <w:pPr>
              <w:jc w:val="center"/>
              <w:rPr>
                <w:szCs w:val="21"/>
              </w:rPr>
            </w:pPr>
            <w:r>
              <w:rPr>
                <w:szCs w:val="21"/>
              </w:rPr>
              <w:t>0</w:t>
            </w:r>
          </w:p>
        </w:tc>
        <w:tc>
          <w:tcPr>
            <w:tcW w:w="1559" w:type="dxa"/>
            <w:vAlign w:val="center"/>
          </w:tcPr>
          <w:p w14:paraId="0BA2B32A">
            <w:pPr>
              <w:jc w:val="center"/>
              <w:rPr>
                <w:rFonts w:hint="default" w:eastAsia="宋体"/>
                <w:szCs w:val="21"/>
                <w:lang w:val="en-US" w:eastAsia="zh-CN"/>
              </w:rPr>
            </w:pPr>
            <w:r>
              <w:rPr>
                <w:rFonts w:hint="eastAsia"/>
                <w:szCs w:val="21"/>
                <w:lang w:val="en-US" w:eastAsia="zh-CN"/>
              </w:rPr>
              <w:t>0.285</w:t>
            </w:r>
          </w:p>
        </w:tc>
        <w:tc>
          <w:tcPr>
            <w:tcW w:w="1985" w:type="dxa"/>
            <w:vAlign w:val="center"/>
          </w:tcPr>
          <w:p w14:paraId="5204F6A8">
            <w:pPr>
              <w:jc w:val="center"/>
              <w:rPr>
                <w:szCs w:val="21"/>
              </w:rPr>
            </w:pPr>
            <w:r>
              <w:rPr>
                <w:rFonts w:hint="eastAsia"/>
                <w:szCs w:val="21"/>
              </w:rPr>
              <w:t>0</w:t>
            </w:r>
          </w:p>
        </w:tc>
        <w:tc>
          <w:tcPr>
            <w:tcW w:w="1842" w:type="dxa"/>
            <w:vAlign w:val="center"/>
          </w:tcPr>
          <w:p w14:paraId="7B129020">
            <w:pPr>
              <w:jc w:val="center"/>
              <w:rPr>
                <w:rFonts w:hint="default" w:eastAsia="宋体"/>
                <w:szCs w:val="21"/>
                <w:lang w:val="en-US" w:eastAsia="zh-CN"/>
              </w:rPr>
            </w:pPr>
            <w:r>
              <w:rPr>
                <w:rFonts w:hint="eastAsia"/>
                <w:szCs w:val="21"/>
                <w:lang w:val="en-US" w:eastAsia="zh-CN"/>
              </w:rPr>
              <w:t>0.0973</w:t>
            </w:r>
          </w:p>
        </w:tc>
        <w:tc>
          <w:tcPr>
            <w:tcW w:w="1189" w:type="dxa"/>
            <w:vAlign w:val="center"/>
          </w:tcPr>
          <w:p w14:paraId="5DE6A6B9">
            <w:pPr>
              <w:jc w:val="center"/>
              <w:rPr>
                <w:rFonts w:hint="default" w:eastAsia="宋体"/>
                <w:szCs w:val="21"/>
                <w:lang w:val="en-US" w:eastAsia="zh-CN"/>
              </w:rPr>
            </w:pPr>
            <w:r>
              <w:rPr>
                <w:rFonts w:hint="eastAsia"/>
                <w:szCs w:val="21"/>
                <w:lang w:val="en-US" w:eastAsia="zh-CN"/>
              </w:rPr>
              <w:t>+0.285</w:t>
            </w:r>
          </w:p>
        </w:tc>
      </w:tr>
      <w:bookmarkEnd w:id="11"/>
      <w:bookmarkEnd w:id="12"/>
      <w:bookmarkEnd w:id="13"/>
      <w:bookmarkEnd w:id="14"/>
      <w:tr w14:paraId="139EB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20" w:type="dxa"/>
            <w:vMerge w:val="restart"/>
            <w:vAlign w:val="center"/>
          </w:tcPr>
          <w:p w14:paraId="3A2B9822">
            <w:pPr>
              <w:jc w:val="center"/>
              <w:rPr>
                <w:szCs w:val="21"/>
              </w:rPr>
            </w:pPr>
            <w:bookmarkStart w:id="15" w:name="OLE_LINK214" w:colFirst="5" w:colLast="5"/>
            <w:bookmarkStart w:id="16" w:name="_Hlk109825494"/>
            <w:bookmarkStart w:id="17" w:name="OLE_LINK213" w:colFirst="5" w:colLast="5"/>
            <w:r>
              <w:rPr>
                <w:szCs w:val="21"/>
              </w:rPr>
              <w:t>废水（t/a）</w:t>
            </w:r>
          </w:p>
        </w:tc>
        <w:tc>
          <w:tcPr>
            <w:tcW w:w="1701" w:type="dxa"/>
            <w:vAlign w:val="center"/>
          </w:tcPr>
          <w:p w14:paraId="3E1E3721">
            <w:pPr>
              <w:jc w:val="center"/>
              <w:rPr>
                <w:szCs w:val="21"/>
              </w:rPr>
            </w:pPr>
            <w:r>
              <w:rPr>
                <w:szCs w:val="21"/>
              </w:rPr>
              <w:t>化学需氧量</w:t>
            </w:r>
          </w:p>
        </w:tc>
        <w:tc>
          <w:tcPr>
            <w:tcW w:w="1585" w:type="dxa"/>
            <w:vAlign w:val="center"/>
          </w:tcPr>
          <w:p w14:paraId="1B592634">
            <w:pPr>
              <w:jc w:val="center"/>
              <w:rPr>
                <w:szCs w:val="21"/>
              </w:rPr>
            </w:pPr>
            <w:r>
              <w:rPr>
                <w:rFonts w:hint="eastAsia"/>
                <w:szCs w:val="21"/>
              </w:rPr>
              <w:t>0</w:t>
            </w:r>
          </w:p>
        </w:tc>
        <w:tc>
          <w:tcPr>
            <w:tcW w:w="1505" w:type="dxa"/>
            <w:vAlign w:val="center"/>
          </w:tcPr>
          <w:p w14:paraId="246017A0">
            <w:pPr>
              <w:jc w:val="center"/>
              <w:rPr>
                <w:szCs w:val="21"/>
              </w:rPr>
            </w:pPr>
            <w:r>
              <w:rPr>
                <w:rFonts w:hint="eastAsia"/>
                <w:szCs w:val="21"/>
              </w:rPr>
              <w:t>0</w:t>
            </w:r>
          </w:p>
        </w:tc>
        <w:tc>
          <w:tcPr>
            <w:tcW w:w="1559" w:type="dxa"/>
            <w:vAlign w:val="center"/>
          </w:tcPr>
          <w:p w14:paraId="5BC9EE47">
            <w:pPr>
              <w:jc w:val="center"/>
              <w:rPr>
                <w:szCs w:val="21"/>
              </w:rPr>
            </w:pPr>
            <w:r>
              <w:rPr>
                <w:szCs w:val="21"/>
              </w:rPr>
              <w:t>0</w:t>
            </w:r>
          </w:p>
        </w:tc>
        <w:tc>
          <w:tcPr>
            <w:tcW w:w="1559" w:type="dxa"/>
            <w:vAlign w:val="center"/>
          </w:tcPr>
          <w:p w14:paraId="33EDCA2F">
            <w:pPr>
              <w:jc w:val="center"/>
              <w:rPr>
                <w:rFonts w:hint="default" w:eastAsia="宋体"/>
                <w:szCs w:val="21"/>
                <w:lang w:val="en-US" w:eastAsia="zh-CN"/>
              </w:rPr>
            </w:pPr>
            <w:r>
              <w:rPr>
                <w:rFonts w:hint="eastAsia" w:eastAsia="宋体"/>
                <w:szCs w:val="21"/>
                <w:lang w:val="en-US" w:eastAsia="zh-CN"/>
              </w:rPr>
              <w:t>0.076</w:t>
            </w:r>
          </w:p>
        </w:tc>
        <w:tc>
          <w:tcPr>
            <w:tcW w:w="1985" w:type="dxa"/>
            <w:vAlign w:val="center"/>
          </w:tcPr>
          <w:p w14:paraId="1421648B">
            <w:pPr>
              <w:jc w:val="center"/>
              <w:rPr>
                <w:szCs w:val="21"/>
              </w:rPr>
            </w:pPr>
            <w:r>
              <w:rPr>
                <w:rFonts w:hint="eastAsia"/>
                <w:szCs w:val="21"/>
              </w:rPr>
              <w:t>0</w:t>
            </w:r>
          </w:p>
        </w:tc>
        <w:tc>
          <w:tcPr>
            <w:tcW w:w="1842" w:type="dxa"/>
            <w:vAlign w:val="center"/>
          </w:tcPr>
          <w:p w14:paraId="1337BA6D">
            <w:pPr>
              <w:jc w:val="center"/>
              <w:rPr>
                <w:rFonts w:hint="default" w:ascii="Times New Roman" w:hAnsi="Times New Roman" w:cs="Times New Roman"/>
                <w:szCs w:val="21"/>
              </w:rPr>
            </w:pPr>
            <w:r>
              <w:rPr>
                <w:rFonts w:hint="eastAsia" w:eastAsia="宋体"/>
                <w:szCs w:val="21"/>
                <w:lang w:val="en-US" w:eastAsia="zh-CN"/>
              </w:rPr>
              <w:t>0.076</w:t>
            </w:r>
          </w:p>
        </w:tc>
        <w:tc>
          <w:tcPr>
            <w:tcW w:w="1189" w:type="dxa"/>
            <w:vAlign w:val="center"/>
          </w:tcPr>
          <w:p w14:paraId="0E4414A6">
            <w:pPr>
              <w:jc w:val="center"/>
              <w:rPr>
                <w:rFonts w:hint="default"/>
                <w:szCs w:val="21"/>
                <w:lang w:val="en-US"/>
              </w:rPr>
            </w:pPr>
            <w:r>
              <w:rPr>
                <w:rFonts w:hint="eastAsia"/>
                <w:szCs w:val="21"/>
                <w:lang w:val="en-US" w:eastAsia="zh-CN"/>
              </w:rPr>
              <w:t>+</w:t>
            </w:r>
            <w:r>
              <w:rPr>
                <w:rFonts w:hint="eastAsia" w:eastAsia="宋体"/>
                <w:szCs w:val="21"/>
                <w:lang w:val="en-US" w:eastAsia="zh-CN"/>
              </w:rPr>
              <w:t>0.076</w:t>
            </w:r>
          </w:p>
        </w:tc>
      </w:tr>
      <w:tr w14:paraId="75CFF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20" w:type="dxa"/>
            <w:vMerge w:val="continue"/>
            <w:vAlign w:val="center"/>
          </w:tcPr>
          <w:p w14:paraId="51A47D75">
            <w:pPr>
              <w:jc w:val="center"/>
              <w:rPr>
                <w:szCs w:val="21"/>
              </w:rPr>
            </w:pPr>
          </w:p>
        </w:tc>
        <w:tc>
          <w:tcPr>
            <w:tcW w:w="1701" w:type="dxa"/>
            <w:vAlign w:val="center"/>
          </w:tcPr>
          <w:p w14:paraId="5A96563E">
            <w:pPr>
              <w:jc w:val="center"/>
              <w:rPr>
                <w:szCs w:val="21"/>
              </w:rPr>
            </w:pPr>
            <w:r>
              <w:rPr>
                <w:szCs w:val="21"/>
              </w:rPr>
              <w:t>悬浮物</w:t>
            </w:r>
          </w:p>
        </w:tc>
        <w:tc>
          <w:tcPr>
            <w:tcW w:w="1585" w:type="dxa"/>
            <w:vAlign w:val="center"/>
          </w:tcPr>
          <w:p w14:paraId="39CFA027">
            <w:pPr>
              <w:jc w:val="center"/>
              <w:rPr>
                <w:szCs w:val="21"/>
              </w:rPr>
            </w:pPr>
            <w:r>
              <w:rPr>
                <w:rFonts w:hint="eastAsia"/>
                <w:szCs w:val="21"/>
              </w:rPr>
              <w:t>0</w:t>
            </w:r>
          </w:p>
        </w:tc>
        <w:tc>
          <w:tcPr>
            <w:tcW w:w="1505" w:type="dxa"/>
            <w:vAlign w:val="center"/>
          </w:tcPr>
          <w:p w14:paraId="4D797562">
            <w:pPr>
              <w:jc w:val="center"/>
              <w:rPr>
                <w:szCs w:val="21"/>
              </w:rPr>
            </w:pPr>
            <w:r>
              <w:rPr>
                <w:rFonts w:hint="eastAsia"/>
                <w:szCs w:val="21"/>
              </w:rPr>
              <w:t>0</w:t>
            </w:r>
          </w:p>
        </w:tc>
        <w:tc>
          <w:tcPr>
            <w:tcW w:w="1559" w:type="dxa"/>
            <w:vAlign w:val="center"/>
          </w:tcPr>
          <w:p w14:paraId="29D6421D">
            <w:pPr>
              <w:jc w:val="center"/>
              <w:rPr>
                <w:szCs w:val="21"/>
              </w:rPr>
            </w:pPr>
            <w:r>
              <w:rPr>
                <w:szCs w:val="21"/>
              </w:rPr>
              <w:t>0</w:t>
            </w:r>
          </w:p>
        </w:tc>
        <w:tc>
          <w:tcPr>
            <w:tcW w:w="1559" w:type="dxa"/>
            <w:vAlign w:val="center"/>
          </w:tcPr>
          <w:p w14:paraId="595686C0">
            <w:pPr>
              <w:jc w:val="center"/>
              <w:rPr>
                <w:rFonts w:hint="default" w:eastAsia="宋体"/>
                <w:szCs w:val="21"/>
                <w:lang w:val="en-US" w:eastAsia="zh-CN"/>
              </w:rPr>
            </w:pPr>
            <w:r>
              <w:rPr>
                <w:rFonts w:hint="eastAsia" w:eastAsia="宋体"/>
                <w:szCs w:val="21"/>
                <w:lang w:val="en-US" w:eastAsia="zh-CN"/>
              </w:rPr>
              <w:t>0.037</w:t>
            </w:r>
          </w:p>
        </w:tc>
        <w:tc>
          <w:tcPr>
            <w:tcW w:w="1985" w:type="dxa"/>
            <w:vAlign w:val="center"/>
          </w:tcPr>
          <w:p w14:paraId="2E7A0186">
            <w:pPr>
              <w:jc w:val="center"/>
              <w:rPr>
                <w:szCs w:val="21"/>
              </w:rPr>
            </w:pPr>
            <w:r>
              <w:rPr>
                <w:rFonts w:hint="eastAsia"/>
                <w:szCs w:val="21"/>
              </w:rPr>
              <w:t>0</w:t>
            </w:r>
          </w:p>
        </w:tc>
        <w:tc>
          <w:tcPr>
            <w:tcW w:w="1842" w:type="dxa"/>
            <w:vAlign w:val="center"/>
          </w:tcPr>
          <w:p w14:paraId="71388E43">
            <w:pPr>
              <w:jc w:val="center"/>
              <w:rPr>
                <w:rFonts w:hint="default" w:ascii="Times New Roman" w:hAnsi="Times New Roman" w:cs="Times New Roman"/>
                <w:szCs w:val="21"/>
              </w:rPr>
            </w:pPr>
            <w:r>
              <w:rPr>
                <w:rFonts w:hint="eastAsia" w:eastAsia="宋体"/>
                <w:szCs w:val="21"/>
                <w:lang w:val="en-US" w:eastAsia="zh-CN"/>
              </w:rPr>
              <w:t>0.037</w:t>
            </w:r>
          </w:p>
        </w:tc>
        <w:tc>
          <w:tcPr>
            <w:tcW w:w="1189" w:type="dxa"/>
            <w:vAlign w:val="center"/>
          </w:tcPr>
          <w:p w14:paraId="63E7287A">
            <w:pPr>
              <w:jc w:val="center"/>
              <w:rPr>
                <w:rFonts w:hint="default"/>
                <w:szCs w:val="21"/>
                <w:lang w:val="en-US"/>
              </w:rPr>
            </w:pPr>
            <w:r>
              <w:rPr>
                <w:rFonts w:hint="eastAsia"/>
                <w:szCs w:val="21"/>
                <w:lang w:val="en-US" w:eastAsia="zh-CN"/>
              </w:rPr>
              <w:t>+</w:t>
            </w:r>
            <w:r>
              <w:rPr>
                <w:rFonts w:hint="eastAsia" w:eastAsia="宋体"/>
                <w:szCs w:val="21"/>
                <w:lang w:val="en-US" w:eastAsia="zh-CN"/>
              </w:rPr>
              <w:t>0.037</w:t>
            </w:r>
          </w:p>
        </w:tc>
      </w:tr>
      <w:tr w14:paraId="76DB7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20" w:type="dxa"/>
            <w:vMerge w:val="continue"/>
            <w:vAlign w:val="center"/>
          </w:tcPr>
          <w:p w14:paraId="7F3613F8">
            <w:pPr>
              <w:jc w:val="center"/>
              <w:rPr>
                <w:szCs w:val="21"/>
              </w:rPr>
            </w:pPr>
          </w:p>
        </w:tc>
        <w:tc>
          <w:tcPr>
            <w:tcW w:w="1701" w:type="dxa"/>
            <w:vAlign w:val="center"/>
          </w:tcPr>
          <w:p w14:paraId="611557A5">
            <w:pPr>
              <w:jc w:val="center"/>
              <w:rPr>
                <w:szCs w:val="21"/>
              </w:rPr>
            </w:pPr>
            <w:r>
              <w:rPr>
                <w:szCs w:val="21"/>
              </w:rPr>
              <w:t>氨氮</w:t>
            </w:r>
          </w:p>
        </w:tc>
        <w:tc>
          <w:tcPr>
            <w:tcW w:w="1585" w:type="dxa"/>
            <w:vAlign w:val="center"/>
          </w:tcPr>
          <w:p w14:paraId="02260B89">
            <w:pPr>
              <w:jc w:val="center"/>
              <w:rPr>
                <w:szCs w:val="21"/>
              </w:rPr>
            </w:pPr>
            <w:r>
              <w:rPr>
                <w:rFonts w:hint="eastAsia"/>
                <w:szCs w:val="21"/>
              </w:rPr>
              <w:t>0</w:t>
            </w:r>
          </w:p>
        </w:tc>
        <w:tc>
          <w:tcPr>
            <w:tcW w:w="1505" w:type="dxa"/>
            <w:vAlign w:val="center"/>
          </w:tcPr>
          <w:p w14:paraId="202EA4D1">
            <w:pPr>
              <w:jc w:val="center"/>
              <w:rPr>
                <w:szCs w:val="21"/>
              </w:rPr>
            </w:pPr>
            <w:r>
              <w:rPr>
                <w:rFonts w:hint="eastAsia"/>
                <w:szCs w:val="21"/>
              </w:rPr>
              <w:t>0</w:t>
            </w:r>
          </w:p>
        </w:tc>
        <w:tc>
          <w:tcPr>
            <w:tcW w:w="1559" w:type="dxa"/>
            <w:vAlign w:val="center"/>
          </w:tcPr>
          <w:p w14:paraId="3F5958F2">
            <w:pPr>
              <w:jc w:val="center"/>
              <w:rPr>
                <w:szCs w:val="21"/>
              </w:rPr>
            </w:pPr>
            <w:r>
              <w:rPr>
                <w:szCs w:val="21"/>
              </w:rPr>
              <w:t>0</w:t>
            </w:r>
          </w:p>
        </w:tc>
        <w:tc>
          <w:tcPr>
            <w:tcW w:w="1559" w:type="dxa"/>
            <w:vAlign w:val="center"/>
          </w:tcPr>
          <w:p w14:paraId="6F897FB5">
            <w:pPr>
              <w:jc w:val="center"/>
              <w:rPr>
                <w:rFonts w:hint="default" w:eastAsia="宋体"/>
                <w:szCs w:val="21"/>
                <w:lang w:val="en-US" w:eastAsia="zh-CN"/>
              </w:rPr>
            </w:pPr>
            <w:r>
              <w:rPr>
                <w:rFonts w:hint="eastAsia" w:eastAsia="宋体"/>
                <w:szCs w:val="21"/>
                <w:lang w:val="en-US" w:eastAsia="zh-CN"/>
              </w:rPr>
              <w:t>0.006</w:t>
            </w:r>
          </w:p>
        </w:tc>
        <w:tc>
          <w:tcPr>
            <w:tcW w:w="1985" w:type="dxa"/>
            <w:vAlign w:val="center"/>
          </w:tcPr>
          <w:p w14:paraId="48E0A260">
            <w:pPr>
              <w:jc w:val="center"/>
              <w:rPr>
                <w:szCs w:val="21"/>
              </w:rPr>
            </w:pPr>
            <w:r>
              <w:rPr>
                <w:rFonts w:hint="eastAsia"/>
                <w:szCs w:val="21"/>
              </w:rPr>
              <w:t>0</w:t>
            </w:r>
          </w:p>
        </w:tc>
        <w:tc>
          <w:tcPr>
            <w:tcW w:w="1842" w:type="dxa"/>
            <w:vAlign w:val="center"/>
          </w:tcPr>
          <w:p w14:paraId="63081756">
            <w:pPr>
              <w:jc w:val="center"/>
              <w:rPr>
                <w:rFonts w:hint="default" w:ascii="Times New Roman" w:hAnsi="Times New Roman" w:cs="Times New Roman"/>
                <w:szCs w:val="21"/>
                <w:lang w:val="en-US"/>
              </w:rPr>
            </w:pPr>
            <w:r>
              <w:rPr>
                <w:rFonts w:hint="eastAsia" w:eastAsia="宋体"/>
                <w:szCs w:val="21"/>
                <w:lang w:val="en-US" w:eastAsia="zh-CN"/>
              </w:rPr>
              <w:t>0.006</w:t>
            </w:r>
          </w:p>
        </w:tc>
        <w:tc>
          <w:tcPr>
            <w:tcW w:w="1189" w:type="dxa"/>
            <w:vAlign w:val="center"/>
          </w:tcPr>
          <w:p w14:paraId="0E31569C">
            <w:pPr>
              <w:jc w:val="center"/>
              <w:rPr>
                <w:rFonts w:hint="default"/>
                <w:szCs w:val="21"/>
                <w:lang w:val="en-US"/>
              </w:rPr>
            </w:pPr>
            <w:r>
              <w:rPr>
                <w:rFonts w:hint="eastAsia"/>
                <w:szCs w:val="21"/>
                <w:lang w:val="en-US" w:eastAsia="zh-CN"/>
              </w:rPr>
              <w:t>+</w:t>
            </w:r>
            <w:r>
              <w:rPr>
                <w:rFonts w:hint="eastAsia" w:eastAsia="宋体"/>
                <w:szCs w:val="21"/>
                <w:lang w:val="en-US" w:eastAsia="zh-CN"/>
              </w:rPr>
              <w:t>0.006</w:t>
            </w:r>
          </w:p>
        </w:tc>
      </w:tr>
      <w:tr w14:paraId="5A34B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20" w:type="dxa"/>
            <w:vMerge w:val="continue"/>
            <w:vAlign w:val="center"/>
          </w:tcPr>
          <w:p w14:paraId="47BB9922">
            <w:pPr>
              <w:jc w:val="center"/>
              <w:rPr>
                <w:szCs w:val="21"/>
              </w:rPr>
            </w:pPr>
          </w:p>
        </w:tc>
        <w:tc>
          <w:tcPr>
            <w:tcW w:w="1701" w:type="dxa"/>
            <w:vAlign w:val="center"/>
          </w:tcPr>
          <w:p w14:paraId="56C0E7BB">
            <w:pPr>
              <w:jc w:val="center"/>
              <w:rPr>
                <w:szCs w:val="21"/>
              </w:rPr>
            </w:pPr>
            <w:r>
              <w:rPr>
                <w:szCs w:val="21"/>
              </w:rPr>
              <w:t>总磷</w:t>
            </w:r>
          </w:p>
        </w:tc>
        <w:tc>
          <w:tcPr>
            <w:tcW w:w="1585" w:type="dxa"/>
            <w:vAlign w:val="center"/>
          </w:tcPr>
          <w:p w14:paraId="730CDF9F">
            <w:pPr>
              <w:jc w:val="center"/>
              <w:rPr>
                <w:szCs w:val="21"/>
              </w:rPr>
            </w:pPr>
            <w:r>
              <w:rPr>
                <w:rFonts w:hint="eastAsia"/>
                <w:szCs w:val="21"/>
              </w:rPr>
              <w:t>0</w:t>
            </w:r>
          </w:p>
        </w:tc>
        <w:tc>
          <w:tcPr>
            <w:tcW w:w="1505" w:type="dxa"/>
            <w:vAlign w:val="center"/>
          </w:tcPr>
          <w:p w14:paraId="0DD9B8B3">
            <w:pPr>
              <w:jc w:val="center"/>
              <w:rPr>
                <w:szCs w:val="21"/>
              </w:rPr>
            </w:pPr>
            <w:r>
              <w:rPr>
                <w:rFonts w:hint="eastAsia"/>
                <w:szCs w:val="21"/>
              </w:rPr>
              <w:t>0</w:t>
            </w:r>
          </w:p>
        </w:tc>
        <w:tc>
          <w:tcPr>
            <w:tcW w:w="1559" w:type="dxa"/>
            <w:vAlign w:val="center"/>
          </w:tcPr>
          <w:p w14:paraId="36F01982">
            <w:pPr>
              <w:jc w:val="center"/>
              <w:rPr>
                <w:szCs w:val="21"/>
              </w:rPr>
            </w:pPr>
            <w:r>
              <w:rPr>
                <w:szCs w:val="21"/>
              </w:rPr>
              <w:t>0</w:t>
            </w:r>
          </w:p>
        </w:tc>
        <w:tc>
          <w:tcPr>
            <w:tcW w:w="1559" w:type="dxa"/>
            <w:vAlign w:val="center"/>
          </w:tcPr>
          <w:p w14:paraId="108A4C33">
            <w:pPr>
              <w:jc w:val="center"/>
              <w:rPr>
                <w:rFonts w:hint="default" w:eastAsia="宋体"/>
                <w:szCs w:val="21"/>
                <w:lang w:val="en-US" w:eastAsia="zh-CN"/>
              </w:rPr>
            </w:pPr>
            <w:r>
              <w:rPr>
                <w:rFonts w:hint="eastAsia" w:eastAsia="宋体"/>
                <w:szCs w:val="21"/>
                <w:lang w:val="en-US" w:eastAsia="zh-CN"/>
              </w:rPr>
              <w:t>0.0007</w:t>
            </w:r>
          </w:p>
        </w:tc>
        <w:tc>
          <w:tcPr>
            <w:tcW w:w="1985" w:type="dxa"/>
            <w:vAlign w:val="center"/>
          </w:tcPr>
          <w:p w14:paraId="7EBEAB44">
            <w:pPr>
              <w:jc w:val="center"/>
              <w:rPr>
                <w:szCs w:val="21"/>
              </w:rPr>
            </w:pPr>
            <w:r>
              <w:rPr>
                <w:rFonts w:hint="eastAsia"/>
                <w:szCs w:val="21"/>
              </w:rPr>
              <w:t>0</w:t>
            </w:r>
          </w:p>
        </w:tc>
        <w:tc>
          <w:tcPr>
            <w:tcW w:w="1842" w:type="dxa"/>
            <w:vAlign w:val="center"/>
          </w:tcPr>
          <w:p w14:paraId="1150C111">
            <w:pPr>
              <w:jc w:val="center"/>
              <w:rPr>
                <w:rFonts w:hint="default" w:ascii="Times New Roman" w:hAnsi="Times New Roman" w:cs="Times New Roman"/>
                <w:szCs w:val="21"/>
                <w:lang w:val="en-US"/>
              </w:rPr>
            </w:pPr>
            <w:r>
              <w:rPr>
                <w:rFonts w:hint="eastAsia" w:eastAsia="宋体"/>
                <w:szCs w:val="21"/>
                <w:lang w:val="en-US" w:eastAsia="zh-CN"/>
              </w:rPr>
              <w:t>0.0007</w:t>
            </w:r>
          </w:p>
        </w:tc>
        <w:tc>
          <w:tcPr>
            <w:tcW w:w="1189" w:type="dxa"/>
            <w:vAlign w:val="center"/>
          </w:tcPr>
          <w:p w14:paraId="4A2C87BA">
            <w:pPr>
              <w:jc w:val="center"/>
              <w:rPr>
                <w:rFonts w:hint="default"/>
                <w:szCs w:val="21"/>
                <w:lang w:val="en-US"/>
              </w:rPr>
            </w:pPr>
            <w:r>
              <w:rPr>
                <w:rFonts w:hint="eastAsia"/>
                <w:szCs w:val="21"/>
                <w:lang w:val="en-US" w:eastAsia="zh-CN"/>
              </w:rPr>
              <w:t>+</w:t>
            </w:r>
            <w:r>
              <w:rPr>
                <w:rFonts w:hint="eastAsia" w:eastAsia="宋体"/>
                <w:szCs w:val="21"/>
                <w:lang w:val="en-US" w:eastAsia="zh-CN"/>
              </w:rPr>
              <w:t>0.0007</w:t>
            </w:r>
          </w:p>
        </w:tc>
      </w:tr>
      <w:tr w14:paraId="3F830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20" w:type="dxa"/>
            <w:vMerge w:val="continue"/>
            <w:vAlign w:val="center"/>
          </w:tcPr>
          <w:p w14:paraId="494D28A2">
            <w:pPr>
              <w:jc w:val="center"/>
              <w:rPr>
                <w:szCs w:val="21"/>
              </w:rPr>
            </w:pPr>
          </w:p>
        </w:tc>
        <w:tc>
          <w:tcPr>
            <w:tcW w:w="1701" w:type="dxa"/>
            <w:vAlign w:val="center"/>
          </w:tcPr>
          <w:p w14:paraId="09E3122B">
            <w:pPr>
              <w:jc w:val="center"/>
              <w:rPr>
                <w:szCs w:val="21"/>
              </w:rPr>
            </w:pPr>
            <w:r>
              <w:rPr>
                <w:szCs w:val="21"/>
              </w:rPr>
              <w:t>总氮</w:t>
            </w:r>
          </w:p>
        </w:tc>
        <w:tc>
          <w:tcPr>
            <w:tcW w:w="1585" w:type="dxa"/>
            <w:vAlign w:val="center"/>
          </w:tcPr>
          <w:p w14:paraId="3B66B969">
            <w:pPr>
              <w:jc w:val="center"/>
              <w:rPr>
                <w:szCs w:val="21"/>
              </w:rPr>
            </w:pPr>
            <w:r>
              <w:rPr>
                <w:szCs w:val="21"/>
              </w:rPr>
              <w:t>0</w:t>
            </w:r>
          </w:p>
        </w:tc>
        <w:tc>
          <w:tcPr>
            <w:tcW w:w="1505" w:type="dxa"/>
            <w:vAlign w:val="center"/>
          </w:tcPr>
          <w:p w14:paraId="6FC80CA2">
            <w:pPr>
              <w:jc w:val="center"/>
              <w:rPr>
                <w:szCs w:val="21"/>
              </w:rPr>
            </w:pPr>
            <w:r>
              <w:rPr>
                <w:szCs w:val="21"/>
              </w:rPr>
              <w:t>0</w:t>
            </w:r>
          </w:p>
        </w:tc>
        <w:tc>
          <w:tcPr>
            <w:tcW w:w="1559" w:type="dxa"/>
            <w:vAlign w:val="center"/>
          </w:tcPr>
          <w:p w14:paraId="18BAE97A">
            <w:pPr>
              <w:jc w:val="center"/>
              <w:rPr>
                <w:szCs w:val="21"/>
              </w:rPr>
            </w:pPr>
            <w:r>
              <w:rPr>
                <w:szCs w:val="21"/>
              </w:rPr>
              <w:t>0</w:t>
            </w:r>
          </w:p>
        </w:tc>
        <w:tc>
          <w:tcPr>
            <w:tcW w:w="1559" w:type="dxa"/>
            <w:vAlign w:val="center"/>
          </w:tcPr>
          <w:p w14:paraId="1106C7DD">
            <w:pPr>
              <w:jc w:val="center"/>
              <w:rPr>
                <w:rFonts w:hint="default" w:eastAsia="宋体"/>
                <w:szCs w:val="21"/>
                <w:lang w:val="en-US" w:eastAsia="zh-CN"/>
              </w:rPr>
            </w:pPr>
            <w:r>
              <w:rPr>
                <w:rFonts w:hint="eastAsia" w:eastAsia="宋体"/>
                <w:szCs w:val="21"/>
                <w:lang w:val="en-US" w:eastAsia="zh-CN"/>
              </w:rPr>
              <w:t>0.0072</w:t>
            </w:r>
          </w:p>
        </w:tc>
        <w:tc>
          <w:tcPr>
            <w:tcW w:w="1985" w:type="dxa"/>
            <w:vAlign w:val="center"/>
          </w:tcPr>
          <w:p w14:paraId="166B8FDC">
            <w:pPr>
              <w:jc w:val="center"/>
              <w:rPr>
                <w:szCs w:val="21"/>
              </w:rPr>
            </w:pPr>
            <w:r>
              <w:rPr>
                <w:szCs w:val="21"/>
              </w:rPr>
              <w:t>0</w:t>
            </w:r>
          </w:p>
        </w:tc>
        <w:tc>
          <w:tcPr>
            <w:tcW w:w="1842" w:type="dxa"/>
            <w:vAlign w:val="center"/>
          </w:tcPr>
          <w:p w14:paraId="253218F0">
            <w:pPr>
              <w:jc w:val="center"/>
              <w:rPr>
                <w:rFonts w:hint="default" w:ascii="Times New Roman" w:hAnsi="Times New Roman" w:cs="Times New Roman"/>
                <w:szCs w:val="21"/>
                <w:lang w:val="en-US"/>
              </w:rPr>
            </w:pPr>
            <w:r>
              <w:rPr>
                <w:rFonts w:hint="eastAsia" w:eastAsia="宋体"/>
                <w:szCs w:val="21"/>
                <w:lang w:val="en-US" w:eastAsia="zh-CN"/>
              </w:rPr>
              <w:t>0.0072</w:t>
            </w:r>
          </w:p>
        </w:tc>
        <w:tc>
          <w:tcPr>
            <w:tcW w:w="1189" w:type="dxa"/>
            <w:vAlign w:val="center"/>
          </w:tcPr>
          <w:p w14:paraId="3063CE1D">
            <w:pPr>
              <w:jc w:val="center"/>
              <w:rPr>
                <w:rFonts w:hint="default"/>
                <w:szCs w:val="21"/>
                <w:lang w:val="en-US"/>
              </w:rPr>
            </w:pPr>
            <w:r>
              <w:rPr>
                <w:rFonts w:hint="eastAsia"/>
                <w:szCs w:val="21"/>
                <w:lang w:val="en-US" w:eastAsia="zh-CN"/>
              </w:rPr>
              <w:t>+</w:t>
            </w:r>
            <w:r>
              <w:rPr>
                <w:rFonts w:hint="eastAsia" w:eastAsia="宋体"/>
                <w:szCs w:val="21"/>
                <w:lang w:val="en-US" w:eastAsia="zh-CN"/>
              </w:rPr>
              <w:t>0.0072</w:t>
            </w:r>
          </w:p>
        </w:tc>
      </w:tr>
      <w:bookmarkEnd w:id="15"/>
      <w:bookmarkEnd w:id="16"/>
      <w:bookmarkEnd w:id="17"/>
      <w:tr w14:paraId="55884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20" w:type="dxa"/>
            <w:vMerge w:val="restart"/>
            <w:vAlign w:val="center"/>
          </w:tcPr>
          <w:p w14:paraId="0E10B925">
            <w:pPr>
              <w:jc w:val="center"/>
              <w:rPr>
                <w:szCs w:val="21"/>
              </w:rPr>
            </w:pPr>
            <w:bookmarkStart w:id="18" w:name="OLE_LINK223" w:colFirst="5" w:colLast="5"/>
            <w:bookmarkStart w:id="19" w:name="OLE_LINK226" w:colFirst="7" w:colLast="7"/>
            <w:bookmarkStart w:id="20" w:name="OLE_LINK224" w:colFirst="5" w:colLast="5"/>
            <w:bookmarkStart w:id="21" w:name="OLE_LINK225" w:colFirst="7" w:colLast="7"/>
            <w:bookmarkStart w:id="22" w:name="_Hlk109825741"/>
            <w:r>
              <w:rPr>
                <w:szCs w:val="21"/>
              </w:rPr>
              <w:t>一般工业固体废物（t/a）</w:t>
            </w:r>
          </w:p>
        </w:tc>
        <w:tc>
          <w:tcPr>
            <w:tcW w:w="1701" w:type="dxa"/>
            <w:vAlign w:val="center"/>
          </w:tcPr>
          <w:p w14:paraId="7766BD27">
            <w:pPr>
              <w:jc w:val="center"/>
              <w:rPr>
                <w:rFonts w:hint="eastAsia" w:eastAsia="宋体"/>
                <w:szCs w:val="21"/>
                <w:lang w:eastAsia="zh-CN"/>
              </w:rPr>
            </w:pPr>
            <w:r>
              <w:rPr>
                <w:rFonts w:hint="eastAsia"/>
                <w:szCs w:val="21"/>
                <w:lang w:eastAsia="zh-CN"/>
              </w:rPr>
              <w:t>废包装袋</w:t>
            </w:r>
          </w:p>
        </w:tc>
        <w:tc>
          <w:tcPr>
            <w:tcW w:w="1585" w:type="dxa"/>
            <w:vAlign w:val="center"/>
          </w:tcPr>
          <w:p w14:paraId="24FF9851">
            <w:pPr>
              <w:jc w:val="center"/>
              <w:rPr>
                <w:szCs w:val="21"/>
              </w:rPr>
            </w:pPr>
            <w:r>
              <w:rPr>
                <w:rFonts w:hint="eastAsia"/>
                <w:szCs w:val="21"/>
              </w:rPr>
              <w:t>0</w:t>
            </w:r>
          </w:p>
        </w:tc>
        <w:tc>
          <w:tcPr>
            <w:tcW w:w="1505" w:type="dxa"/>
            <w:vAlign w:val="center"/>
          </w:tcPr>
          <w:p w14:paraId="5E428E3C">
            <w:pPr>
              <w:jc w:val="center"/>
              <w:rPr>
                <w:szCs w:val="21"/>
              </w:rPr>
            </w:pPr>
            <w:r>
              <w:rPr>
                <w:szCs w:val="21"/>
              </w:rPr>
              <w:t>0</w:t>
            </w:r>
          </w:p>
        </w:tc>
        <w:tc>
          <w:tcPr>
            <w:tcW w:w="1559" w:type="dxa"/>
            <w:vAlign w:val="center"/>
          </w:tcPr>
          <w:p w14:paraId="5502E48D">
            <w:pPr>
              <w:jc w:val="center"/>
              <w:rPr>
                <w:szCs w:val="21"/>
              </w:rPr>
            </w:pPr>
            <w:r>
              <w:rPr>
                <w:szCs w:val="21"/>
              </w:rPr>
              <w:t>0</w:t>
            </w:r>
          </w:p>
        </w:tc>
        <w:tc>
          <w:tcPr>
            <w:tcW w:w="1559" w:type="dxa"/>
            <w:vAlign w:val="center"/>
          </w:tcPr>
          <w:p w14:paraId="7F5F7D33">
            <w:pPr>
              <w:jc w:val="center"/>
              <w:rPr>
                <w:rFonts w:hint="default" w:ascii="Times New Roman" w:hAnsi="Times New Roman" w:eastAsia="宋体" w:cs="Times New Roman"/>
                <w:szCs w:val="21"/>
                <w:lang w:val="en-US" w:eastAsia="zh-CN"/>
              </w:rPr>
            </w:pPr>
            <w:r>
              <w:rPr>
                <w:rFonts w:hint="eastAsia" w:cs="Times New Roman"/>
                <w:szCs w:val="21"/>
                <w:lang w:val="en-US" w:eastAsia="zh-CN"/>
              </w:rPr>
              <w:t>2</w:t>
            </w:r>
          </w:p>
        </w:tc>
        <w:tc>
          <w:tcPr>
            <w:tcW w:w="1985" w:type="dxa"/>
            <w:vAlign w:val="center"/>
          </w:tcPr>
          <w:p w14:paraId="7083A535">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c>
          <w:tcPr>
            <w:tcW w:w="1842" w:type="dxa"/>
            <w:vAlign w:val="center"/>
          </w:tcPr>
          <w:p w14:paraId="74736C72">
            <w:pPr>
              <w:jc w:val="center"/>
              <w:rPr>
                <w:rFonts w:hint="default" w:ascii="Times New Roman" w:hAnsi="Times New Roman" w:eastAsia="宋体" w:cs="Times New Roman"/>
                <w:szCs w:val="21"/>
                <w:lang w:val="en-US" w:eastAsia="zh-CN"/>
              </w:rPr>
            </w:pPr>
            <w:r>
              <w:rPr>
                <w:rFonts w:hint="eastAsia" w:cs="Times New Roman"/>
                <w:szCs w:val="21"/>
                <w:lang w:val="en-US" w:eastAsia="zh-CN"/>
              </w:rPr>
              <w:t>2</w:t>
            </w:r>
          </w:p>
        </w:tc>
        <w:tc>
          <w:tcPr>
            <w:tcW w:w="1189" w:type="dxa"/>
            <w:vAlign w:val="center"/>
          </w:tcPr>
          <w:p w14:paraId="2C76AE0B">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eastAsia" w:cs="Times New Roman"/>
                <w:szCs w:val="21"/>
                <w:lang w:val="en-US" w:eastAsia="zh-CN"/>
              </w:rPr>
              <w:t>2</w:t>
            </w:r>
          </w:p>
        </w:tc>
      </w:tr>
      <w:tr w14:paraId="2F6A2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20" w:type="dxa"/>
            <w:vMerge w:val="continue"/>
            <w:vAlign w:val="center"/>
          </w:tcPr>
          <w:p w14:paraId="74F66FD8">
            <w:pPr>
              <w:jc w:val="center"/>
              <w:rPr>
                <w:szCs w:val="21"/>
              </w:rPr>
            </w:pPr>
          </w:p>
        </w:tc>
        <w:tc>
          <w:tcPr>
            <w:tcW w:w="1701" w:type="dxa"/>
            <w:vAlign w:val="center"/>
          </w:tcPr>
          <w:p w14:paraId="7DD07DEB">
            <w:pPr>
              <w:jc w:val="center"/>
              <w:rPr>
                <w:rFonts w:hint="eastAsia" w:eastAsia="宋体"/>
                <w:szCs w:val="21"/>
                <w:lang w:eastAsia="zh-CN"/>
              </w:rPr>
            </w:pPr>
            <w:r>
              <w:rPr>
                <w:rFonts w:hint="eastAsia"/>
                <w:szCs w:val="21"/>
                <w:lang w:eastAsia="zh-CN"/>
              </w:rPr>
              <w:t>不合格品</w:t>
            </w:r>
          </w:p>
        </w:tc>
        <w:tc>
          <w:tcPr>
            <w:tcW w:w="1585" w:type="dxa"/>
            <w:vAlign w:val="center"/>
          </w:tcPr>
          <w:p w14:paraId="4A0E5F85">
            <w:pPr>
              <w:jc w:val="center"/>
              <w:rPr>
                <w:rFonts w:hint="eastAsia" w:eastAsia="宋体"/>
                <w:szCs w:val="21"/>
                <w:lang w:val="en-US" w:eastAsia="zh-CN"/>
              </w:rPr>
            </w:pPr>
            <w:r>
              <w:rPr>
                <w:rFonts w:hint="eastAsia"/>
                <w:szCs w:val="21"/>
                <w:lang w:val="en-US" w:eastAsia="zh-CN"/>
              </w:rPr>
              <w:t>0</w:t>
            </w:r>
          </w:p>
        </w:tc>
        <w:tc>
          <w:tcPr>
            <w:tcW w:w="1505" w:type="dxa"/>
            <w:vAlign w:val="center"/>
          </w:tcPr>
          <w:p w14:paraId="39B29880">
            <w:pPr>
              <w:jc w:val="center"/>
              <w:rPr>
                <w:rFonts w:hint="eastAsia" w:eastAsia="宋体"/>
                <w:szCs w:val="21"/>
                <w:lang w:val="en-US" w:eastAsia="zh-CN"/>
              </w:rPr>
            </w:pPr>
            <w:r>
              <w:rPr>
                <w:rFonts w:hint="eastAsia"/>
                <w:szCs w:val="21"/>
                <w:lang w:val="en-US" w:eastAsia="zh-CN"/>
              </w:rPr>
              <w:t>0</w:t>
            </w:r>
          </w:p>
        </w:tc>
        <w:tc>
          <w:tcPr>
            <w:tcW w:w="1559" w:type="dxa"/>
            <w:vAlign w:val="center"/>
          </w:tcPr>
          <w:p w14:paraId="7A3AEA86">
            <w:pPr>
              <w:jc w:val="center"/>
              <w:rPr>
                <w:rFonts w:hint="eastAsia" w:eastAsia="宋体"/>
                <w:szCs w:val="21"/>
                <w:lang w:val="en-US" w:eastAsia="zh-CN"/>
              </w:rPr>
            </w:pPr>
            <w:r>
              <w:rPr>
                <w:rFonts w:hint="eastAsia"/>
                <w:szCs w:val="21"/>
                <w:lang w:val="en-US" w:eastAsia="zh-CN"/>
              </w:rPr>
              <w:t>0</w:t>
            </w:r>
          </w:p>
        </w:tc>
        <w:tc>
          <w:tcPr>
            <w:tcW w:w="1559" w:type="dxa"/>
            <w:vAlign w:val="center"/>
          </w:tcPr>
          <w:p w14:paraId="7D8243F5">
            <w:pPr>
              <w:jc w:val="center"/>
              <w:rPr>
                <w:rFonts w:hint="default" w:ascii="Times New Roman" w:hAnsi="Times New Roman" w:eastAsia="宋体" w:cs="Times New Roman"/>
                <w:szCs w:val="21"/>
                <w:lang w:val="en-US" w:eastAsia="zh-CN"/>
              </w:rPr>
            </w:pPr>
            <w:r>
              <w:rPr>
                <w:rFonts w:hint="eastAsia" w:cs="Times New Roman"/>
                <w:szCs w:val="21"/>
                <w:lang w:val="en-US" w:eastAsia="zh-CN"/>
              </w:rPr>
              <w:t>10</w:t>
            </w:r>
          </w:p>
        </w:tc>
        <w:tc>
          <w:tcPr>
            <w:tcW w:w="1985" w:type="dxa"/>
            <w:vAlign w:val="center"/>
          </w:tcPr>
          <w:p w14:paraId="0F933FE2">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c>
          <w:tcPr>
            <w:tcW w:w="1842" w:type="dxa"/>
            <w:vAlign w:val="center"/>
          </w:tcPr>
          <w:p w14:paraId="49737562">
            <w:pPr>
              <w:jc w:val="center"/>
              <w:rPr>
                <w:rFonts w:hint="eastAsia" w:ascii="Times New Roman" w:hAnsi="Times New Roman" w:eastAsia="宋体" w:cs="Times New Roman"/>
                <w:szCs w:val="21"/>
                <w:lang w:val="en-US" w:eastAsia="zh-CN"/>
              </w:rPr>
            </w:pPr>
            <w:r>
              <w:rPr>
                <w:rFonts w:hint="eastAsia" w:cs="Times New Roman"/>
                <w:szCs w:val="21"/>
                <w:lang w:val="en-US" w:eastAsia="zh-CN"/>
              </w:rPr>
              <w:t>10</w:t>
            </w:r>
          </w:p>
        </w:tc>
        <w:tc>
          <w:tcPr>
            <w:tcW w:w="1189" w:type="dxa"/>
            <w:vAlign w:val="center"/>
          </w:tcPr>
          <w:p w14:paraId="53434E72">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eastAsia" w:cs="Times New Roman"/>
                <w:szCs w:val="21"/>
                <w:lang w:val="en-US" w:eastAsia="zh-CN"/>
              </w:rPr>
              <w:t>10</w:t>
            </w:r>
          </w:p>
        </w:tc>
      </w:tr>
      <w:tr w14:paraId="5D56D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20" w:type="dxa"/>
            <w:vMerge w:val="continue"/>
            <w:vAlign w:val="center"/>
          </w:tcPr>
          <w:p w14:paraId="6A19CA64">
            <w:pPr>
              <w:jc w:val="center"/>
              <w:rPr>
                <w:szCs w:val="21"/>
              </w:rPr>
            </w:pPr>
          </w:p>
        </w:tc>
        <w:tc>
          <w:tcPr>
            <w:tcW w:w="1701" w:type="dxa"/>
            <w:vAlign w:val="center"/>
          </w:tcPr>
          <w:p w14:paraId="248CBE51">
            <w:pPr>
              <w:jc w:val="center"/>
              <w:rPr>
                <w:rFonts w:hint="eastAsia"/>
                <w:szCs w:val="21"/>
                <w:lang w:eastAsia="zh-CN"/>
              </w:rPr>
            </w:pPr>
            <w:r>
              <w:rPr>
                <w:rFonts w:hint="eastAsia"/>
                <w:szCs w:val="21"/>
                <w:lang w:eastAsia="zh-CN"/>
              </w:rPr>
              <w:t>集尘</w:t>
            </w:r>
          </w:p>
        </w:tc>
        <w:tc>
          <w:tcPr>
            <w:tcW w:w="1585" w:type="dxa"/>
            <w:vAlign w:val="center"/>
          </w:tcPr>
          <w:p w14:paraId="51CD9313">
            <w:pPr>
              <w:jc w:val="center"/>
              <w:rPr>
                <w:rFonts w:hint="default"/>
                <w:szCs w:val="21"/>
                <w:lang w:val="en-US" w:eastAsia="zh-CN"/>
              </w:rPr>
            </w:pPr>
            <w:r>
              <w:rPr>
                <w:rFonts w:hint="eastAsia"/>
                <w:szCs w:val="21"/>
                <w:lang w:val="en-US" w:eastAsia="zh-CN"/>
              </w:rPr>
              <w:t>0</w:t>
            </w:r>
          </w:p>
        </w:tc>
        <w:tc>
          <w:tcPr>
            <w:tcW w:w="1505" w:type="dxa"/>
            <w:vAlign w:val="center"/>
          </w:tcPr>
          <w:p w14:paraId="652968FF">
            <w:pPr>
              <w:jc w:val="center"/>
              <w:rPr>
                <w:rFonts w:hint="default"/>
                <w:szCs w:val="21"/>
                <w:lang w:val="en-US" w:eastAsia="zh-CN"/>
              </w:rPr>
            </w:pPr>
            <w:r>
              <w:rPr>
                <w:rFonts w:hint="eastAsia"/>
                <w:szCs w:val="21"/>
                <w:lang w:val="en-US" w:eastAsia="zh-CN"/>
              </w:rPr>
              <w:t>0</w:t>
            </w:r>
          </w:p>
        </w:tc>
        <w:tc>
          <w:tcPr>
            <w:tcW w:w="1559" w:type="dxa"/>
            <w:vAlign w:val="center"/>
          </w:tcPr>
          <w:p w14:paraId="40A1F512">
            <w:pPr>
              <w:jc w:val="center"/>
              <w:rPr>
                <w:rFonts w:hint="default"/>
                <w:szCs w:val="21"/>
                <w:lang w:val="en-US" w:eastAsia="zh-CN"/>
              </w:rPr>
            </w:pPr>
            <w:r>
              <w:rPr>
                <w:rFonts w:hint="eastAsia"/>
                <w:szCs w:val="21"/>
                <w:lang w:val="en-US" w:eastAsia="zh-CN"/>
              </w:rPr>
              <w:t>0</w:t>
            </w:r>
          </w:p>
        </w:tc>
        <w:tc>
          <w:tcPr>
            <w:tcW w:w="1559" w:type="dxa"/>
            <w:vAlign w:val="center"/>
          </w:tcPr>
          <w:p w14:paraId="32E0765F">
            <w:pPr>
              <w:jc w:val="center"/>
              <w:rPr>
                <w:rFonts w:hint="default" w:ascii="Times New Roman" w:hAnsi="Times New Roman" w:eastAsia="宋体" w:cs="Times New Roman"/>
                <w:szCs w:val="21"/>
                <w:lang w:val="en-US" w:eastAsia="zh-CN"/>
              </w:rPr>
            </w:pPr>
            <w:r>
              <w:rPr>
                <w:rFonts w:hint="eastAsia" w:cs="Times New Roman"/>
                <w:szCs w:val="21"/>
                <w:lang w:val="en-US" w:eastAsia="zh-CN"/>
              </w:rPr>
              <w:t>5.346</w:t>
            </w:r>
          </w:p>
        </w:tc>
        <w:tc>
          <w:tcPr>
            <w:tcW w:w="1985" w:type="dxa"/>
            <w:vAlign w:val="center"/>
          </w:tcPr>
          <w:p w14:paraId="722A4BD4">
            <w:pPr>
              <w:jc w:val="center"/>
              <w:rPr>
                <w:rFonts w:hint="default" w:ascii="Times New Roman" w:hAnsi="Times New Roman" w:eastAsia="宋体" w:cs="Times New Roman"/>
                <w:szCs w:val="21"/>
                <w:lang w:val="en-US" w:eastAsia="zh-CN"/>
              </w:rPr>
            </w:pPr>
            <w:r>
              <w:rPr>
                <w:rFonts w:hint="eastAsia" w:cs="Times New Roman"/>
                <w:szCs w:val="21"/>
                <w:lang w:val="en-US" w:eastAsia="zh-CN"/>
              </w:rPr>
              <w:t>0</w:t>
            </w:r>
          </w:p>
        </w:tc>
        <w:tc>
          <w:tcPr>
            <w:tcW w:w="1842" w:type="dxa"/>
            <w:vAlign w:val="center"/>
          </w:tcPr>
          <w:p w14:paraId="18938FBD">
            <w:pPr>
              <w:jc w:val="center"/>
              <w:rPr>
                <w:rFonts w:hint="eastAsia" w:ascii="Times New Roman" w:hAnsi="Times New Roman" w:eastAsia="宋体" w:cs="Times New Roman"/>
                <w:szCs w:val="21"/>
                <w:lang w:val="en-US" w:eastAsia="zh-CN"/>
              </w:rPr>
            </w:pPr>
            <w:r>
              <w:rPr>
                <w:rFonts w:hint="eastAsia" w:cs="Times New Roman"/>
                <w:szCs w:val="21"/>
                <w:lang w:val="en-US" w:eastAsia="zh-CN"/>
              </w:rPr>
              <w:t>5.346</w:t>
            </w:r>
          </w:p>
        </w:tc>
        <w:tc>
          <w:tcPr>
            <w:tcW w:w="1189" w:type="dxa"/>
            <w:vAlign w:val="center"/>
          </w:tcPr>
          <w:p w14:paraId="562CC49D">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eastAsia" w:cs="Times New Roman"/>
                <w:szCs w:val="21"/>
                <w:lang w:val="en-US" w:eastAsia="zh-CN"/>
              </w:rPr>
              <w:t>5.346</w:t>
            </w:r>
          </w:p>
        </w:tc>
      </w:tr>
      <w:tr w14:paraId="05258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20" w:type="dxa"/>
            <w:vMerge w:val="continue"/>
            <w:vAlign w:val="center"/>
          </w:tcPr>
          <w:p w14:paraId="554397E6">
            <w:pPr>
              <w:jc w:val="center"/>
              <w:rPr>
                <w:szCs w:val="21"/>
              </w:rPr>
            </w:pPr>
          </w:p>
        </w:tc>
        <w:tc>
          <w:tcPr>
            <w:tcW w:w="1701" w:type="dxa"/>
            <w:vAlign w:val="center"/>
          </w:tcPr>
          <w:p w14:paraId="135FE7C4">
            <w:pPr>
              <w:jc w:val="center"/>
              <w:rPr>
                <w:rFonts w:hint="eastAsia"/>
                <w:szCs w:val="21"/>
                <w:lang w:eastAsia="zh-CN"/>
              </w:rPr>
            </w:pPr>
            <w:r>
              <w:rPr>
                <w:rFonts w:hint="eastAsia"/>
                <w:szCs w:val="21"/>
                <w:lang w:eastAsia="zh-CN"/>
              </w:rPr>
              <w:t>废布袋</w:t>
            </w:r>
          </w:p>
        </w:tc>
        <w:tc>
          <w:tcPr>
            <w:tcW w:w="1585" w:type="dxa"/>
            <w:vAlign w:val="center"/>
          </w:tcPr>
          <w:p w14:paraId="1FEF7D6E">
            <w:pPr>
              <w:jc w:val="center"/>
              <w:rPr>
                <w:rFonts w:hint="default"/>
                <w:szCs w:val="21"/>
                <w:lang w:val="en-US" w:eastAsia="zh-CN"/>
              </w:rPr>
            </w:pPr>
            <w:r>
              <w:rPr>
                <w:rFonts w:hint="eastAsia"/>
                <w:szCs w:val="21"/>
                <w:lang w:val="en-US" w:eastAsia="zh-CN"/>
              </w:rPr>
              <w:t>0</w:t>
            </w:r>
          </w:p>
        </w:tc>
        <w:tc>
          <w:tcPr>
            <w:tcW w:w="1505" w:type="dxa"/>
            <w:vAlign w:val="center"/>
          </w:tcPr>
          <w:p w14:paraId="1EE04BAF">
            <w:pPr>
              <w:jc w:val="center"/>
              <w:rPr>
                <w:rFonts w:hint="default"/>
                <w:szCs w:val="21"/>
                <w:lang w:val="en-US" w:eastAsia="zh-CN"/>
              </w:rPr>
            </w:pPr>
            <w:r>
              <w:rPr>
                <w:rFonts w:hint="eastAsia"/>
                <w:szCs w:val="21"/>
                <w:lang w:val="en-US" w:eastAsia="zh-CN"/>
              </w:rPr>
              <w:t>0</w:t>
            </w:r>
          </w:p>
        </w:tc>
        <w:tc>
          <w:tcPr>
            <w:tcW w:w="1559" w:type="dxa"/>
            <w:vAlign w:val="center"/>
          </w:tcPr>
          <w:p w14:paraId="7E4727A9">
            <w:pPr>
              <w:jc w:val="center"/>
              <w:rPr>
                <w:rFonts w:hint="default"/>
                <w:szCs w:val="21"/>
                <w:lang w:val="en-US" w:eastAsia="zh-CN"/>
              </w:rPr>
            </w:pPr>
            <w:r>
              <w:rPr>
                <w:rFonts w:hint="eastAsia"/>
                <w:szCs w:val="21"/>
                <w:lang w:val="en-US" w:eastAsia="zh-CN"/>
              </w:rPr>
              <w:t>0</w:t>
            </w:r>
          </w:p>
        </w:tc>
        <w:tc>
          <w:tcPr>
            <w:tcW w:w="1559" w:type="dxa"/>
            <w:vAlign w:val="center"/>
          </w:tcPr>
          <w:p w14:paraId="7D1DA51E">
            <w:pPr>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0.5</w:t>
            </w:r>
          </w:p>
        </w:tc>
        <w:tc>
          <w:tcPr>
            <w:tcW w:w="1985" w:type="dxa"/>
            <w:vAlign w:val="center"/>
          </w:tcPr>
          <w:p w14:paraId="0B3E2B80">
            <w:pPr>
              <w:jc w:val="center"/>
              <w:rPr>
                <w:rFonts w:hint="default" w:ascii="Times New Roman" w:hAnsi="Times New Roman" w:eastAsia="宋体" w:cs="Times New Roman"/>
                <w:szCs w:val="21"/>
                <w:lang w:val="en-US" w:eastAsia="zh-CN"/>
              </w:rPr>
            </w:pPr>
            <w:r>
              <w:rPr>
                <w:rFonts w:hint="eastAsia" w:cs="Times New Roman"/>
                <w:szCs w:val="21"/>
                <w:lang w:val="en-US" w:eastAsia="zh-CN"/>
              </w:rPr>
              <w:t>0</w:t>
            </w:r>
          </w:p>
        </w:tc>
        <w:tc>
          <w:tcPr>
            <w:tcW w:w="1842" w:type="dxa"/>
            <w:vAlign w:val="center"/>
          </w:tcPr>
          <w:p w14:paraId="3104A173">
            <w:pPr>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0.5</w:t>
            </w:r>
          </w:p>
        </w:tc>
        <w:tc>
          <w:tcPr>
            <w:tcW w:w="1189" w:type="dxa"/>
            <w:vAlign w:val="center"/>
          </w:tcPr>
          <w:p w14:paraId="594C4F5E">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0.5</w:t>
            </w:r>
          </w:p>
        </w:tc>
      </w:tr>
      <w:bookmarkEnd w:id="18"/>
      <w:bookmarkEnd w:id="19"/>
      <w:bookmarkEnd w:id="20"/>
      <w:bookmarkEnd w:id="21"/>
      <w:bookmarkEnd w:id="22"/>
      <w:tr w14:paraId="5A0B7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20" w:type="dxa"/>
            <w:vMerge w:val="restart"/>
            <w:vAlign w:val="center"/>
          </w:tcPr>
          <w:p w14:paraId="3180D415">
            <w:pPr>
              <w:jc w:val="center"/>
              <w:rPr>
                <w:szCs w:val="21"/>
              </w:rPr>
            </w:pPr>
            <w:r>
              <w:rPr>
                <w:szCs w:val="21"/>
              </w:rPr>
              <w:t>危险废物（t/a）</w:t>
            </w:r>
          </w:p>
        </w:tc>
        <w:tc>
          <w:tcPr>
            <w:tcW w:w="1701" w:type="dxa"/>
            <w:vAlign w:val="center"/>
          </w:tcPr>
          <w:p w14:paraId="7CF657C4">
            <w:pPr>
              <w:jc w:val="center"/>
              <w:rPr>
                <w:szCs w:val="21"/>
              </w:rPr>
            </w:pPr>
            <w:r>
              <w:rPr>
                <w:szCs w:val="21"/>
              </w:rPr>
              <w:t>废活性炭</w:t>
            </w:r>
          </w:p>
        </w:tc>
        <w:tc>
          <w:tcPr>
            <w:tcW w:w="1585" w:type="dxa"/>
            <w:vAlign w:val="center"/>
          </w:tcPr>
          <w:p w14:paraId="63B3B7B7">
            <w:pPr>
              <w:jc w:val="center"/>
              <w:rPr>
                <w:szCs w:val="21"/>
              </w:rPr>
            </w:pPr>
            <w:r>
              <w:rPr>
                <w:szCs w:val="21"/>
              </w:rPr>
              <w:t>0</w:t>
            </w:r>
          </w:p>
        </w:tc>
        <w:tc>
          <w:tcPr>
            <w:tcW w:w="1505" w:type="dxa"/>
            <w:vAlign w:val="center"/>
          </w:tcPr>
          <w:p w14:paraId="2056FDB7">
            <w:pPr>
              <w:jc w:val="center"/>
              <w:rPr>
                <w:szCs w:val="21"/>
              </w:rPr>
            </w:pPr>
            <w:r>
              <w:rPr>
                <w:szCs w:val="21"/>
              </w:rPr>
              <w:t>0</w:t>
            </w:r>
          </w:p>
        </w:tc>
        <w:tc>
          <w:tcPr>
            <w:tcW w:w="1559" w:type="dxa"/>
            <w:vAlign w:val="center"/>
          </w:tcPr>
          <w:p w14:paraId="4D0F17A5">
            <w:pPr>
              <w:jc w:val="center"/>
              <w:rPr>
                <w:szCs w:val="21"/>
              </w:rPr>
            </w:pPr>
            <w:r>
              <w:rPr>
                <w:szCs w:val="21"/>
              </w:rPr>
              <w:t>0</w:t>
            </w:r>
          </w:p>
        </w:tc>
        <w:tc>
          <w:tcPr>
            <w:tcW w:w="1559" w:type="dxa"/>
            <w:vAlign w:val="center"/>
          </w:tcPr>
          <w:p w14:paraId="5BB28D56">
            <w:pPr>
              <w:jc w:val="center"/>
              <w:rPr>
                <w:rFonts w:hint="default" w:ascii="Times New Roman" w:hAnsi="Times New Roman" w:eastAsia="宋体" w:cs="Times New Roman"/>
                <w:szCs w:val="21"/>
                <w:lang w:val="en-US" w:eastAsia="zh-CN"/>
              </w:rPr>
            </w:pPr>
            <w:r>
              <w:rPr>
                <w:rFonts w:hint="eastAsia" w:cs="Times New Roman"/>
                <w:szCs w:val="21"/>
                <w:lang w:val="en-US" w:eastAsia="zh-CN"/>
              </w:rPr>
              <w:t>16.58</w:t>
            </w:r>
          </w:p>
        </w:tc>
        <w:tc>
          <w:tcPr>
            <w:tcW w:w="1985" w:type="dxa"/>
            <w:vAlign w:val="center"/>
          </w:tcPr>
          <w:p w14:paraId="130EAAB8">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c>
          <w:tcPr>
            <w:tcW w:w="1842" w:type="dxa"/>
            <w:vAlign w:val="center"/>
          </w:tcPr>
          <w:p w14:paraId="1D8E8315">
            <w:pPr>
              <w:jc w:val="center"/>
              <w:rPr>
                <w:rFonts w:hint="default" w:ascii="Times New Roman" w:hAnsi="Times New Roman" w:eastAsia="宋体" w:cs="Times New Roman"/>
                <w:szCs w:val="21"/>
                <w:lang w:val="en-US" w:eastAsia="zh-CN"/>
              </w:rPr>
            </w:pPr>
            <w:r>
              <w:rPr>
                <w:rFonts w:hint="eastAsia" w:cs="Times New Roman"/>
                <w:szCs w:val="21"/>
                <w:lang w:val="en-US" w:eastAsia="zh-CN"/>
              </w:rPr>
              <w:t>16.58</w:t>
            </w:r>
          </w:p>
        </w:tc>
        <w:tc>
          <w:tcPr>
            <w:tcW w:w="1189" w:type="dxa"/>
            <w:vAlign w:val="center"/>
          </w:tcPr>
          <w:p w14:paraId="5ABF4DC3">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eastAsia" w:cs="Times New Roman"/>
                <w:szCs w:val="21"/>
                <w:lang w:val="en-US" w:eastAsia="zh-CN"/>
              </w:rPr>
              <w:t>16.58</w:t>
            </w:r>
          </w:p>
        </w:tc>
      </w:tr>
      <w:tr w14:paraId="077E6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20" w:type="dxa"/>
            <w:vMerge w:val="continue"/>
            <w:vAlign w:val="center"/>
          </w:tcPr>
          <w:p w14:paraId="1260C1B0">
            <w:pPr>
              <w:jc w:val="center"/>
              <w:rPr>
                <w:szCs w:val="21"/>
              </w:rPr>
            </w:pPr>
          </w:p>
        </w:tc>
        <w:tc>
          <w:tcPr>
            <w:tcW w:w="1701" w:type="dxa"/>
            <w:vAlign w:val="center"/>
          </w:tcPr>
          <w:p w14:paraId="7C86C256">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喷淋塔废液</w:t>
            </w:r>
          </w:p>
        </w:tc>
        <w:tc>
          <w:tcPr>
            <w:tcW w:w="1585" w:type="dxa"/>
            <w:vAlign w:val="center"/>
          </w:tcPr>
          <w:p w14:paraId="2F992608">
            <w:pPr>
              <w:jc w:val="center"/>
              <w:rPr>
                <w:szCs w:val="21"/>
              </w:rPr>
            </w:pPr>
            <w:r>
              <w:rPr>
                <w:szCs w:val="21"/>
              </w:rPr>
              <w:t>0</w:t>
            </w:r>
          </w:p>
        </w:tc>
        <w:tc>
          <w:tcPr>
            <w:tcW w:w="1505" w:type="dxa"/>
            <w:vAlign w:val="center"/>
          </w:tcPr>
          <w:p w14:paraId="7B5943B3">
            <w:pPr>
              <w:jc w:val="center"/>
              <w:rPr>
                <w:szCs w:val="21"/>
              </w:rPr>
            </w:pPr>
            <w:r>
              <w:rPr>
                <w:szCs w:val="21"/>
              </w:rPr>
              <w:t>0</w:t>
            </w:r>
          </w:p>
        </w:tc>
        <w:tc>
          <w:tcPr>
            <w:tcW w:w="1559" w:type="dxa"/>
            <w:vAlign w:val="center"/>
          </w:tcPr>
          <w:p w14:paraId="015E47BB">
            <w:pPr>
              <w:jc w:val="center"/>
              <w:rPr>
                <w:szCs w:val="21"/>
              </w:rPr>
            </w:pPr>
            <w:r>
              <w:rPr>
                <w:szCs w:val="21"/>
              </w:rPr>
              <w:t>0</w:t>
            </w:r>
          </w:p>
        </w:tc>
        <w:tc>
          <w:tcPr>
            <w:tcW w:w="1559" w:type="dxa"/>
            <w:vAlign w:val="center"/>
          </w:tcPr>
          <w:p w14:paraId="39AA389F">
            <w:pPr>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2.4</w:t>
            </w:r>
          </w:p>
        </w:tc>
        <w:tc>
          <w:tcPr>
            <w:tcW w:w="1985" w:type="dxa"/>
            <w:vAlign w:val="center"/>
          </w:tcPr>
          <w:p w14:paraId="13E53C2C">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c>
          <w:tcPr>
            <w:tcW w:w="1842" w:type="dxa"/>
            <w:vAlign w:val="center"/>
          </w:tcPr>
          <w:p w14:paraId="36253E37">
            <w:pPr>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2.4</w:t>
            </w:r>
          </w:p>
        </w:tc>
        <w:tc>
          <w:tcPr>
            <w:tcW w:w="1189" w:type="dxa"/>
            <w:vAlign w:val="center"/>
          </w:tcPr>
          <w:p w14:paraId="5E8AFDB1">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2.4</w:t>
            </w:r>
          </w:p>
        </w:tc>
      </w:tr>
      <w:tr w14:paraId="06C9D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20" w:type="dxa"/>
            <w:vMerge w:val="continue"/>
            <w:vAlign w:val="center"/>
          </w:tcPr>
          <w:p w14:paraId="5D905C0C">
            <w:pPr>
              <w:jc w:val="center"/>
              <w:rPr>
                <w:szCs w:val="21"/>
              </w:rPr>
            </w:pPr>
          </w:p>
        </w:tc>
        <w:tc>
          <w:tcPr>
            <w:tcW w:w="1701" w:type="dxa"/>
            <w:vAlign w:val="center"/>
          </w:tcPr>
          <w:p w14:paraId="4D114596">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废滤芯</w:t>
            </w:r>
          </w:p>
        </w:tc>
        <w:tc>
          <w:tcPr>
            <w:tcW w:w="1585" w:type="dxa"/>
            <w:vAlign w:val="center"/>
          </w:tcPr>
          <w:p w14:paraId="24F20214">
            <w:pPr>
              <w:jc w:val="center"/>
              <w:rPr>
                <w:szCs w:val="21"/>
              </w:rPr>
            </w:pPr>
            <w:r>
              <w:rPr>
                <w:szCs w:val="21"/>
              </w:rPr>
              <w:t>0</w:t>
            </w:r>
          </w:p>
        </w:tc>
        <w:tc>
          <w:tcPr>
            <w:tcW w:w="1505" w:type="dxa"/>
            <w:vAlign w:val="center"/>
          </w:tcPr>
          <w:p w14:paraId="7D2997F3">
            <w:pPr>
              <w:jc w:val="center"/>
              <w:rPr>
                <w:szCs w:val="21"/>
              </w:rPr>
            </w:pPr>
            <w:r>
              <w:rPr>
                <w:szCs w:val="21"/>
              </w:rPr>
              <w:t>0</w:t>
            </w:r>
          </w:p>
        </w:tc>
        <w:tc>
          <w:tcPr>
            <w:tcW w:w="1559" w:type="dxa"/>
            <w:vAlign w:val="center"/>
          </w:tcPr>
          <w:p w14:paraId="17F54DF0">
            <w:pPr>
              <w:jc w:val="center"/>
              <w:rPr>
                <w:szCs w:val="21"/>
              </w:rPr>
            </w:pPr>
            <w:r>
              <w:rPr>
                <w:szCs w:val="21"/>
              </w:rPr>
              <w:t>0</w:t>
            </w:r>
          </w:p>
        </w:tc>
        <w:tc>
          <w:tcPr>
            <w:tcW w:w="1559" w:type="dxa"/>
            <w:vAlign w:val="center"/>
          </w:tcPr>
          <w:p w14:paraId="51AC32B1">
            <w:pPr>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1985" w:type="dxa"/>
            <w:vAlign w:val="center"/>
          </w:tcPr>
          <w:p w14:paraId="66CDDAF4">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c>
          <w:tcPr>
            <w:tcW w:w="1842" w:type="dxa"/>
            <w:vAlign w:val="center"/>
          </w:tcPr>
          <w:p w14:paraId="48F77C03">
            <w:pPr>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1189" w:type="dxa"/>
            <w:vAlign w:val="center"/>
          </w:tcPr>
          <w:p w14:paraId="4E99B416">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1</w:t>
            </w:r>
          </w:p>
        </w:tc>
      </w:tr>
      <w:tr w14:paraId="4CB33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20" w:type="dxa"/>
            <w:vMerge w:val="continue"/>
            <w:vAlign w:val="center"/>
          </w:tcPr>
          <w:p w14:paraId="5BB1457C">
            <w:pPr>
              <w:jc w:val="center"/>
              <w:rPr>
                <w:szCs w:val="21"/>
              </w:rPr>
            </w:pPr>
          </w:p>
        </w:tc>
        <w:tc>
          <w:tcPr>
            <w:tcW w:w="1701" w:type="dxa"/>
            <w:vAlign w:val="center"/>
          </w:tcPr>
          <w:p w14:paraId="2806AA92">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废润滑油</w:t>
            </w:r>
          </w:p>
        </w:tc>
        <w:tc>
          <w:tcPr>
            <w:tcW w:w="1585" w:type="dxa"/>
            <w:vAlign w:val="center"/>
          </w:tcPr>
          <w:p w14:paraId="310C2E12">
            <w:pPr>
              <w:jc w:val="center"/>
              <w:rPr>
                <w:szCs w:val="21"/>
              </w:rPr>
            </w:pPr>
            <w:r>
              <w:rPr>
                <w:szCs w:val="21"/>
              </w:rPr>
              <w:t>0</w:t>
            </w:r>
          </w:p>
        </w:tc>
        <w:tc>
          <w:tcPr>
            <w:tcW w:w="1505" w:type="dxa"/>
            <w:vAlign w:val="center"/>
          </w:tcPr>
          <w:p w14:paraId="50709187">
            <w:pPr>
              <w:jc w:val="center"/>
              <w:rPr>
                <w:szCs w:val="21"/>
              </w:rPr>
            </w:pPr>
            <w:r>
              <w:rPr>
                <w:szCs w:val="21"/>
              </w:rPr>
              <w:t>0</w:t>
            </w:r>
          </w:p>
        </w:tc>
        <w:tc>
          <w:tcPr>
            <w:tcW w:w="1559" w:type="dxa"/>
            <w:vAlign w:val="center"/>
          </w:tcPr>
          <w:p w14:paraId="504CB704">
            <w:pPr>
              <w:jc w:val="center"/>
              <w:rPr>
                <w:szCs w:val="21"/>
              </w:rPr>
            </w:pPr>
            <w:r>
              <w:rPr>
                <w:szCs w:val="21"/>
              </w:rPr>
              <w:t>0</w:t>
            </w:r>
          </w:p>
        </w:tc>
        <w:tc>
          <w:tcPr>
            <w:tcW w:w="1559" w:type="dxa"/>
            <w:vAlign w:val="center"/>
          </w:tcPr>
          <w:p w14:paraId="6F8026EE">
            <w:pPr>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1985" w:type="dxa"/>
            <w:vAlign w:val="center"/>
          </w:tcPr>
          <w:p w14:paraId="689BA776">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c>
          <w:tcPr>
            <w:tcW w:w="1842" w:type="dxa"/>
            <w:vAlign w:val="center"/>
          </w:tcPr>
          <w:p w14:paraId="1A697669">
            <w:pPr>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1189" w:type="dxa"/>
            <w:vAlign w:val="center"/>
          </w:tcPr>
          <w:p w14:paraId="7A8A2CC6">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1</w:t>
            </w:r>
          </w:p>
        </w:tc>
      </w:tr>
      <w:tr w14:paraId="63B39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20" w:type="dxa"/>
            <w:vMerge w:val="continue"/>
            <w:vAlign w:val="center"/>
          </w:tcPr>
          <w:p w14:paraId="63FB1F72">
            <w:pPr>
              <w:jc w:val="center"/>
              <w:rPr>
                <w:szCs w:val="21"/>
              </w:rPr>
            </w:pPr>
          </w:p>
        </w:tc>
        <w:tc>
          <w:tcPr>
            <w:tcW w:w="1701" w:type="dxa"/>
            <w:vAlign w:val="center"/>
          </w:tcPr>
          <w:p w14:paraId="697AF8F2">
            <w:pPr>
              <w:jc w:val="center"/>
              <w:rPr>
                <w:rFonts w:hint="eastAsia" w:ascii="Times New Roman" w:hAnsi="Times New Roman" w:eastAsia="宋体" w:cs="Times New Roman"/>
                <w:szCs w:val="21"/>
                <w:lang w:eastAsia="zh-CN"/>
              </w:rPr>
            </w:pPr>
            <w:r>
              <w:rPr>
                <w:rFonts w:hint="eastAsia" w:cs="Times New Roman"/>
                <w:szCs w:val="21"/>
                <w:lang w:eastAsia="zh-CN"/>
              </w:rPr>
              <w:t>废润滑油桶</w:t>
            </w:r>
          </w:p>
        </w:tc>
        <w:tc>
          <w:tcPr>
            <w:tcW w:w="1585" w:type="dxa"/>
            <w:vAlign w:val="center"/>
          </w:tcPr>
          <w:p w14:paraId="4D591C2E">
            <w:pPr>
              <w:jc w:val="center"/>
              <w:rPr>
                <w:rFonts w:hint="eastAsia" w:eastAsia="宋体"/>
                <w:szCs w:val="21"/>
                <w:lang w:val="en-US" w:eastAsia="zh-CN"/>
              </w:rPr>
            </w:pPr>
            <w:r>
              <w:rPr>
                <w:rFonts w:hint="eastAsia"/>
                <w:szCs w:val="21"/>
                <w:lang w:val="en-US" w:eastAsia="zh-CN"/>
              </w:rPr>
              <w:t>0</w:t>
            </w:r>
          </w:p>
        </w:tc>
        <w:tc>
          <w:tcPr>
            <w:tcW w:w="1505" w:type="dxa"/>
            <w:vAlign w:val="center"/>
          </w:tcPr>
          <w:p w14:paraId="2CAC56E1">
            <w:pPr>
              <w:jc w:val="center"/>
              <w:rPr>
                <w:rFonts w:hint="eastAsia" w:eastAsia="宋体"/>
                <w:szCs w:val="21"/>
                <w:lang w:val="en-US" w:eastAsia="zh-CN"/>
              </w:rPr>
            </w:pPr>
            <w:r>
              <w:rPr>
                <w:rFonts w:hint="eastAsia"/>
                <w:szCs w:val="21"/>
                <w:lang w:val="en-US" w:eastAsia="zh-CN"/>
              </w:rPr>
              <w:t>0</w:t>
            </w:r>
          </w:p>
        </w:tc>
        <w:tc>
          <w:tcPr>
            <w:tcW w:w="1559" w:type="dxa"/>
            <w:vAlign w:val="center"/>
          </w:tcPr>
          <w:p w14:paraId="58A6C487">
            <w:pPr>
              <w:jc w:val="center"/>
              <w:rPr>
                <w:rFonts w:hint="eastAsia" w:eastAsia="宋体"/>
                <w:szCs w:val="21"/>
                <w:lang w:val="en-US" w:eastAsia="zh-CN"/>
              </w:rPr>
            </w:pPr>
            <w:r>
              <w:rPr>
                <w:rFonts w:hint="eastAsia"/>
                <w:szCs w:val="21"/>
                <w:lang w:val="en-US" w:eastAsia="zh-CN"/>
              </w:rPr>
              <w:t>0</w:t>
            </w:r>
          </w:p>
        </w:tc>
        <w:tc>
          <w:tcPr>
            <w:tcW w:w="1559" w:type="dxa"/>
            <w:vAlign w:val="center"/>
          </w:tcPr>
          <w:p w14:paraId="491B5D4D">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0.5</w:t>
            </w:r>
          </w:p>
        </w:tc>
        <w:tc>
          <w:tcPr>
            <w:tcW w:w="1985" w:type="dxa"/>
            <w:vAlign w:val="center"/>
          </w:tcPr>
          <w:p w14:paraId="648045D7">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c>
          <w:tcPr>
            <w:tcW w:w="1842" w:type="dxa"/>
            <w:vAlign w:val="center"/>
          </w:tcPr>
          <w:p w14:paraId="7FBE26B7">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0.5</w:t>
            </w:r>
          </w:p>
        </w:tc>
        <w:tc>
          <w:tcPr>
            <w:tcW w:w="1189" w:type="dxa"/>
            <w:vAlign w:val="center"/>
          </w:tcPr>
          <w:p w14:paraId="03E9F9A5">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0.5</w:t>
            </w:r>
          </w:p>
        </w:tc>
      </w:tr>
      <w:tr w14:paraId="13AE80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20" w:type="dxa"/>
            <w:vAlign w:val="center"/>
          </w:tcPr>
          <w:p w14:paraId="1FE72511">
            <w:pPr>
              <w:jc w:val="center"/>
              <w:rPr>
                <w:szCs w:val="21"/>
              </w:rPr>
            </w:pPr>
            <w:r>
              <w:rPr>
                <w:szCs w:val="21"/>
              </w:rPr>
              <w:t>生活垃圾（t/a）</w:t>
            </w:r>
          </w:p>
        </w:tc>
        <w:tc>
          <w:tcPr>
            <w:tcW w:w="1701" w:type="dxa"/>
            <w:vAlign w:val="center"/>
          </w:tcPr>
          <w:p w14:paraId="150913EC">
            <w:pPr>
              <w:jc w:val="center"/>
              <w:rPr>
                <w:szCs w:val="21"/>
              </w:rPr>
            </w:pPr>
            <w:r>
              <w:rPr>
                <w:szCs w:val="21"/>
              </w:rPr>
              <w:t>生活垃圾</w:t>
            </w:r>
          </w:p>
        </w:tc>
        <w:tc>
          <w:tcPr>
            <w:tcW w:w="1585" w:type="dxa"/>
            <w:vAlign w:val="center"/>
          </w:tcPr>
          <w:p w14:paraId="54816A32">
            <w:pPr>
              <w:jc w:val="center"/>
              <w:rPr>
                <w:szCs w:val="21"/>
              </w:rPr>
            </w:pPr>
            <w:r>
              <w:rPr>
                <w:szCs w:val="21"/>
              </w:rPr>
              <w:t>0</w:t>
            </w:r>
          </w:p>
        </w:tc>
        <w:tc>
          <w:tcPr>
            <w:tcW w:w="1505" w:type="dxa"/>
            <w:vAlign w:val="center"/>
          </w:tcPr>
          <w:p w14:paraId="7AA14E97">
            <w:pPr>
              <w:jc w:val="center"/>
              <w:rPr>
                <w:szCs w:val="21"/>
              </w:rPr>
            </w:pPr>
            <w:r>
              <w:rPr>
                <w:szCs w:val="21"/>
              </w:rPr>
              <w:t>0</w:t>
            </w:r>
          </w:p>
        </w:tc>
        <w:tc>
          <w:tcPr>
            <w:tcW w:w="1559" w:type="dxa"/>
            <w:vAlign w:val="center"/>
          </w:tcPr>
          <w:p w14:paraId="4705F130">
            <w:pPr>
              <w:jc w:val="center"/>
              <w:rPr>
                <w:szCs w:val="21"/>
              </w:rPr>
            </w:pPr>
            <w:r>
              <w:rPr>
                <w:szCs w:val="21"/>
              </w:rPr>
              <w:t>0</w:t>
            </w:r>
          </w:p>
        </w:tc>
        <w:tc>
          <w:tcPr>
            <w:tcW w:w="1559" w:type="dxa"/>
            <w:vAlign w:val="center"/>
          </w:tcPr>
          <w:p w14:paraId="716BFF75">
            <w:pPr>
              <w:jc w:val="center"/>
              <w:rPr>
                <w:rFonts w:hint="default" w:ascii="Times New Roman" w:hAnsi="Times New Roman" w:eastAsia="宋体" w:cs="Times New Roman"/>
                <w:szCs w:val="21"/>
                <w:lang w:val="en-US" w:eastAsia="zh-CN"/>
              </w:rPr>
            </w:pPr>
            <w:r>
              <w:rPr>
                <w:rFonts w:hint="eastAsia" w:cs="Times New Roman"/>
                <w:szCs w:val="21"/>
                <w:lang w:val="en-US" w:eastAsia="zh-CN"/>
              </w:rPr>
              <w:t>3</w:t>
            </w:r>
          </w:p>
        </w:tc>
        <w:tc>
          <w:tcPr>
            <w:tcW w:w="1985" w:type="dxa"/>
            <w:vAlign w:val="center"/>
          </w:tcPr>
          <w:p w14:paraId="34C0180B">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c>
          <w:tcPr>
            <w:tcW w:w="1842" w:type="dxa"/>
            <w:vAlign w:val="center"/>
          </w:tcPr>
          <w:p w14:paraId="6D2A6A05">
            <w:pPr>
              <w:jc w:val="center"/>
              <w:rPr>
                <w:rFonts w:hint="default" w:ascii="Times New Roman" w:hAnsi="Times New Roman" w:eastAsia="宋体" w:cs="Times New Roman"/>
                <w:szCs w:val="21"/>
                <w:lang w:val="en-US" w:eastAsia="zh-CN"/>
              </w:rPr>
            </w:pPr>
            <w:r>
              <w:rPr>
                <w:rFonts w:hint="eastAsia" w:cs="Times New Roman"/>
                <w:szCs w:val="21"/>
                <w:lang w:val="en-US" w:eastAsia="zh-CN"/>
              </w:rPr>
              <w:t>3</w:t>
            </w:r>
          </w:p>
        </w:tc>
        <w:tc>
          <w:tcPr>
            <w:tcW w:w="1189" w:type="dxa"/>
            <w:vAlign w:val="center"/>
          </w:tcPr>
          <w:p w14:paraId="04D38E4F">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eastAsia" w:cs="Times New Roman"/>
                <w:szCs w:val="21"/>
                <w:lang w:val="en-US" w:eastAsia="zh-CN"/>
              </w:rPr>
              <w:t>3</w:t>
            </w:r>
          </w:p>
        </w:tc>
      </w:tr>
    </w:tbl>
    <w:p w14:paraId="3FE76345">
      <w:pPr>
        <w:pStyle w:val="2"/>
        <w:rPr>
          <w:rFonts w:ascii="Times New Roman" w:hAnsi="Times New Roma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E4FE591"/>
    <w:sectPr>
      <w:footerReference r:id="rId5"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89485E6-2559-4363-AD67-37ECE70AD182}"/>
  </w:font>
  <w:font w:name="黑体">
    <w:panose1 w:val="02010609060101010101"/>
    <w:charset w:val="86"/>
    <w:family w:val="auto"/>
    <w:pitch w:val="default"/>
    <w:sig w:usb0="800002BF" w:usb1="38CF7CFA" w:usb2="00000016" w:usb3="00000000" w:csb0="00040001" w:csb1="00000000"/>
    <w:embedRegular r:id="rId2" w:fontKey="{7350F406-789C-4DF6-90F9-91A6961EB6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8764BA2-6333-4F6C-B501-7ECBB5E908DA}"/>
  </w:font>
  <w:font w:name="楷体_GB2312">
    <w:panose1 w:val="02010609030101010101"/>
    <w:charset w:val="86"/>
    <w:family w:val="modern"/>
    <w:pitch w:val="default"/>
    <w:sig w:usb0="00000001" w:usb1="080E0000" w:usb2="00000000" w:usb3="00000000" w:csb0="00040000" w:csb1="00000000"/>
    <w:embedRegular r:id="rId4" w:fontKey="{5F4797F1-C723-4F69-9B0B-EF8B6FAF12E5}"/>
  </w:font>
  <w:font w:name="MS Sans Serif">
    <w:altName w:val="Segoe Print"/>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embedRegular r:id="rId5" w:fontKey="{6E1E2724-6305-46C4-AB4C-CDE4D5E722D2}"/>
  </w:font>
  <w:font w:name="方正小标宋简体">
    <w:panose1 w:val="02000000000000000000"/>
    <w:charset w:val="86"/>
    <w:family w:val="auto"/>
    <w:pitch w:val="default"/>
    <w:sig w:usb0="00000001" w:usb1="08000000" w:usb2="00000000" w:usb3="00000000" w:csb0="00040000" w:csb1="00000000"/>
    <w:embedRegular r:id="rId6" w:fontKey="{01201D96-DCAF-411D-AC21-20C5869FB272}"/>
  </w:font>
  <w:font w:name="华文仿宋">
    <w:panose1 w:val="02010600040101010101"/>
    <w:charset w:val="86"/>
    <w:family w:val="auto"/>
    <w:pitch w:val="default"/>
    <w:sig w:usb0="00000287" w:usb1="080F0000" w:usb2="00000000" w:usb3="00000000" w:csb0="0004009F" w:csb1="DFD70000"/>
    <w:embedRegular r:id="rId7" w:fontKey="{043F7F8D-F540-47D4-B481-5E018BCFB4F2}"/>
  </w:font>
  <w:font w:name="仿宋">
    <w:panose1 w:val="02010609060101010101"/>
    <w:charset w:val="86"/>
    <w:family w:val="modern"/>
    <w:pitch w:val="default"/>
    <w:sig w:usb0="800002BF" w:usb1="38CF7CFA" w:usb2="00000016" w:usb3="00000000" w:csb0="00040001" w:csb1="00000000"/>
    <w:embedRegular r:id="rId8" w:fontKey="{CFF4774D-8494-4383-8255-35FC4BE61763}"/>
  </w:font>
  <w:font w:name="MS Mincho">
    <w:panose1 w:val="02020609040205080304"/>
    <w:charset w:val="80"/>
    <w:family w:val="roman"/>
    <w:pitch w:val="default"/>
    <w:sig w:usb0="E00002FF" w:usb1="6AC7FDFB" w:usb2="00000012" w:usb3="00000000" w:csb0="4002009F" w:csb1="DFD70000"/>
    <w:embedRegular r:id="rId9" w:fontKey="{E0E32318-7DE5-4BAF-B0A8-8E6191317A60}"/>
  </w:font>
  <w:font w:name="Wingdings 2">
    <w:panose1 w:val="05020102010507070707"/>
    <w:charset w:val="02"/>
    <w:family w:val="roman"/>
    <w:pitch w:val="default"/>
    <w:sig w:usb0="00000000" w:usb1="00000000" w:usb2="00000000" w:usb3="00000000" w:csb0="80000000" w:csb1="00000000"/>
    <w:embedRegular r:id="rId10" w:fontKey="{C5FA2FD1-EFDC-4D35-8F4E-9BA779665590}"/>
  </w:font>
  <w:font w:name="微软雅黑">
    <w:panose1 w:val="020B0503020204020204"/>
    <w:charset w:val="86"/>
    <w:family w:val="swiss"/>
    <w:pitch w:val="default"/>
    <w:sig w:usb0="80000287" w:usb1="280F3C52" w:usb2="00000016" w:usb3="00000000" w:csb0="0004001F" w:csb1="00000000"/>
    <w:embedRegular r:id="rId11" w:fontKey="{5CEC6152-AFAC-4AC6-8361-8D7303EA0C7A}"/>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398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9881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B6FBB">
                          <w:pPr>
                            <w:pStyle w:val="12"/>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B6FBB">
                    <w:pPr>
                      <w:pStyle w:val="12"/>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A33A2">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1947C"/>
    <w:multiLevelType w:val="singleLevel"/>
    <w:tmpl w:val="8B71947C"/>
    <w:lvl w:ilvl="0" w:tentative="0">
      <w:start w:val="3"/>
      <w:numFmt w:val="chineseCounting"/>
      <w:suff w:val="nothing"/>
      <w:lvlText w:val="%1、"/>
      <w:lvlJc w:val="left"/>
      <w:rPr>
        <w:rFonts w:hint="eastAsia"/>
      </w:rPr>
    </w:lvl>
  </w:abstractNum>
  <w:abstractNum w:abstractNumId="1">
    <w:nsid w:val="B5771320"/>
    <w:multiLevelType w:val="singleLevel"/>
    <w:tmpl w:val="B5771320"/>
    <w:lvl w:ilvl="0" w:tentative="0">
      <w:start w:val="1"/>
      <w:numFmt w:val="decimal"/>
      <w:suff w:val="nothing"/>
      <w:lvlText w:val="（%1）"/>
      <w:lvlJc w:val="left"/>
    </w:lvl>
  </w:abstractNum>
  <w:abstractNum w:abstractNumId="2">
    <w:nsid w:val="C8AE7C9B"/>
    <w:multiLevelType w:val="singleLevel"/>
    <w:tmpl w:val="C8AE7C9B"/>
    <w:lvl w:ilvl="0" w:tentative="0">
      <w:start w:val="1"/>
      <w:numFmt w:val="decimal"/>
      <w:suff w:val="nothing"/>
      <w:lvlText w:val="%1、"/>
      <w:lvlJc w:val="left"/>
    </w:lvl>
  </w:abstractNum>
  <w:abstractNum w:abstractNumId="3">
    <w:nsid w:val="E6E03DE3"/>
    <w:multiLevelType w:val="singleLevel"/>
    <w:tmpl w:val="E6E03DE3"/>
    <w:lvl w:ilvl="0" w:tentative="0">
      <w:start w:val="2"/>
      <w:numFmt w:val="chineseCounting"/>
      <w:suff w:val="nothing"/>
      <w:lvlText w:val="%1、"/>
      <w:lvlJc w:val="left"/>
      <w:rPr>
        <w:rFonts w:hint="eastAsia"/>
      </w:rPr>
    </w:lvl>
  </w:abstractNum>
  <w:abstractNum w:abstractNumId="4">
    <w:nsid w:val="F87DE846"/>
    <w:multiLevelType w:val="singleLevel"/>
    <w:tmpl w:val="F87DE846"/>
    <w:lvl w:ilvl="0" w:tentative="0">
      <w:start w:val="1"/>
      <w:numFmt w:val="decimal"/>
      <w:suff w:val="nothing"/>
      <w:lvlText w:val="%1、"/>
      <w:lvlJc w:val="left"/>
    </w:lvl>
  </w:abstractNum>
  <w:abstractNum w:abstractNumId="5">
    <w:nsid w:val="7C19CF76"/>
    <w:multiLevelType w:val="singleLevel"/>
    <w:tmpl w:val="7C19CF76"/>
    <w:lvl w:ilvl="0" w:tentative="0">
      <w:start w:val="1"/>
      <w:numFmt w:val="decimal"/>
      <w:suff w:val="nothing"/>
      <w:lvlText w:val="%1、"/>
      <w:lvlJc w:val="left"/>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YTg4Yjc2NTk1YjVlNWUzNTFlODE4NjE5YzAzZDEifQ=="/>
  </w:docVars>
  <w:rsids>
    <w:rsidRoot w:val="00172A27"/>
    <w:rsid w:val="00084A84"/>
    <w:rsid w:val="000C3E7E"/>
    <w:rsid w:val="00172A27"/>
    <w:rsid w:val="00242048"/>
    <w:rsid w:val="002B5280"/>
    <w:rsid w:val="00307A95"/>
    <w:rsid w:val="003577A2"/>
    <w:rsid w:val="00410CBC"/>
    <w:rsid w:val="005F0123"/>
    <w:rsid w:val="00685503"/>
    <w:rsid w:val="00755931"/>
    <w:rsid w:val="00805B49"/>
    <w:rsid w:val="009323D2"/>
    <w:rsid w:val="009C15CF"/>
    <w:rsid w:val="00A566D5"/>
    <w:rsid w:val="00A72159"/>
    <w:rsid w:val="00AD7338"/>
    <w:rsid w:val="00B5130A"/>
    <w:rsid w:val="00BF0E19"/>
    <w:rsid w:val="00C50B26"/>
    <w:rsid w:val="00E2702E"/>
    <w:rsid w:val="00F705B3"/>
    <w:rsid w:val="01050F22"/>
    <w:rsid w:val="01252322"/>
    <w:rsid w:val="012D2227"/>
    <w:rsid w:val="012E7A5D"/>
    <w:rsid w:val="01462CE1"/>
    <w:rsid w:val="01804A4C"/>
    <w:rsid w:val="01AE12BB"/>
    <w:rsid w:val="01CA216C"/>
    <w:rsid w:val="01CC1A40"/>
    <w:rsid w:val="01EF572E"/>
    <w:rsid w:val="022301D7"/>
    <w:rsid w:val="02724408"/>
    <w:rsid w:val="02922C89"/>
    <w:rsid w:val="029F3C0B"/>
    <w:rsid w:val="02B04EBD"/>
    <w:rsid w:val="02CD5A6F"/>
    <w:rsid w:val="02EE6DD2"/>
    <w:rsid w:val="02F079B0"/>
    <w:rsid w:val="030F15BF"/>
    <w:rsid w:val="0312186D"/>
    <w:rsid w:val="031C07A5"/>
    <w:rsid w:val="0329502C"/>
    <w:rsid w:val="036117B5"/>
    <w:rsid w:val="03685798"/>
    <w:rsid w:val="038A7E04"/>
    <w:rsid w:val="03920A67"/>
    <w:rsid w:val="03A46E1B"/>
    <w:rsid w:val="03C03826"/>
    <w:rsid w:val="03D8291E"/>
    <w:rsid w:val="03F11C32"/>
    <w:rsid w:val="041A1159"/>
    <w:rsid w:val="043164D2"/>
    <w:rsid w:val="043C7CB0"/>
    <w:rsid w:val="046C392C"/>
    <w:rsid w:val="048E5274"/>
    <w:rsid w:val="049F343C"/>
    <w:rsid w:val="04C82992"/>
    <w:rsid w:val="04E6106A"/>
    <w:rsid w:val="052A59B1"/>
    <w:rsid w:val="0530773D"/>
    <w:rsid w:val="05471C6A"/>
    <w:rsid w:val="055C757F"/>
    <w:rsid w:val="05791EDF"/>
    <w:rsid w:val="05882122"/>
    <w:rsid w:val="05AF76AE"/>
    <w:rsid w:val="05B2719F"/>
    <w:rsid w:val="05B728D5"/>
    <w:rsid w:val="05E91BB0"/>
    <w:rsid w:val="0616772D"/>
    <w:rsid w:val="062C0CFF"/>
    <w:rsid w:val="06622973"/>
    <w:rsid w:val="068B1EC9"/>
    <w:rsid w:val="069F1BF0"/>
    <w:rsid w:val="06E521B8"/>
    <w:rsid w:val="07091040"/>
    <w:rsid w:val="070E07D7"/>
    <w:rsid w:val="07173348"/>
    <w:rsid w:val="071D4AEC"/>
    <w:rsid w:val="072F4F4B"/>
    <w:rsid w:val="07333855"/>
    <w:rsid w:val="074958E1"/>
    <w:rsid w:val="07B54D24"/>
    <w:rsid w:val="07D72EEC"/>
    <w:rsid w:val="07D96C64"/>
    <w:rsid w:val="081C3C4D"/>
    <w:rsid w:val="086230FE"/>
    <w:rsid w:val="08752E31"/>
    <w:rsid w:val="08793FA4"/>
    <w:rsid w:val="08BB636A"/>
    <w:rsid w:val="08FD794D"/>
    <w:rsid w:val="09541478"/>
    <w:rsid w:val="09A432A2"/>
    <w:rsid w:val="09C0632E"/>
    <w:rsid w:val="09D771D4"/>
    <w:rsid w:val="09DB4F16"/>
    <w:rsid w:val="09F64A7F"/>
    <w:rsid w:val="09F66850"/>
    <w:rsid w:val="0A2F5262"/>
    <w:rsid w:val="0A47243A"/>
    <w:rsid w:val="0A5C592B"/>
    <w:rsid w:val="0A74519C"/>
    <w:rsid w:val="0A7F7F97"/>
    <w:rsid w:val="0A84735B"/>
    <w:rsid w:val="0A8855A3"/>
    <w:rsid w:val="0AA55524"/>
    <w:rsid w:val="0AB319EF"/>
    <w:rsid w:val="0ABA2D7D"/>
    <w:rsid w:val="0ABB08A3"/>
    <w:rsid w:val="0AC37758"/>
    <w:rsid w:val="0AC534D0"/>
    <w:rsid w:val="0AE3742A"/>
    <w:rsid w:val="0AFA13CC"/>
    <w:rsid w:val="0B057D70"/>
    <w:rsid w:val="0B266665"/>
    <w:rsid w:val="0B2B5A29"/>
    <w:rsid w:val="0B550CF8"/>
    <w:rsid w:val="0B93537C"/>
    <w:rsid w:val="0BB04180"/>
    <w:rsid w:val="0BBD6F6A"/>
    <w:rsid w:val="0BC83278"/>
    <w:rsid w:val="0BFA53FB"/>
    <w:rsid w:val="0C3B1C9C"/>
    <w:rsid w:val="0C475CEA"/>
    <w:rsid w:val="0C760F26"/>
    <w:rsid w:val="0C7F1213"/>
    <w:rsid w:val="0C917B0E"/>
    <w:rsid w:val="0C9C64B3"/>
    <w:rsid w:val="0CAC2B9A"/>
    <w:rsid w:val="0CD81BE1"/>
    <w:rsid w:val="0D1F336B"/>
    <w:rsid w:val="0D646FD0"/>
    <w:rsid w:val="0D8E6743"/>
    <w:rsid w:val="0D9D5D5A"/>
    <w:rsid w:val="0D9F44AC"/>
    <w:rsid w:val="0DBF4B4E"/>
    <w:rsid w:val="0DDF0D4D"/>
    <w:rsid w:val="0DE4359F"/>
    <w:rsid w:val="0DF04D08"/>
    <w:rsid w:val="0DFE11D3"/>
    <w:rsid w:val="0E067F78"/>
    <w:rsid w:val="0E0A5DCA"/>
    <w:rsid w:val="0E0E0C11"/>
    <w:rsid w:val="0E772D33"/>
    <w:rsid w:val="0E77757C"/>
    <w:rsid w:val="0F0942D3"/>
    <w:rsid w:val="0F403A6D"/>
    <w:rsid w:val="0F43477C"/>
    <w:rsid w:val="0FD068F7"/>
    <w:rsid w:val="0FF3288D"/>
    <w:rsid w:val="100D03C2"/>
    <w:rsid w:val="10172A20"/>
    <w:rsid w:val="10377F8B"/>
    <w:rsid w:val="10606AE5"/>
    <w:rsid w:val="107300D2"/>
    <w:rsid w:val="108F25B6"/>
    <w:rsid w:val="10CC380A"/>
    <w:rsid w:val="10F0323E"/>
    <w:rsid w:val="11007505"/>
    <w:rsid w:val="11082369"/>
    <w:rsid w:val="112371A2"/>
    <w:rsid w:val="115A0E16"/>
    <w:rsid w:val="115E01DA"/>
    <w:rsid w:val="11673533"/>
    <w:rsid w:val="117B2B3A"/>
    <w:rsid w:val="119D51A7"/>
    <w:rsid w:val="11AC0F46"/>
    <w:rsid w:val="11B61DC5"/>
    <w:rsid w:val="11E579A3"/>
    <w:rsid w:val="11F254F3"/>
    <w:rsid w:val="11F7458A"/>
    <w:rsid w:val="12465749"/>
    <w:rsid w:val="124B4C03"/>
    <w:rsid w:val="12503FC7"/>
    <w:rsid w:val="125D0492"/>
    <w:rsid w:val="12850115"/>
    <w:rsid w:val="128A74D9"/>
    <w:rsid w:val="12974DC3"/>
    <w:rsid w:val="129D5DCF"/>
    <w:rsid w:val="12AF308F"/>
    <w:rsid w:val="12B32EA0"/>
    <w:rsid w:val="12B844CD"/>
    <w:rsid w:val="12BC165D"/>
    <w:rsid w:val="12DB2A76"/>
    <w:rsid w:val="132316DC"/>
    <w:rsid w:val="13255454"/>
    <w:rsid w:val="132C6A77"/>
    <w:rsid w:val="13451652"/>
    <w:rsid w:val="13675A6C"/>
    <w:rsid w:val="13781A27"/>
    <w:rsid w:val="137B2552"/>
    <w:rsid w:val="13887343"/>
    <w:rsid w:val="13A520F1"/>
    <w:rsid w:val="13AF3E6F"/>
    <w:rsid w:val="13BD38DE"/>
    <w:rsid w:val="13C3212E"/>
    <w:rsid w:val="13C71B8A"/>
    <w:rsid w:val="13E175CD"/>
    <w:rsid w:val="13E40E6B"/>
    <w:rsid w:val="14125010"/>
    <w:rsid w:val="141D4A77"/>
    <w:rsid w:val="141D612B"/>
    <w:rsid w:val="14221993"/>
    <w:rsid w:val="14263231"/>
    <w:rsid w:val="14425B91"/>
    <w:rsid w:val="14593607"/>
    <w:rsid w:val="146B4CA6"/>
    <w:rsid w:val="148F58D9"/>
    <w:rsid w:val="148F7029"/>
    <w:rsid w:val="149376E3"/>
    <w:rsid w:val="14A80E67"/>
    <w:rsid w:val="14CF38C9"/>
    <w:rsid w:val="152754B3"/>
    <w:rsid w:val="1585042C"/>
    <w:rsid w:val="15A308B2"/>
    <w:rsid w:val="15AC59B8"/>
    <w:rsid w:val="15B8435D"/>
    <w:rsid w:val="15B91E83"/>
    <w:rsid w:val="15CE592F"/>
    <w:rsid w:val="15E742E7"/>
    <w:rsid w:val="16007AB2"/>
    <w:rsid w:val="16163C75"/>
    <w:rsid w:val="161708AE"/>
    <w:rsid w:val="162E2871"/>
    <w:rsid w:val="163D4862"/>
    <w:rsid w:val="16677B31"/>
    <w:rsid w:val="166C5148"/>
    <w:rsid w:val="167314B4"/>
    <w:rsid w:val="16827B1E"/>
    <w:rsid w:val="16B56AEF"/>
    <w:rsid w:val="16EB2510"/>
    <w:rsid w:val="17375756"/>
    <w:rsid w:val="175B40AA"/>
    <w:rsid w:val="17692876"/>
    <w:rsid w:val="176F4EEF"/>
    <w:rsid w:val="177C760C"/>
    <w:rsid w:val="177E5132"/>
    <w:rsid w:val="17B44608"/>
    <w:rsid w:val="17BD4979"/>
    <w:rsid w:val="17C0399D"/>
    <w:rsid w:val="17CF3681"/>
    <w:rsid w:val="17E05DED"/>
    <w:rsid w:val="180A2E6A"/>
    <w:rsid w:val="18137D13"/>
    <w:rsid w:val="183F54F5"/>
    <w:rsid w:val="185D11EC"/>
    <w:rsid w:val="187C78C4"/>
    <w:rsid w:val="188449CB"/>
    <w:rsid w:val="188919B3"/>
    <w:rsid w:val="188F61BA"/>
    <w:rsid w:val="18A76DD5"/>
    <w:rsid w:val="18A94431"/>
    <w:rsid w:val="18B3705E"/>
    <w:rsid w:val="18BA03EC"/>
    <w:rsid w:val="18C63235"/>
    <w:rsid w:val="18D314AE"/>
    <w:rsid w:val="18FC0A05"/>
    <w:rsid w:val="19063D11"/>
    <w:rsid w:val="191E4E1F"/>
    <w:rsid w:val="192166BD"/>
    <w:rsid w:val="19D6570D"/>
    <w:rsid w:val="19E17158"/>
    <w:rsid w:val="19EF056A"/>
    <w:rsid w:val="19FD1238"/>
    <w:rsid w:val="1A0F6516"/>
    <w:rsid w:val="1A1A3838"/>
    <w:rsid w:val="1A217E30"/>
    <w:rsid w:val="1A2A0016"/>
    <w:rsid w:val="1AAE3F81"/>
    <w:rsid w:val="1ACC4407"/>
    <w:rsid w:val="1B0535FF"/>
    <w:rsid w:val="1B177D78"/>
    <w:rsid w:val="1B3F2E2B"/>
    <w:rsid w:val="1B5514C4"/>
    <w:rsid w:val="1B5E4995"/>
    <w:rsid w:val="1B61138B"/>
    <w:rsid w:val="1B8E1174"/>
    <w:rsid w:val="1BC05D1A"/>
    <w:rsid w:val="1BC33A5C"/>
    <w:rsid w:val="1BCD67AA"/>
    <w:rsid w:val="1BF00239"/>
    <w:rsid w:val="1BFF1055"/>
    <w:rsid w:val="1C057BD0"/>
    <w:rsid w:val="1C236E8A"/>
    <w:rsid w:val="1C330BE1"/>
    <w:rsid w:val="1C8036FB"/>
    <w:rsid w:val="1C9A2A0F"/>
    <w:rsid w:val="1CD557F5"/>
    <w:rsid w:val="1CD777BF"/>
    <w:rsid w:val="1CDB6B83"/>
    <w:rsid w:val="1CFC0FD3"/>
    <w:rsid w:val="1D17405F"/>
    <w:rsid w:val="1D37025D"/>
    <w:rsid w:val="1D41732E"/>
    <w:rsid w:val="1D442AD0"/>
    <w:rsid w:val="1D76522A"/>
    <w:rsid w:val="1D927B8A"/>
    <w:rsid w:val="1DE008F5"/>
    <w:rsid w:val="1E087E4C"/>
    <w:rsid w:val="1E3824DF"/>
    <w:rsid w:val="1E401394"/>
    <w:rsid w:val="1E437B8D"/>
    <w:rsid w:val="1E5866DD"/>
    <w:rsid w:val="1E7E1EBC"/>
    <w:rsid w:val="1E91634F"/>
    <w:rsid w:val="1EA17CFA"/>
    <w:rsid w:val="1EAF02C7"/>
    <w:rsid w:val="1ED4347E"/>
    <w:rsid w:val="1EFA59E6"/>
    <w:rsid w:val="1F0217F7"/>
    <w:rsid w:val="1F806594"/>
    <w:rsid w:val="1FB042F7"/>
    <w:rsid w:val="1FC3227C"/>
    <w:rsid w:val="1FD61FB0"/>
    <w:rsid w:val="1FED1BB9"/>
    <w:rsid w:val="1FED72F9"/>
    <w:rsid w:val="20216FA3"/>
    <w:rsid w:val="204C2272"/>
    <w:rsid w:val="20684BD2"/>
    <w:rsid w:val="20AE3383"/>
    <w:rsid w:val="20B41BC5"/>
    <w:rsid w:val="20FC3BAC"/>
    <w:rsid w:val="2129610F"/>
    <w:rsid w:val="213845A4"/>
    <w:rsid w:val="217C26E3"/>
    <w:rsid w:val="21C72CFD"/>
    <w:rsid w:val="21D35C78"/>
    <w:rsid w:val="21E14C3C"/>
    <w:rsid w:val="21E7692F"/>
    <w:rsid w:val="21EA715D"/>
    <w:rsid w:val="21EB7868"/>
    <w:rsid w:val="21FC0BA1"/>
    <w:rsid w:val="220628F4"/>
    <w:rsid w:val="22137BB5"/>
    <w:rsid w:val="221B786D"/>
    <w:rsid w:val="22280ABD"/>
    <w:rsid w:val="223B095D"/>
    <w:rsid w:val="223E208E"/>
    <w:rsid w:val="225550A9"/>
    <w:rsid w:val="225D25B3"/>
    <w:rsid w:val="22A628B8"/>
    <w:rsid w:val="22AD2D70"/>
    <w:rsid w:val="22BF16BB"/>
    <w:rsid w:val="22C2681B"/>
    <w:rsid w:val="22CC1684"/>
    <w:rsid w:val="23000F98"/>
    <w:rsid w:val="230D30B5"/>
    <w:rsid w:val="232C1EE7"/>
    <w:rsid w:val="232F19D7"/>
    <w:rsid w:val="23384D2F"/>
    <w:rsid w:val="236C0269"/>
    <w:rsid w:val="23856B18"/>
    <w:rsid w:val="23A423C5"/>
    <w:rsid w:val="23B56380"/>
    <w:rsid w:val="23B75C54"/>
    <w:rsid w:val="23FA1FE5"/>
    <w:rsid w:val="2405792A"/>
    <w:rsid w:val="240C1D6D"/>
    <w:rsid w:val="24156E1F"/>
    <w:rsid w:val="24313A78"/>
    <w:rsid w:val="24482D50"/>
    <w:rsid w:val="244F2331"/>
    <w:rsid w:val="245636BF"/>
    <w:rsid w:val="24633790"/>
    <w:rsid w:val="24755A13"/>
    <w:rsid w:val="249935AC"/>
    <w:rsid w:val="24A0493A"/>
    <w:rsid w:val="24D26ABE"/>
    <w:rsid w:val="24E57FBD"/>
    <w:rsid w:val="2535528D"/>
    <w:rsid w:val="25407ECB"/>
    <w:rsid w:val="25440C67"/>
    <w:rsid w:val="256242E5"/>
    <w:rsid w:val="256C6F12"/>
    <w:rsid w:val="258438ED"/>
    <w:rsid w:val="2584600A"/>
    <w:rsid w:val="258D4564"/>
    <w:rsid w:val="259F1096"/>
    <w:rsid w:val="25BA7C7E"/>
    <w:rsid w:val="25D9579A"/>
    <w:rsid w:val="25F47BB1"/>
    <w:rsid w:val="260333D3"/>
    <w:rsid w:val="26235823"/>
    <w:rsid w:val="2629095F"/>
    <w:rsid w:val="265C0D35"/>
    <w:rsid w:val="265F25D3"/>
    <w:rsid w:val="26751EDA"/>
    <w:rsid w:val="26753BA5"/>
    <w:rsid w:val="267A5FE7"/>
    <w:rsid w:val="268169ED"/>
    <w:rsid w:val="26955FF5"/>
    <w:rsid w:val="26B97F35"/>
    <w:rsid w:val="26C9006A"/>
    <w:rsid w:val="26CC5EBA"/>
    <w:rsid w:val="26DE799C"/>
    <w:rsid w:val="277D0F63"/>
    <w:rsid w:val="281E2746"/>
    <w:rsid w:val="28335AC5"/>
    <w:rsid w:val="28485A15"/>
    <w:rsid w:val="284E0B51"/>
    <w:rsid w:val="284F091D"/>
    <w:rsid w:val="28506677"/>
    <w:rsid w:val="285C7E41"/>
    <w:rsid w:val="286255B2"/>
    <w:rsid w:val="28885E11"/>
    <w:rsid w:val="28920A3E"/>
    <w:rsid w:val="28E54823"/>
    <w:rsid w:val="291458F7"/>
    <w:rsid w:val="29193334"/>
    <w:rsid w:val="292A75BF"/>
    <w:rsid w:val="293F6D86"/>
    <w:rsid w:val="296216DD"/>
    <w:rsid w:val="296F6E5A"/>
    <w:rsid w:val="297E3888"/>
    <w:rsid w:val="29B844D4"/>
    <w:rsid w:val="29E03A2B"/>
    <w:rsid w:val="2A077209"/>
    <w:rsid w:val="2A1F344C"/>
    <w:rsid w:val="2A3A75DF"/>
    <w:rsid w:val="2A982810"/>
    <w:rsid w:val="2AF14141"/>
    <w:rsid w:val="2B1E1913"/>
    <w:rsid w:val="2B2B4C62"/>
    <w:rsid w:val="2B2C1D93"/>
    <w:rsid w:val="2B3143C8"/>
    <w:rsid w:val="2B373B1E"/>
    <w:rsid w:val="2B414671"/>
    <w:rsid w:val="2B801021"/>
    <w:rsid w:val="2B9351F9"/>
    <w:rsid w:val="2BA74800"/>
    <w:rsid w:val="2BAF7B59"/>
    <w:rsid w:val="2BC30B65"/>
    <w:rsid w:val="2BCA0724"/>
    <w:rsid w:val="2BCF1FA9"/>
    <w:rsid w:val="2BD25378"/>
    <w:rsid w:val="2BE23A8A"/>
    <w:rsid w:val="2BFC0384"/>
    <w:rsid w:val="2C056A67"/>
    <w:rsid w:val="2C060828"/>
    <w:rsid w:val="2C0E487F"/>
    <w:rsid w:val="2C131E96"/>
    <w:rsid w:val="2C2825A2"/>
    <w:rsid w:val="2C4B6F7F"/>
    <w:rsid w:val="2C7E7C57"/>
    <w:rsid w:val="2C7F5AF1"/>
    <w:rsid w:val="2C954FA0"/>
    <w:rsid w:val="2CD1045A"/>
    <w:rsid w:val="2CE37ABA"/>
    <w:rsid w:val="2CEA53F4"/>
    <w:rsid w:val="2D114186"/>
    <w:rsid w:val="2D427AAD"/>
    <w:rsid w:val="2D5D3BEA"/>
    <w:rsid w:val="2DF67BA8"/>
    <w:rsid w:val="2E051CB2"/>
    <w:rsid w:val="2E232138"/>
    <w:rsid w:val="2E2E2FB7"/>
    <w:rsid w:val="2E3E6F1F"/>
    <w:rsid w:val="2E50117F"/>
    <w:rsid w:val="2E6D4CAE"/>
    <w:rsid w:val="2E97690B"/>
    <w:rsid w:val="2EA8720D"/>
    <w:rsid w:val="2EA92EC4"/>
    <w:rsid w:val="2EAA27FC"/>
    <w:rsid w:val="2EC1207D"/>
    <w:rsid w:val="2EC35DF5"/>
    <w:rsid w:val="2EFA733D"/>
    <w:rsid w:val="2F7E7F6E"/>
    <w:rsid w:val="2F9A2411"/>
    <w:rsid w:val="2F9C11F0"/>
    <w:rsid w:val="2FAA48BF"/>
    <w:rsid w:val="2FC85744"/>
    <w:rsid w:val="30176275"/>
    <w:rsid w:val="30382D86"/>
    <w:rsid w:val="30731B82"/>
    <w:rsid w:val="30C324A1"/>
    <w:rsid w:val="3106021B"/>
    <w:rsid w:val="310B75DF"/>
    <w:rsid w:val="31181CFC"/>
    <w:rsid w:val="311D0E24"/>
    <w:rsid w:val="311E5564"/>
    <w:rsid w:val="31480833"/>
    <w:rsid w:val="3149291E"/>
    <w:rsid w:val="31540F86"/>
    <w:rsid w:val="31903F88"/>
    <w:rsid w:val="31B47C77"/>
    <w:rsid w:val="31C14142"/>
    <w:rsid w:val="31C66705"/>
    <w:rsid w:val="31EF0CAF"/>
    <w:rsid w:val="32003D57"/>
    <w:rsid w:val="32342B66"/>
    <w:rsid w:val="3235415E"/>
    <w:rsid w:val="32513718"/>
    <w:rsid w:val="32625925"/>
    <w:rsid w:val="3276108C"/>
    <w:rsid w:val="327D450D"/>
    <w:rsid w:val="328C4750"/>
    <w:rsid w:val="329D38CA"/>
    <w:rsid w:val="32BD2B5B"/>
    <w:rsid w:val="32C65EB4"/>
    <w:rsid w:val="32CC0FF0"/>
    <w:rsid w:val="32CD67F6"/>
    <w:rsid w:val="32E14A9C"/>
    <w:rsid w:val="337A6C9E"/>
    <w:rsid w:val="337F42B4"/>
    <w:rsid w:val="338C3ACE"/>
    <w:rsid w:val="339C7805"/>
    <w:rsid w:val="33B77164"/>
    <w:rsid w:val="3402116D"/>
    <w:rsid w:val="34036C94"/>
    <w:rsid w:val="342E719F"/>
    <w:rsid w:val="3431735D"/>
    <w:rsid w:val="345E3AB2"/>
    <w:rsid w:val="34757B91"/>
    <w:rsid w:val="348504E2"/>
    <w:rsid w:val="34A43FD3"/>
    <w:rsid w:val="34C91C8B"/>
    <w:rsid w:val="34CC177B"/>
    <w:rsid w:val="34DB0DB0"/>
    <w:rsid w:val="35007BCE"/>
    <w:rsid w:val="3507492D"/>
    <w:rsid w:val="3550415A"/>
    <w:rsid w:val="35507CB7"/>
    <w:rsid w:val="35630BCC"/>
    <w:rsid w:val="35791CD8"/>
    <w:rsid w:val="35A973C7"/>
    <w:rsid w:val="35BB1647"/>
    <w:rsid w:val="35BF7087"/>
    <w:rsid w:val="35E14DB3"/>
    <w:rsid w:val="35EB79DF"/>
    <w:rsid w:val="3600502F"/>
    <w:rsid w:val="3647730B"/>
    <w:rsid w:val="367D2D2D"/>
    <w:rsid w:val="36950D5A"/>
    <w:rsid w:val="369B1405"/>
    <w:rsid w:val="36AF3103"/>
    <w:rsid w:val="36E40AF7"/>
    <w:rsid w:val="36FD5C1C"/>
    <w:rsid w:val="37052D23"/>
    <w:rsid w:val="370C2303"/>
    <w:rsid w:val="37341B20"/>
    <w:rsid w:val="37357164"/>
    <w:rsid w:val="37377D49"/>
    <w:rsid w:val="37427AD3"/>
    <w:rsid w:val="374B2E2B"/>
    <w:rsid w:val="378C0D4E"/>
    <w:rsid w:val="37900768"/>
    <w:rsid w:val="37A8202C"/>
    <w:rsid w:val="37B564F7"/>
    <w:rsid w:val="37D01583"/>
    <w:rsid w:val="38037262"/>
    <w:rsid w:val="3805122C"/>
    <w:rsid w:val="381E22EE"/>
    <w:rsid w:val="382A3E25"/>
    <w:rsid w:val="383A69FC"/>
    <w:rsid w:val="384340E8"/>
    <w:rsid w:val="385B0E4C"/>
    <w:rsid w:val="38673C95"/>
    <w:rsid w:val="38A65E3F"/>
    <w:rsid w:val="38CC1D4A"/>
    <w:rsid w:val="38D22CDA"/>
    <w:rsid w:val="38DB7247"/>
    <w:rsid w:val="38DC6925"/>
    <w:rsid w:val="38EA6674"/>
    <w:rsid w:val="390943A6"/>
    <w:rsid w:val="39096AB3"/>
    <w:rsid w:val="3914724D"/>
    <w:rsid w:val="39535FC7"/>
    <w:rsid w:val="398E6FFF"/>
    <w:rsid w:val="399A59A4"/>
    <w:rsid w:val="39A16D33"/>
    <w:rsid w:val="39A24859"/>
    <w:rsid w:val="39E430C3"/>
    <w:rsid w:val="39EE18B3"/>
    <w:rsid w:val="3A053765"/>
    <w:rsid w:val="3A372BA4"/>
    <w:rsid w:val="3A3758E9"/>
    <w:rsid w:val="3A3F654C"/>
    <w:rsid w:val="3A43603C"/>
    <w:rsid w:val="3A9C2711"/>
    <w:rsid w:val="3A9E3272"/>
    <w:rsid w:val="3AD35612"/>
    <w:rsid w:val="3B113676"/>
    <w:rsid w:val="3B25549A"/>
    <w:rsid w:val="3B3616FD"/>
    <w:rsid w:val="3B4C0F20"/>
    <w:rsid w:val="3B51242C"/>
    <w:rsid w:val="3B5A28EF"/>
    <w:rsid w:val="3B64270E"/>
    <w:rsid w:val="3B7B1805"/>
    <w:rsid w:val="3B7C7A57"/>
    <w:rsid w:val="3BC1546A"/>
    <w:rsid w:val="3BE20D07"/>
    <w:rsid w:val="3BED44B1"/>
    <w:rsid w:val="3C187CC0"/>
    <w:rsid w:val="3C2E17EF"/>
    <w:rsid w:val="3C375FA8"/>
    <w:rsid w:val="3C4D13F4"/>
    <w:rsid w:val="3CA1529C"/>
    <w:rsid w:val="3CA803D8"/>
    <w:rsid w:val="3CB23005"/>
    <w:rsid w:val="3CC66AB0"/>
    <w:rsid w:val="3CC80A7A"/>
    <w:rsid w:val="3D2C640E"/>
    <w:rsid w:val="3D3659E4"/>
    <w:rsid w:val="3D546BA0"/>
    <w:rsid w:val="3D6A38DF"/>
    <w:rsid w:val="3D87623F"/>
    <w:rsid w:val="3D9B7F3D"/>
    <w:rsid w:val="3DA071B3"/>
    <w:rsid w:val="3DAF5796"/>
    <w:rsid w:val="3DBE44EE"/>
    <w:rsid w:val="3DCC00F6"/>
    <w:rsid w:val="3DD11BB1"/>
    <w:rsid w:val="3DE6565C"/>
    <w:rsid w:val="3E067AAC"/>
    <w:rsid w:val="3E265A58"/>
    <w:rsid w:val="3E2B306F"/>
    <w:rsid w:val="3E5E3444"/>
    <w:rsid w:val="3E662275"/>
    <w:rsid w:val="3E677860"/>
    <w:rsid w:val="3E6D3687"/>
    <w:rsid w:val="3E815385"/>
    <w:rsid w:val="3EA4076A"/>
    <w:rsid w:val="3EB134D9"/>
    <w:rsid w:val="3EEB7F48"/>
    <w:rsid w:val="3EF43DA9"/>
    <w:rsid w:val="3EF5367D"/>
    <w:rsid w:val="3F0253EF"/>
    <w:rsid w:val="3F171845"/>
    <w:rsid w:val="3F20694C"/>
    <w:rsid w:val="3F207766"/>
    <w:rsid w:val="3F237562"/>
    <w:rsid w:val="3F446ADE"/>
    <w:rsid w:val="3F852C53"/>
    <w:rsid w:val="3F9115F7"/>
    <w:rsid w:val="3F966C0E"/>
    <w:rsid w:val="3FAE22DF"/>
    <w:rsid w:val="3FB3409D"/>
    <w:rsid w:val="3FE34F1C"/>
    <w:rsid w:val="3FF3414B"/>
    <w:rsid w:val="4014142C"/>
    <w:rsid w:val="401B37EF"/>
    <w:rsid w:val="401D10DD"/>
    <w:rsid w:val="402204A1"/>
    <w:rsid w:val="403A3552"/>
    <w:rsid w:val="40610FCA"/>
    <w:rsid w:val="40667DA8"/>
    <w:rsid w:val="407572A9"/>
    <w:rsid w:val="40923879"/>
    <w:rsid w:val="40A435AC"/>
    <w:rsid w:val="40B530C4"/>
    <w:rsid w:val="40BB2DD0"/>
    <w:rsid w:val="40C269D6"/>
    <w:rsid w:val="40DC3149"/>
    <w:rsid w:val="40F32AFA"/>
    <w:rsid w:val="40F462E2"/>
    <w:rsid w:val="41000F07"/>
    <w:rsid w:val="41230975"/>
    <w:rsid w:val="41270465"/>
    <w:rsid w:val="412B32B0"/>
    <w:rsid w:val="41436921"/>
    <w:rsid w:val="41542D62"/>
    <w:rsid w:val="416845DA"/>
    <w:rsid w:val="41710BEB"/>
    <w:rsid w:val="41727207"/>
    <w:rsid w:val="417D0085"/>
    <w:rsid w:val="41DD6D76"/>
    <w:rsid w:val="42037D9A"/>
    <w:rsid w:val="42040468"/>
    <w:rsid w:val="42091919"/>
    <w:rsid w:val="420B7A03"/>
    <w:rsid w:val="424276D7"/>
    <w:rsid w:val="42440BA3"/>
    <w:rsid w:val="428216CB"/>
    <w:rsid w:val="4283791D"/>
    <w:rsid w:val="42B77542"/>
    <w:rsid w:val="42FC322C"/>
    <w:rsid w:val="43010842"/>
    <w:rsid w:val="43300EA0"/>
    <w:rsid w:val="43382C95"/>
    <w:rsid w:val="43503578"/>
    <w:rsid w:val="436A63E7"/>
    <w:rsid w:val="43813731"/>
    <w:rsid w:val="43B92C0C"/>
    <w:rsid w:val="43C31F9B"/>
    <w:rsid w:val="43D321DE"/>
    <w:rsid w:val="43FD36FF"/>
    <w:rsid w:val="441B1DD7"/>
    <w:rsid w:val="44311114"/>
    <w:rsid w:val="44315157"/>
    <w:rsid w:val="443B6DB9"/>
    <w:rsid w:val="44444E8A"/>
    <w:rsid w:val="44562E10"/>
    <w:rsid w:val="445D419E"/>
    <w:rsid w:val="446E07C6"/>
    <w:rsid w:val="448B179E"/>
    <w:rsid w:val="449000D0"/>
    <w:rsid w:val="449C3875"/>
    <w:rsid w:val="44A616A1"/>
    <w:rsid w:val="44D75CFE"/>
    <w:rsid w:val="44FA19ED"/>
    <w:rsid w:val="45264590"/>
    <w:rsid w:val="453F7001"/>
    <w:rsid w:val="454A2974"/>
    <w:rsid w:val="4550160D"/>
    <w:rsid w:val="45524B4A"/>
    <w:rsid w:val="457C0654"/>
    <w:rsid w:val="457C2402"/>
    <w:rsid w:val="45A71B75"/>
    <w:rsid w:val="45B358DD"/>
    <w:rsid w:val="45B7168C"/>
    <w:rsid w:val="45BE0C6C"/>
    <w:rsid w:val="45D71D2E"/>
    <w:rsid w:val="45DD5596"/>
    <w:rsid w:val="45F91C6B"/>
    <w:rsid w:val="4601279D"/>
    <w:rsid w:val="462B6C3D"/>
    <w:rsid w:val="464949DA"/>
    <w:rsid w:val="4670640B"/>
    <w:rsid w:val="468679DC"/>
    <w:rsid w:val="468A58A1"/>
    <w:rsid w:val="469D6AD4"/>
    <w:rsid w:val="46B917B6"/>
    <w:rsid w:val="46BA1331"/>
    <w:rsid w:val="46BD71EC"/>
    <w:rsid w:val="470B1C8F"/>
    <w:rsid w:val="47150D60"/>
    <w:rsid w:val="471C5C4A"/>
    <w:rsid w:val="472B40E0"/>
    <w:rsid w:val="473C009B"/>
    <w:rsid w:val="4779309D"/>
    <w:rsid w:val="478F25E1"/>
    <w:rsid w:val="4791488A"/>
    <w:rsid w:val="47A0687C"/>
    <w:rsid w:val="47DC187E"/>
    <w:rsid w:val="47F866B8"/>
    <w:rsid w:val="47F95F8C"/>
    <w:rsid w:val="481E3C44"/>
    <w:rsid w:val="482A0A6B"/>
    <w:rsid w:val="482B0421"/>
    <w:rsid w:val="483718DA"/>
    <w:rsid w:val="483E7E42"/>
    <w:rsid w:val="485A5714"/>
    <w:rsid w:val="48790E7B"/>
    <w:rsid w:val="48B55AC3"/>
    <w:rsid w:val="48C04CFB"/>
    <w:rsid w:val="48C627A0"/>
    <w:rsid w:val="48CC544E"/>
    <w:rsid w:val="48FA1FBB"/>
    <w:rsid w:val="49227764"/>
    <w:rsid w:val="49346A0B"/>
    <w:rsid w:val="49747FC0"/>
    <w:rsid w:val="497E0E3E"/>
    <w:rsid w:val="498E0956"/>
    <w:rsid w:val="499C12C5"/>
    <w:rsid w:val="499C2D9F"/>
    <w:rsid w:val="49BB7D2C"/>
    <w:rsid w:val="4A0F7CE8"/>
    <w:rsid w:val="4A1470AD"/>
    <w:rsid w:val="4A297D45"/>
    <w:rsid w:val="4A4D25BF"/>
    <w:rsid w:val="4A527BD5"/>
    <w:rsid w:val="4A613731"/>
    <w:rsid w:val="4A6E0EB3"/>
    <w:rsid w:val="4AAC19DB"/>
    <w:rsid w:val="4AAD027F"/>
    <w:rsid w:val="4AD056CA"/>
    <w:rsid w:val="4ADA6548"/>
    <w:rsid w:val="4AE40C94"/>
    <w:rsid w:val="4AF95591"/>
    <w:rsid w:val="4B1530DD"/>
    <w:rsid w:val="4B3D0885"/>
    <w:rsid w:val="4B5D022B"/>
    <w:rsid w:val="4B690BBA"/>
    <w:rsid w:val="4B6E0A3F"/>
    <w:rsid w:val="4B804579"/>
    <w:rsid w:val="4B8B7843"/>
    <w:rsid w:val="4BAF7F34"/>
    <w:rsid w:val="4BB5041C"/>
    <w:rsid w:val="4BEA27BB"/>
    <w:rsid w:val="4BFE6267"/>
    <w:rsid w:val="4C3457E4"/>
    <w:rsid w:val="4C612351"/>
    <w:rsid w:val="4C6A56AA"/>
    <w:rsid w:val="4C6D6F48"/>
    <w:rsid w:val="4C6F2CC0"/>
    <w:rsid w:val="4C8D3147"/>
    <w:rsid w:val="4CF11927"/>
    <w:rsid w:val="4D1D271C"/>
    <w:rsid w:val="4D245859"/>
    <w:rsid w:val="4D2A6BE7"/>
    <w:rsid w:val="4DA70238"/>
    <w:rsid w:val="4DAA368D"/>
    <w:rsid w:val="4DC813F1"/>
    <w:rsid w:val="4DC96400"/>
    <w:rsid w:val="4DD252B5"/>
    <w:rsid w:val="4DE137A9"/>
    <w:rsid w:val="4DF72F6D"/>
    <w:rsid w:val="4DFA43D9"/>
    <w:rsid w:val="4E182323"/>
    <w:rsid w:val="4E1C6E78"/>
    <w:rsid w:val="4E21623C"/>
    <w:rsid w:val="4E2B2C17"/>
    <w:rsid w:val="4E4F6905"/>
    <w:rsid w:val="4E6C5709"/>
    <w:rsid w:val="4E6F67E0"/>
    <w:rsid w:val="4EE7214E"/>
    <w:rsid w:val="4F155DA1"/>
    <w:rsid w:val="4F22226C"/>
    <w:rsid w:val="4F4641AC"/>
    <w:rsid w:val="4FAD18A6"/>
    <w:rsid w:val="4FD55530"/>
    <w:rsid w:val="4FF60127"/>
    <w:rsid w:val="4FF9121F"/>
    <w:rsid w:val="506A211C"/>
    <w:rsid w:val="507538C4"/>
    <w:rsid w:val="50982C20"/>
    <w:rsid w:val="509E3B74"/>
    <w:rsid w:val="50B74C36"/>
    <w:rsid w:val="50C01D3C"/>
    <w:rsid w:val="50D852D8"/>
    <w:rsid w:val="50F73284"/>
    <w:rsid w:val="51226553"/>
    <w:rsid w:val="512E314A"/>
    <w:rsid w:val="516F32D4"/>
    <w:rsid w:val="519A433C"/>
    <w:rsid w:val="51A056CA"/>
    <w:rsid w:val="51A97FF2"/>
    <w:rsid w:val="51AF590D"/>
    <w:rsid w:val="520F69A7"/>
    <w:rsid w:val="522D51B0"/>
    <w:rsid w:val="522E2CD6"/>
    <w:rsid w:val="523031E7"/>
    <w:rsid w:val="5263079A"/>
    <w:rsid w:val="52710393"/>
    <w:rsid w:val="528A0854"/>
    <w:rsid w:val="52B256B5"/>
    <w:rsid w:val="52B96A43"/>
    <w:rsid w:val="52D23FA9"/>
    <w:rsid w:val="52E87329"/>
    <w:rsid w:val="52FE08FA"/>
    <w:rsid w:val="5324700B"/>
    <w:rsid w:val="533E519B"/>
    <w:rsid w:val="533F2A79"/>
    <w:rsid w:val="534747A6"/>
    <w:rsid w:val="535449BE"/>
    <w:rsid w:val="53652498"/>
    <w:rsid w:val="536C3CC0"/>
    <w:rsid w:val="539A53DB"/>
    <w:rsid w:val="53A45945"/>
    <w:rsid w:val="53B74E53"/>
    <w:rsid w:val="54161C73"/>
    <w:rsid w:val="54183C3E"/>
    <w:rsid w:val="54273FD3"/>
    <w:rsid w:val="543B3A50"/>
    <w:rsid w:val="545509EE"/>
    <w:rsid w:val="54766DC6"/>
    <w:rsid w:val="548A6D6D"/>
    <w:rsid w:val="54BE2A37"/>
    <w:rsid w:val="54D53D4B"/>
    <w:rsid w:val="54E16725"/>
    <w:rsid w:val="54E51D72"/>
    <w:rsid w:val="555F6A99"/>
    <w:rsid w:val="55636916"/>
    <w:rsid w:val="557D644E"/>
    <w:rsid w:val="558C6691"/>
    <w:rsid w:val="559E0172"/>
    <w:rsid w:val="55B55BE8"/>
    <w:rsid w:val="55BF0815"/>
    <w:rsid w:val="55D3606E"/>
    <w:rsid w:val="55DF2C65"/>
    <w:rsid w:val="55E926C1"/>
    <w:rsid w:val="560C332E"/>
    <w:rsid w:val="561548D9"/>
    <w:rsid w:val="562E7748"/>
    <w:rsid w:val="563F3703"/>
    <w:rsid w:val="56890E23"/>
    <w:rsid w:val="568B6949"/>
    <w:rsid w:val="56B61114"/>
    <w:rsid w:val="56D26326"/>
    <w:rsid w:val="56D567B3"/>
    <w:rsid w:val="56E10D9D"/>
    <w:rsid w:val="56FE711B"/>
    <w:rsid w:val="57284198"/>
    <w:rsid w:val="572A7F10"/>
    <w:rsid w:val="572D7A00"/>
    <w:rsid w:val="573C27C0"/>
    <w:rsid w:val="57591DDE"/>
    <w:rsid w:val="575F7462"/>
    <w:rsid w:val="578E3481"/>
    <w:rsid w:val="57A834E3"/>
    <w:rsid w:val="57B14CA7"/>
    <w:rsid w:val="57C57C38"/>
    <w:rsid w:val="57EF4CB5"/>
    <w:rsid w:val="57F7433A"/>
    <w:rsid w:val="580F3712"/>
    <w:rsid w:val="5817075C"/>
    <w:rsid w:val="585B234B"/>
    <w:rsid w:val="58675193"/>
    <w:rsid w:val="58B33F35"/>
    <w:rsid w:val="58B6245B"/>
    <w:rsid w:val="590429E2"/>
    <w:rsid w:val="59105E78"/>
    <w:rsid w:val="592310BA"/>
    <w:rsid w:val="59480B21"/>
    <w:rsid w:val="597002AE"/>
    <w:rsid w:val="597E5CE6"/>
    <w:rsid w:val="59831B59"/>
    <w:rsid w:val="59A31609"/>
    <w:rsid w:val="59A87812"/>
    <w:rsid w:val="59BE5287"/>
    <w:rsid w:val="59D14FBA"/>
    <w:rsid w:val="59E06FAB"/>
    <w:rsid w:val="59FB3DE5"/>
    <w:rsid w:val="5A382944"/>
    <w:rsid w:val="5A7D5D84"/>
    <w:rsid w:val="5A7F67C4"/>
    <w:rsid w:val="5AA61FA3"/>
    <w:rsid w:val="5AC62645"/>
    <w:rsid w:val="5AD617FC"/>
    <w:rsid w:val="5AEC372E"/>
    <w:rsid w:val="5B1213E7"/>
    <w:rsid w:val="5B2E0B3A"/>
    <w:rsid w:val="5B3D7993"/>
    <w:rsid w:val="5B722C00"/>
    <w:rsid w:val="5B857E0A"/>
    <w:rsid w:val="5B9B5880"/>
    <w:rsid w:val="5BA5225B"/>
    <w:rsid w:val="5BAF4E87"/>
    <w:rsid w:val="5BDC37A3"/>
    <w:rsid w:val="5BFD0DA8"/>
    <w:rsid w:val="5BFD62FA"/>
    <w:rsid w:val="5C1A22F3"/>
    <w:rsid w:val="5C4457BB"/>
    <w:rsid w:val="5C5D2B35"/>
    <w:rsid w:val="5C5F065B"/>
    <w:rsid w:val="5C637CB4"/>
    <w:rsid w:val="5C71038F"/>
    <w:rsid w:val="5C806824"/>
    <w:rsid w:val="5C8F6A67"/>
    <w:rsid w:val="5CA16EC6"/>
    <w:rsid w:val="5CE15514"/>
    <w:rsid w:val="5CF318DF"/>
    <w:rsid w:val="5CF67716"/>
    <w:rsid w:val="5CFD72B6"/>
    <w:rsid w:val="5D131446"/>
    <w:rsid w:val="5D3458A2"/>
    <w:rsid w:val="5D52386E"/>
    <w:rsid w:val="5D52420D"/>
    <w:rsid w:val="5D635F29"/>
    <w:rsid w:val="5D6D3407"/>
    <w:rsid w:val="5D7C348F"/>
    <w:rsid w:val="5DBE2941"/>
    <w:rsid w:val="5DE00C44"/>
    <w:rsid w:val="5E4A0E97"/>
    <w:rsid w:val="5E915452"/>
    <w:rsid w:val="5EBA0AB1"/>
    <w:rsid w:val="5EC32886"/>
    <w:rsid w:val="5EF17565"/>
    <w:rsid w:val="5F04373C"/>
    <w:rsid w:val="5F076D88"/>
    <w:rsid w:val="5F105C3D"/>
    <w:rsid w:val="5F28124A"/>
    <w:rsid w:val="5F2B398C"/>
    <w:rsid w:val="5F577D10"/>
    <w:rsid w:val="5F8F6840"/>
    <w:rsid w:val="5FA744B8"/>
    <w:rsid w:val="5FB07420"/>
    <w:rsid w:val="5FCA04E2"/>
    <w:rsid w:val="5FDC0215"/>
    <w:rsid w:val="601479AF"/>
    <w:rsid w:val="60371E24"/>
    <w:rsid w:val="60593614"/>
    <w:rsid w:val="608B6427"/>
    <w:rsid w:val="60B46A9C"/>
    <w:rsid w:val="60B7155B"/>
    <w:rsid w:val="60ED19BA"/>
    <w:rsid w:val="613A1697"/>
    <w:rsid w:val="614147D4"/>
    <w:rsid w:val="615950C6"/>
    <w:rsid w:val="61A84853"/>
    <w:rsid w:val="61D2367E"/>
    <w:rsid w:val="61F30B50"/>
    <w:rsid w:val="62080CF8"/>
    <w:rsid w:val="621D6C97"/>
    <w:rsid w:val="622B7232"/>
    <w:rsid w:val="623F6839"/>
    <w:rsid w:val="62B15989"/>
    <w:rsid w:val="62C84A81"/>
    <w:rsid w:val="62CA6A4B"/>
    <w:rsid w:val="62E726D3"/>
    <w:rsid w:val="630E656E"/>
    <w:rsid w:val="631877B6"/>
    <w:rsid w:val="632041D3"/>
    <w:rsid w:val="63594F88"/>
    <w:rsid w:val="637B25C6"/>
    <w:rsid w:val="638E5CCA"/>
    <w:rsid w:val="63936E3D"/>
    <w:rsid w:val="63C94F54"/>
    <w:rsid w:val="63EB0A27"/>
    <w:rsid w:val="63F91396"/>
    <w:rsid w:val="63FC605D"/>
    <w:rsid w:val="641077A6"/>
    <w:rsid w:val="6437589C"/>
    <w:rsid w:val="643979E4"/>
    <w:rsid w:val="645B3DFE"/>
    <w:rsid w:val="649C61C5"/>
    <w:rsid w:val="64B67287"/>
    <w:rsid w:val="64B90B25"/>
    <w:rsid w:val="64CC2606"/>
    <w:rsid w:val="64D0306D"/>
    <w:rsid w:val="64D771FD"/>
    <w:rsid w:val="64FD6C64"/>
    <w:rsid w:val="651346D8"/>
    <w:rsid w:val="651915C4"/>
    <w:rsid w:val="65295CAB"/>
    <w:rsid w:val="65432A36"/>
    <w:rsid w:val="654B3A6E"/>
    <w:rsid w:val="654F1498"/>
    <w:rsid w:val="656211BC"/>
    <w:rsid w:val="65834AA0"/>
    <w:rsid w:val="659D4C79"/>
    <w:rsid w:val="65B80C72"/>
    <w:rsid w:val="65BA4B55"/>
    <w:rsid w:val="66075335"/>
    <w:rsid w:val="660854AA"/>
    <w:rsid w:val="661A55F3"/>
    <w:rsid w:val="66302B58"/>
    <w:rsid w:val="663F32AC"/>
    <w:rsid w:val="66410DD2"/>
    <w:rsid w:val="664D59C9"/>
    <w:rsid w:val="66522FDF"/>
    <w:rsid w:val="665B1203"/>
    <w:rsid w:val="669B5028"/>
    <w:rsid w:val="66B772E6"/>
    <w:rsid w:val="66BB0B84"/>
    <w:rsid w:val="66C37A39"/>
    <w:rsid w:val="66E828DD"/>
    <w:rsid w:val="672524A2"/>
    <w:rsid w:val="6727446C"/>
    <w:rsid w:val="676A6106"/>
    <w:rsid w:val="67707E98"/>
    <w:rsid w:val="67954113"/>
    <w:rsid w:val="679C4491"/>
    <w:rsid w:val="67E22141"/>
    <w:rsid w:val="680C2CAF"/>
    <w:rsid w:val="680C4D8F"/>
    <w:rsid w:val="68190258"/>
    <w:rsid w:val="68295DFE"/>
    <w:rsid w:val="682B7F8C"/>
    <w:rsid w:val="68765127"/>
    <w:rsid w:val="687C4343"/>
    <w:rsid w:val="689B0560"/>
    <w:rsid w:val="68B65AA7"/>
    <w:rsid w:val="68D75A1D"/>
    <w:rsid w:val="68E96090"/>
    <w:rsid w:val="68FB5BB0"/>
    <w:rsid w:val="69002DDA"/>
    <w:rsid w:val="69180510"/>
    <w:rsid w:val="69466F51"/>
    <w:rsid w:val="69794D27"/>
    <w:rsid w:val="698975C2"/>
    <w:rsid w:val="69972089"/>
    <w:rsid w:val="69A37163"/>
    <w:rsid w:val="69DC2C21"/>
    <w:rsid w:val="69EE74C3"/>
    <w:rsid w:val="69FF40E1"/>
    <w:rsid w:val="6A04697D"/>
    <w:rsid w:val="6A0C16F7"/>
    <w:rsid w:val="6A2B6021"/>
    <w:rsid w:val="6A604000"/>
    <w:rsid w:val="6A710359"/>
    <w:rsid w:val="6A7379C8"/>
    <w:rsid w:val="6A90057A"/>
    <w:rsid w:val="6A9E4A45"/>
    <w:rsid w:val="6AC450A8"/>
    <w:rsid w:val="6B1C3BBC"/>
    <w:rsid w:val="6B2F7D93"/>
    <w:rsid w:val="6B3E3B32"/>
    <w:rsid w:val="6B673089"/>
    <w:rsid w:val="6B87372B"/>
    <w:rsid w:val="6BA118C1"/>
    <w:rsid w:val="6BA657DC"/>
    <w:rsid w:val="6BC8789F"/>
    <w:rsid w:val="6BDF70C3"/>
    <w:rsid w:val="6C060B31"/>
    <w:rsid w:val="6C1236EB"/>
    <w:rsid w:val="6C1A4857"/>
    <w:rsid w:val="6C3C4515"/>
    <w:rsid w:val="6C515AE7"/>
    <w:rsid w:val="6C88045E"/>
    <w:rsid w:val="6CA67DB3"/>
    <w:rsid w:val="6CBF5146"/>
    <w:rsid w:val="6CFC3CA5"/>
    <w:rsid w:val="6D0B156F"/>
    <w:rsid w:val="6D205BE5"/>
    <w:rsid w:val="6D4A0EB4"/>
    <w:rsid w:val="6D594C53"/>
    <w:rsid w:val="6D5E670D"/>
    <w:rsid w:val="6D5F1983"/>
    <w:rsid w:val="6D875C64"/>
    <w:rsid w:val="6E1A55A5"/>
    <w:rsid w:val="6E1B015A"/>
    <w:rsid w:val="6E2C05BA"/>
    <w:rsid w:val="6E3F583B"/>
    <w:rsid w:val="6E6E0BD2"/>
    <w:rsid w:val="6E75158F"/>
    <w:rsid w:val="6E772A24"/>
    <w:rsid w:val="6EA6211A"/>
    <w:rsid w:val="6EB26D11"/>
    <w:rsid w:val="6EB364AE"/>
    <w:rsid w:val="6ED46284"/>
    <w:rsid w:val="6F593630"/>
    <w:rsid w:val="6F773AB6"/>
    <w:rsid w:val="6F8F3E7A"/>
    <w:rsid w:val="6F90211C"/>
    <w:rsid w:val="6FA80114"/>
    <w:rsid w:val="6FB42E28"/>
    <w:rsid w:val="6FD902CD"/>
    <w:rsid w:val="6FEA4288"/>
    <w:rsid w:val="6FEF7AF1"/>
    <w:rsid w:val="70017176"/>
    <w:rsid w:val="70370356"/>
    <w:rsid w:val="706C2EEF"/>
    <w:rsid w:val="707324D0"/>
    <w:rsid w:val="709A7A5C"/>
    <w:rsid w:val="70A60989"/>
    <w:rsid w:val="70CB2BBE"/>
    <w:rsid w:val="70D25448"/>
    <w:rsid w:val="70EB650A"/>
    <w:rsid w:val="71215326"/>
    <w:rsid w:val="71381023"/>
    <w:rsid w:val="71526589"/>
    <w:rsid w:val="71956476"/>
    <w:rsid w:val="71A558AC"/>
    <w:rsid w:val="720F6228"/>
    <w:rsid w:val="72147984"/>
    <w:rsid w:val="72330169"/>
    <w:rsid w:val="72361A07"/>
    <w:rsid w:val="72452905"/>
    <w:rsid w:val="72477770"/>
    <w:rsid w:val="724A7260"/>
    <w:rsid w:val="729606F7"/>
    <w:rsid w:val="729A3D44"/>
    <w:rsid w:val="729B5D0E"/>
    <w:rsid w:val="729C07E1"/>
    <w:rsid w:val="72D56A26"/>
    <w:rsid w:val="72DA05E4"/>
    <w:rsid w:val="72ED47BB"/>
    <w:rsid w:val="73045661"/>
    <w:rsid w:val="73155AC0"/>
    <w:rsid w:val="732C6966"/>
    <w:rsid w:val="73552361"/>
    <w:rsid w:val="73704C22"/>
    <w:rsid w:val="738A450A"/>
    <w:rsid w:val="73A01A58"/>
    <w:rsid w:val="73C3376E"/>
    <w:rsid w:val="73D019E7"/>
    <w:rsid w:val="73D51490"/>
    <w:rsid w:val="742A10F7"/>
    <w:rsid w:val="74381A66"/>
    <w:rsid w:val="743E1047"/>
    <w:rsid w:val="74477EFB"/>
    <w:rsid w:val="746960C4"/>
    <w:rsid w:val="74A25132"/>
    <w:rsid w:val="753C7334"/>
    <w:rsid w:val="75520F07"/>
    <w:rsid w:val="755A1EB0"/>
    <w:rsid w:val="75736ACE"/>
    <w:rsid w:val="757C3BD5"/>
    <w:rsid w:val="758111EB"/>
    <w:rsid w:val="75A1188D"/>
    <w:rsid w:val="75BE243F"/>
    <w:rsid w:val="75C94940"/>
    <w:rsid w:val="75FF0362"/>
    <w:rsid w:val="7600445B"/>
    <w:rsid w:val="76045978"/>
    <w:rsid w:val="760F7E8D"/>
    <w:rsid w:val="7610431D"/>
    <w:rsid w:val="764D5571"/>
    <w:rsid w:val="766E17DB"/>
    <w:rsid w:val="76880357"/>
    <w:rsid w:val="76B007C7"/>
    <w:rsid w:val="76BF646F"/>
    <w:rsid w:val="76DD4B47"/>
    <w:rsid w:val="76E97048"/>
    <w:rsid w:val="77065E4C"/>
    <w:rsid w:val="7719482F"/>
    <w:rsid w:val="776B5CAF"/>
    <w:rsid w:val="776D776B"/>
    <w:rsid w:val="7771703D"/>
    <w:rsid w:val="777B6BED"/>
    <w:rsid w:val="77860D3A"/>
    <w:rsid w:val="77A86F03"/>
    <w:rsid w:val="77CA0F07"/>
    <w:rsid w:val="77FE6B23"/>
    <w:rsid w:val="78020B9E"/>
    <w:rsid w:val="780D320A"/>
    <w:rsid w:val="78190A48"/>
    <w:rsid w:val="78232A2D"/>
    <w:rsid w:val="78342545"/>
    <w:rsid w:val="78511348"/>
    <w:rsid w:val="785D2128"/>
    <w:rsid w:val="78611EEF"/>
    <w:rsid w:val="78656BA2"/>
    <w:rsid w:val="786731E2"/>
    <w:rsid w:val="787D038F"/>
    <w:rsid w:val="7899684C"/>
    <w:rsid w:val="78AB0D59"/>
    <w:rsid w:val="78AB2535"/>
    <w:rsid w:val="78B418D7"/>
    <w:rsid w:val="78C7160B"/>
    <w:rsid w:val="78ED717B"/>
    <w:rsid w:val="790A14F7"/>
    <w:rsid w:val="791800B8"/>
    <w:rsid w:val="795C61F7"/>
    <w:rsid w:val="79825532"/>
    <w:rsid w:val="798A52D8"/>
    <w:rsid w:val="79986402"/>
    <w:rsid w:val="79CC49FF"/>
    <w:rsid w:val="79D264B9"/>
    <w:rsid w:val="79EC6B75"/>
    <w:rsid w:val="7A0D5D0B"/>
    <w:rsid w:val="7A222345"/>
    <w:rsid w:val="7A2D1941"/>
    <w:rsid w:val="7A304F8E"/>
    <w:rsid w:val="7A794B87"/>
    <w:rsid w:val="7A940CC6"/>
    <w:rsid w:val="7AA272E5"/>
    <w:rsid w:val="7AA5597C"/>
    <w:rsid w:val="7AF67F85"/>
    <w:rsid w:val="7B066FB2"/>
    <w:rsid w:val="7B0C77A9"/>
    <w:rsid w:val="7B364826"/>
    <w:rsid w:val="7B3E36DA"/>
    <w:rsid w:val="7B705F89"/>
    <w:rsid w:val="7BB4366E"/>
    <w:rsid w:val="7C1A73BD"/>
    <w:rsid w:val="7C330D65"/>
    <w:rsid w:val="7C5E4C05"/>
    <w:rsid w:val="7C5F7DAC"/>
    <w:rsid w:val="7C66738C"/>
    <w:rsid w:val="7C796503"/>
    <w:rsid w:val="7C835849"/>
    <w:rsid w:val="7C9F63FA"/>
    <w:rsid w:val="7CAF215D"/>
    <w:rsid w:val="7CC12815"/>
    <w:rsid w:val="7CC3033B"/>
    <w:rsid w:val="7CDE5175"/>
    <w:rsid w:val="7CE04A49"/>
    <w:rsid w:val="7CED203D"/>
    <w:rsid w:val="7CFB72B2"/>
    <w:rsid w:val="7D024FBE"/>
    <w:rsid w:val="7D3923AB"/>
    <w:rsid w:val="7D4804BE"/>
    <w:rsid w:val="7D553689"/>
    <w:rsid w:val="7D592A4D"/>
    <w:rsid w:val="7D997DD9"/>
    <w:rsid w:val="7DA57A41"/>
    <w:rsid w:val="7DC46119"/>
    <w:rsid w:val="7DD643FF"/>
    <w:rsid w:val="7DE92023"/>
    <w:rsid w:val="7DEE13E8"/>
    <w:rsid w:val="7E0724A9"/>
    <w:rsid w:val="7E4B4A8C"/>
    <w:rsid w:val="7E503E50"/>
    <w:rsid w:val="7E540C44"/>
    <w:rsid w:val="7E54684C"/>
    <w:rsid w:val="7E6B47E6"/>
    <w:rsid w:val="7E6F077A"/>
    <w:rsid w:val="7E7209F5"/>
    <w:rsid w:val="7EA83C8C"/>
    <w:rsid w:val="7EBC2C5F"/>
    <w:rsid w:val="7EEA7E01"/>
    <w:rsid w:val="7EF859E0"/>
    <w:rsid w:val="7EFA2E85"/>
    <w:rsid w:val="7F0F7867"/>
    <w:rsid w:val="7F10538E"/>
    <w:rsid w:val="7F1906E6"/>
    <w:rsid w:val="7F1F6DC1"/>
    <w:rsid w:val="7F233313"/>
    <w:rsid w:val="7F271055"/>
    <w:rsid w:val="7F467799"/>
    <w:rsid w:val="7F531E4A"/>
    <w:rsid w:val="7F5C42F5"/>
    <w:rsid w:val="7F5D00D8"/>
    <w:rsid w:val="7F8F2756"/>
    <w:rsid w:val="7F932247"/>
    <w:rsid w:val="7FB16B71"/>
    <w:rsid w:val="7FBB354B"/>
    <w:rsid w:val="7FBC5D23"/>
    <w:rsid w:val="7FC9210C"/>
    <w:rsid w:val="7FED05D3"/>
    <w:rsid w:val="7FFA4074"/>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5"/>
    <w:autoRedefine/>
    <w:qFormat/>
    <w:uiPriority w:val="0"/>
    <w:pPr>
      <w:keepNext/>
      <w:keepLines/>
      <w:spacing w:before="260" w:after="260" w:line="416" w:lineRule="auto"/>
      <w:outlineLvl w:val="2"/>
    </w:pPr>
    <w:rPr>
      <w:rFonts w:ascii="Cambria" w:hAnsi="Cambria"/>
      <w:b/>
      <w:bCs/>
      <w:sz w:val="32"/>
      <w:szCs w:val="32"/>
    </w:rPr>
  </w:style>
  <w:style w:type="paragraph" w:styleId="6">
    <w:name w:val="heading 4"/>
    <w:basedOn w:val="1"/>
    <w:next w:val="1"/>
    <w:autoRedefine/>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pPr>
      <w:spacing w:after="120"/>
    </w:pPr>
    <w:rPr>
      <w:rFonts w:ascii="Cambria" w:hAnsi="Cambria"/>
      <w:sz w:val="24"/>
      <w:szCs w:val="20"/>
    </w:rPr>
  </w:style>
  <w:style w:type="paragraph" w:styleId="5">
    <w:name w:val="Normal Indent"/>
    <w:basedOn w:val="1"/>
    <w:autoRedefine/>
    <w:qFormat/>
    <w:uiPriority w:val="0"/>
    <w:pPr>
      <w:adjustRightInd w:val="0"/>
      <w:snapToGrid w:val="0"/>
      <w:spacing w:line="300" w:lineRule="auto"/>
    </w:pPr>
    <w:rPr>
      <w:rFonts w:ascii="仿宋_GB2312" w:eastAsia="仿宋_GB2312"/>
      <w:sz w:val="28"/>
    </w:rPr>
  </w:style>
  <w:style w:type="paragraph" w:styleId="7">
    <w:name w:val="annotation text"/>
    <w:basedOn w:val="1"/>
    <w:link w:val="31"/>
    <w:autoRedefine/>
    <w:qFormat/>
    <w:uiPriority w:val="0"/>
    <w:pPr>
      <w:jc w:val="left"/>
    </w:pPr>
  </w:style>
  <w:style w:type="paragraph" w:styleId="8">
    <w:name w:val="Body Text Indent"/>
    <w:basedOn w:val="1"/>
    <w:next w:val="9"/>
    <w:autoRedefine/>
    <w:qFormat/>
    <w:uiPriority w:val="0"/>
    <w:pPr>
      <w:ind w:left="-3" w:firstLine="423"/>
    </w:pPr>
    <w:rPr>
      <w:rFonts w:ascii="楷体_GB2312" w:eastAsia="楷体_GB2312"/>
    </w:rPr>
  </w:style>
  <w:style w:type="paragraph" w:styleId="9">
    <w:name w:val="Body Text Indent 2"/>
    <w:basedOn w:val="1"/>
    <w:next w:val="10"/>
    <w:autoRedefine/>
    <w:qFormat/>
    <w:uiPriority w:val="99"/>
    <w:pPr>
      <w:ind w:firstLine="640" w:firstLineChars="200"/>
    </w:pPr>
    <w:rPr>
      <w:sz w:val="32"/>
    </w:rPr>
  </w:style>
  <w:style w:type="paragraph" w:styleId="10">
    <w:name w:val="Body Text First Indent 2"/>
    <w:basedOn w:val="8"/>
    <w:next w:val="1"/>
    <w:autoRedefine/>
    <w:qFormat/>
    <w:uiPriority w:val="0"/>
    <w:pPr>
      <w:spacing w:after="120"/>
      <w:ind w:left="420" w:leftChars="200" w:firstLine="420" w:firstLineChars="200"/>
    </w:pPr>
    <w:rPr>
      <w:rFonts w:ascii="Times New Roman" w:eastAsia="宋体"/>
    </w:rPr>
  </w:style>
  <w:style w:type="paragraph" w:styleId="11">
    <w:name w:val="Balloon Text"/>
    <w:basedOn w:val="1"/>
    <w:link w:val="33"/>
    <w:autoRedefine/>
    <w:qFormat/>
    <w:uiPriority w:val="0"/>
    <w:rPr>
      <w:sz w:val="18"/>
      <w:szCs w:val="18"/>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15">
    <w:name w:val="annotation subject"/>
    <w:basedOn w:val="7"/>
    <w:next w:val="7"/>
    <w:link w:val="32"/>
    <w:autoRedefine/>
    <w:qFormat/>
    <w:uiPriority w:val="0"/>
    <w:rPr>
      <w:b/>
      <w:bCs/>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Hyperlink"/>
    <w:basedOn w:val="18"/>
    <w:autoRedefine/>
    <w:qFormat/>
    <w:uiPriority w:val="0"/>
    <w:rPr>
      <w:color w:val="0000FF"/>
      <w:u w:val="single"/>
    </w:rPr>
  </w:style>
  <w:style w:type="character" w:styleId="21">
    <w:name w:val="annotation reference"/>
    <w:autoRedefine/>
    <w:qFormat/>
    <w:uiPriority w:val="0"/>
    <w:rPr>
      <w:sz w:val="21"/>
      <w:szCs w:val="21"/>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表格"/>
    <w:basedOn w:val="25"/>
    <w:link w:val="30"/>
    <w:autoRedefine/>
    <w:qFormat/>
    <w:uiPriority w:val="0"/>
    <w:rPr>
      <w:rFonts w:ascii="Calibri" w:hAnsi="Calibri"/>
      <w:sz w:val="24"/>
    </w:rPr>
  </w:style>
  <w:style w:type="paragraph" w:customStyle="1" w:styleId="25">
    <w:name w:val="表头"/>
    <w:basedOn w:val="26"/>
    <w:next w:val="1"/>
    <w:autoRedefine/>
    <w:qFormat/>
    <w:uiPriority w:val="0"/>
    <w:pPr>
      <w:spacing w:line="320" w:lineRule="atLeast"/>
      <w:ind w:firstLine="0" w:firstLineChars="0"/>
      <w:jc w:val="center"/>
      <w:textAlignment w:val="baseline"/>
    </w:pPr>
    <w:rPr>
      <w:rFonts w:eastAsia="黑体"/>
      <w:color w:val="000000"/>
      <w:spacing w:val="-10"/>
      <w:kern w:val="0"/>
      <w:sz w:val="21"/>
      <w:szCs w:val="20"/>
    </w:rPr>
  </w:style>
  <w:style w:type="paragraph" w:customStyle="1" w:styleId="26">
    <w:name w:val="文本"/>
    <w:basedOn w:val="1"/>
    <w:next w:val="1"/>
    <w:autoRedefine/>
    <w:qFormat/>
    <w:uiPriority w:val="0"/>
    <w:pPr>
      <w:adjustRightInd w:val="0"/>
      <w:snapToGrid w:val="0"/>
      <w:spacing w:line="360" w:lineRule="auto"/>
      <w:ind w:firstLine="1446" w:firstLineChars="200"/>
    </w:pPr>
    <w:rPr>
      <w:sz w:val="24"/>
    </w:rPr>
  </w:style>
  <w:style w:type="paragraph" w:customStyle="1" w:styleId="27">
    <w:name w:val="表格文字2"/>
    <w:basedOn w:val="1"/>
    <w:autoRedefine/>
    <w:qFormat/>
    <w:uiPriority w:val="0"/>
    <w:pPr>
      <w:tabs>
        <w:tab w:val="left" w:pos="277"/>
        <w:tab w:val="left" w:pos="600"/>
        <w:tab w:val="left" w:pos="780"/>
        <w:tab w:val="left" w:pos="2517"/>
      </w:tabs>
      <w:adjustRightInd w:val="0"/>
      <w:snapToGrid w:val="0"/>
      <w:jc w:val="center"/>
      <w:textAlignment w:val="baseline"/>
    </w:pPr>
    <w:rPr>
      <w:kern w:val="0"/>
      <w:szCs w:val="21"/>
    </w:rPr>
  </w:style>
  <w:style w:type="paragraph" w:customStyle="1" w:styleId="28">
    <w:name w:val="表格加粗"/>
    <w:basedOn w:val="1"/>
    <w:next w:val="1"/>
    <w:autoRedefine/>
    <w:qFormat/>
    <w:uiPriority w:val="0"/>
    <w:pPr>
      <w:spacing w:line="400" w:lineRule="exact"/>
      <w:jc w:val="center"/>
    </w:pPr>
    <w:rPr>
      <w:b/>
      <w:bCs/>
      <w:sz w:val="18"/>
      <w:szCs w:val="18"/>
    </w:rPr>
  </w:style>
  <w:style w:type="paragraph" w:customStyle="1" w:styleId="29">
    <w:name w:val="简单回函地址"/>
    <w:basedOn w:val="1"/>
    <w:autoRedefine/>
    <w:qFormat/>
    <w:uiPriority w:val="0"/>
    <w:pPr>
      <w:keepNext/>
      <w:keepLines/>
      <w:snapToGrid w:val="0"/>
      <w:spacing w:line="480" w:lineRule="exact"/>
      <w:ind w:firstLine="480" w:firstLineChars="200"/>
    </w:pPr>
    <w:rPr>
      <w:sz w:val="24"/>
      <w:szCs w:val="20"/>
    </w:rPr>
  </w:style>
  <w:style w:type="character" w:customStyle="1" w:styleId="30">
    <w:name w:val="表格 Char Char"/>
    <w:link w:val="24"/>
    <w:autoRedefine/>
    <w:qFormat/>
    <w:uiPriority w:val="0"/>
    <w:rPr>
      <w:rFonts w:ascii="Calibri" w:hAnsi="Calibri"/>
      <w:kern w:val="0"/>
      <w:sz w:val="24"/>
      <w:szCs w:val="20"/>
    </w:rPr>
  </w:style>
  <w:style w:type="character" w:customStyle="1" w:styleId="31">
    <w:name w:val="批注文字 Char"/>
    <w:basedOn w:val="18"/>
    <w:link w:val="7"/>
    <w:autoRedefine/>
    <w:qFormat/>
    <w:uiPriority w:val="0"/>
    <w:rPr>
      <w:kern w:val="2"/>
      <w:sz w:val="21"/>
      <w:szCs w:val="24"/>
    </w:rPr>
  </w:style>
  <w:style w:type="character" w:customStyle="1" w:styleId="32">
    <w:name w:val="批注主题 Char"/>
    <w:basedOn w:val="31"/>
    <w:link w:val="15"/>
    <w:autoRedefine/>
    <w:qFormat/>
    <w:uiPriority w:val="0"/>
    <w:rPr>
      <w:b/>
      <w:bCs/>
      <w:kern w:val="2"/>
      <w:sz w:val="21"/>
      <w:szCs w:val="24"/>
    </w:rPr>
  </w:style>
  <w:style w:type="character" w:customStyle="1" w:styleId="33">
    <w:name w:val="批注框文本 Char"/>
    <w:basedOn w:val="18"/>
    <w:link w:val="11"/>
    <w:autoRedefine/>
    <w:qFormat/>
    <w:uiPriority w:val="0"/>
    <w:rPr>
      <w:kern w:val="2"/>
      <w:sz w:val="18"/>
      <w:szCs w:val="18"/>
    </w:rPr>
  </w:style>
  <w:style w:type="character" w:customStyle="1" w:styleId="34">
    <w:name w:val="font41"/>
    <w:basedOn w:val="18"/>
    <w:autoRedefine/>
    <w:qFormat/>
    <w:uiPriority w:val="0"/>
    <w:rPr>
      <w:rFonts w:ascii="MS Sans Serif" w:hAnsi="MS Sans Serif" w:eastAsia="MS Sans Serif" w:cs="MS Sans Serif"/>
      <w:color w:val="000000"/>
      <w:sz w:val="20"/>
      <w:szCs w:val="20"/>
      <w:u w:val="none"/>
    </w:rPr>
  </w:style>
  <w:style w:type="character" w:customStyle="1" w:styleId="35">
    <w:name w:val="font21"/>
    <w:basedOn w:val="18"/>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3.bin"/><Relationship Id="rId17" Type="http://schemas.openxmlformats.org/officeDocument/2006/relationships/image" Target="media/image9.wmf"/><Relationship Id="rId16" Type="http://schemas.openxmlformats.org/officeDocument/2006/relationships/oleObject" Target="embeddings/oleObject2.bin"/><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54730</Words>
  <Characters>60694</Characters>
  <Lines>388</Lines>
  <Paragraphs>109</Paragraphs>
  <TotalTime>226</TotalTime>
  <ScaleCrop>false</ScaleCrop>
  <LinksUpToDate>false</LinksUpToDate>
  <CharactersWithSpaces>61076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2023-02-02T00:40:00Z</dcterms:created>
  <dc:creator>皆</dc:creator>
  <cp:lastModifiedBy>TBJ</cp:lastModifiedBy>
  <cp:lastPrinted>2024-09-09T02:08:00Z</cp:lastPrinted>
  <dcterms:modified xsi:type="dcterms:W3CDTF">2024-09-24T06:38:29Z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FCE00C3BEBFC496F83E461C28C228409_13</vt:lpwstr>
  </property>
</Properties>
</file>